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4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4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4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4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4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4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21A8" w:rsidRPr="00063D88" w:rsidRDefault="001621A8" w:rsidP="00217F27">
      <w:pPr>
        <w:tabs>
          <w:tab w:val="left" w:pos="6804"/>
        </w:tabs>
        <w:spacing w:line="240" w:lineRule="auto"/>
        <w:ind w:firstLine="0"/>
        <w:jc w:val="center"/>
        <w:rPr>
          <w:rFonts w:ascii="Garamond" w:hAnsi="Garamond"/>
          <w:color w:val="0000FF"/>
          <w:sz w:val="60"/>
          <w:szCs w:val="60"/>
        </w:rPr>
      </w:pPr>
    </w:p>
    <w:p w:rsidR="001621A8" w:rsidRPr="00063D88" w:rsidRDefault="001621A8" w:rsidP="00A9666C">
      <w:pPr>
        <w:spacing w:line="240" w:lineRule="auto"/>
        <w:ind w:firstLine="0"/>
        <w:jc w:val="center"/>
        <w:rPr>
          <w:rFonts w:ascii="Garamond" w:hAnsi="Garamond"/>
          <w:color w:val="0000FF"/>
          <w:sz w:val="60"/>
          <w:szCs w:val="60"/>
        </w:rPr>
      </w:pPr>
    </w:p>
    <w:p w:rsidR="001621A8" w:rsidRPr="00063D88" w:rsidRDefault="001621A8" w:rsidP="00A9666C">
      <w:pPr>
        <w:spacing w:line="240" w:lineRule="auto"/>
        <w:ind w:firstLine="0"/>
        <w:jc w:val="center"/>
        <w:rPr>
          <w:rFonts w:ascii="Garamond" w:hAnsi="Garamond"/>
          <w:color w:val="0000FF"/>
          <w:sz w:val="60"/>
          <w:szCs w:val="60"/>
        </w:rPr>
      </w:pPr>
    </w:p>
    <w:p w:rsidR="003C47CD" w:rsidRPr="00063D88" w:rsidRDefault="003C47CD" w:rsidP="00A9666C">
      <w:pPr>
        <w:spacing w:line="240" w:lineRule="auto"/>
        <w:ind w:firstLine="0"/>
        <w:jc w:val="center"/>
        <w:rPr>
          <w:rFonts w:ascii="Garamond" w:hAnsi="Garamond"/>
          <w:color w:val="0000FF"/>
          <w:sz w:val="60"/>
          <w:szCs w:val="60"/>
        </w:rPr>
      </w:pPr>
    </w:p>
    <w:p w:rsidR="00A9666C" w:rsidRPr="00063D88" w:rsidRDefault="00A9666C" w:rsidP="00A9666C">
      <w:pPr>
        <w:spacing w:line="240" w:lineRule="auto"/>
        <w:ind w:firstLine="0"/>
        <w:jc w:val="center"/>
        <w:rPr>
          <w:rFonts w:ascii="Garamond" w:hAnsi="Garamond"/>
          <w:color w:val="0000FF"/>
          <w:sz w:val="60"/>
          <w:szCs w:val="60"/>
        </w:rPr>
      </w:pPr>
      <w:r w:rsidRPr="00063D88">
        <w:rPr>
          <w:rFonts w:ascii="Garamond" w:hAnsi="Garamond"/>
          <w:color w:val="0000FF"/>
          <w:sz w:val="60"/>
          <w:szCs w:val="60"/>
        </w:rPr>
        <w:t>RAPPORTO SULL’ATTIVIT</w:t>
      </w:r>
      <w:r w:rsidR="00165D3B" w:rsidRPr="00063D88">
        <w:rPr>
          <w:rFonts w:ascii="Garamond" w:hAnsi="Garamond"/>
          <w:color w:val="0000FF"/>
          <w:sz w:val="60"/>
          <w:szCs w:val="60"/>
        </w:rPr>
        <w:t>À</w:t>
      </w:r>
      <w:r w:rsidRPr="00063D88">
        <w:rPr>
          <w:rFonts w:ascii="Garamond" w:hAnsi="Garamond"/>
          <w:color w:val="0000FF"/>
          <w:sz w:val="60"/>
          <w:szCs w:val="60"/>
        </w:rPr>
        <w:t xml:space="preserve"> SVOLTA DAL COMITATO PER LA LEGISLAZIONE</w:t>
      </w:r>
    </w:p>
    <w:p w:rsidR="00A9666C" w:rsidRPr="00063D88" w:rsidRDefault="00A9666C" w:rsidP="00A9666C">
      <w:pPr>
        <w:spacing w:line="240" w:lineRule="auto"/>
        <w:ind w:firstLine="0"/>
        <w:jc w:val="center"/>
        <w:rPr>
          <w:rFonts w:ascii="Garamond" w:hAnsi="Garamond"/>
          <w:color w:val="0000FF"/>
          <w:sz w:val="80"/>
          <w:szCs w:val="80"/>
        </w:rPr>
      </w:pPr>
    </w:p>
    <w:p w:rsidR="00475235" w:rsidRPr="00063D88" w:rsidRDefault="00475235" w:rsidP="00A9666C">
      <w:pPr>
        <w:spacing w:line="240" w:lineRule="auto"/>
        <w:ind w:firstLine="0"/>
        <w:jc w:val="center"/>
        <w:rPr>
          <w:rFonts w:ascii="Garamond" w:hAnsi="Garamond"/>
          <w:color w:val="0000FF"/>
          <w:sz w:val="80"/>
          <w:szCs w:val="80"/>
        </w:rPr>
      </w:pPr>
    </w:p>
    <w:p w:rsidR="00475235" w:rsidRPr="00063D88" w:rsidRDefault="00DF46F7" w:rsidP="004E5D55">
      <w:pPr>
        <w:spacing w:line="240" w:lineRule="auto"/>
        <w:ind w:firstLine="0"/>
        <w:jc w:val="center"/>
        <w:outlineLvl w:val="0"/>
        <w:rPr>
          <w:rFonts w:ascii="Garamond" w:hAnsi="Garamond"/>
          <w:sz w:val="44"/>
          <w:szCs w:val="44"/>
        </w:rPr>
      </w:pPr>
      <w:bookmarkStart w:id="0" w:name="_Toc337653450"/>
      <w:r>
        <w:rPr>
          <w:rFonts w:ascii="Garamond" w:hAnsi="Garamond"/>
          <w:sz w:val="44"/>
          <w:szCs w:val="44"/>
        </w:rPr>
        <w:t>Terz</w:t>
      </w:r>
      <w:r w:rsidR="004E5D55">
        <w:rPr>
          <w:rFonts w:ascii="Garamond" w:hAnsi="Garamond"/>
          <w:sz w:val="44"/>
          <w:szCs w:val="44"/>
        </w:rPr>
        <w:t>o</w:t>
      </w:r>
      <w:r w:rsidR="00475235" w:rsidRPr="00063D88">
        <w:rPr>
          <w:rFonts w:ascii="Garamond" w:hAnsi="Garamond"/>
          <w:sz w:val="44"/>
          <w:szCs w:val="44"/>
        </w:rPr>
        <w:t xml:space="preserve"> turno di Presidenza</w:t>
      </w:r>
      <w:bookmarkEnd w:id="0"/>
    </w:p>
    <w:p w:rsidR="00A9666C" w:rsidRPr="00063D88" w:rsidRDefault="00475235" w:rsidP="008F3A6D">
      <w:pPr>
        <w:spacing w:line="240" w:lineRule="auto"/>
        <w:ind w:firstLine="0"/>
        <w:jc w:val="center"/>
        <w:outlineLvl w:val="0"/>
        <w:rPr>
          <w:rFonts w:ascii="Garamond" w:hAnsi="Garamond"/>
          <w:sz w:val="44"/>
          <w:szCs w:val="44"/>
        </w:rPr>
      </w:pPr>
      <w:bookmarkStart w:id="1" w:name="_Toc337653451"/>
      <w:r w:rsidRPr="00063D88">
        <w:rPr>
          <w:rFonts w:ascii="Garamond" w:hAnsi="Garamond"/>
          <w:sz w:val="44"/>
          <w:szCs w:val="44"/>
        </w:rPr>
        <w:t>Presidente</w:t>
      </w:r>
      <w:r w:rsidR="00A9666C" w:rsidRPr="00063D88">
        <w:rPr>
          <w:rFonts w:ascii="Garamond" w:hAnsi="Garamond"/>
          <w:sz w:val="44"/>
          <w:szCs w:val="44"/>
        </w:rPr>
        <w:t xml:space="preserve"> On. </w:t>
      </w:r>
      <w:r w:rsidR="00DF46F7">
        <w:rPr>
          <w:rFonts w:ascii="Garamond" w:hAnsi="Garamond"/>
          <w:sz w:val="44"/>
          <w:szCs w:val="44"/>
        </w:rPr>
        <w:t>Ani</w:t>
      </w:r>
      <w:r w:rsidR="000D4949">
        <w:rPr>
          <w:rFonts w:ascii="Garamond" w:hAnsi="Garamond"/>
          <w:sz w:val="44"/>
          <w:szCs w:val="44"/>
        </w:rPr>
        <w:t>ello</w:t>
      </w:r>
      <w:r w:rsidR="00A9666C" w:rsidRPr="00063D88">
        <w:rPr>
          <w:rFonts w:ascii="Garamond" w:hAnsi="Garamond"/>
          <w:sz w:val="44"/>
          <w:szCs w:val="44"/>
        </w:rPr>
        <w:t xml:space="preserve"> </w:t>
      </w:r>
      <w:bookmarkEnd w:id="1"/>
      <w:r w:rsidR="00DF46F7">
        <w:rPr>
          <w:rFonts w:ascii="Garamond" w:hAnsi="Garamond"/>
          <w:sz w:val="44"/>
          <w:szCs w:val="44"/>
        </w:rPr>
        <w:t>FORMISANO</w:t>
      </w:r>
    </w:p>
    <w:p w:rsidR="002B0F29" w:rsidRPr="00063D88" w:rsidRDefault="00293299" w:rsidP="001436FB">
      <w:pPr>
        <w:spacing w:before="240" w:line="240" w:lineRule="auto"/>
        <w:ind w:firstLine="0"/>
        <w:jc w:val="center"/>
        <w:outlineLvl w:val="0"/>
        <w:rPr>
          <w:rFonts w:ascii="Garamond" w:hAnsi="Garamond"/>
          <w:i/>
          <w:sz w:val="36"/>
          <w:szCs w:val="36"/>
        </w:rPr>
      </w:pPr>
      <w:bookmarkStart w:id="2" w:name="_Toc337653452"/>
      <w:r w:rsidRPr="00063D88">
        <w:rPr>
          <w:rFonts w:ascii="Garamond" w:hAnsi="Garamond"/>
          <w:i/>
          <w:sz w:val="36"/>
          <w:szCs w:val="36"/>
        </w:rPr>
        <w:t>(</w:t>
      </w:r>
      <w:r w:rsidR="00DF46F7">
        <w:rPr>
          <w:rFonts w:ascii="Garamond" w:hAnsi="Garamond"/>
          <w:i/>
          <w:sz w:val="36"/>
          <w:szCs w:val="36"/>
        </w:rPr>
        <w:t>8</w:t>
      </w:r>
      <w:r w:rsidR="004E5D55">
        <w:rPr>
          <w:rFonts w:ascii="Garamond" w:hAnsi="Garamond"/>
          <w:i/>
          <w:sz w:val="36"/>
          <w:szCs w:val="36"/>
        </w:rPr>
        <w:t xml:space="preserve"> </w:t>
      </w:r>
      <w:r w:rsidR="00DF46F7">
        <w:rPr>
          <w:rFonts w:ascii="Garamond" w:hAnsi="Garamond"/>
          <w:i/>
          <w:sz w:val="36"/>
          <w:szCs w:val="36"/>
        </w:rPr>
        <w:t>gennai</w:t>
      </w:r>
      <w:r w:rsidR="00BA719A">
        <w:rPr>
          <w:rFonts w:ascii="Garamond" w:hAnsi="Garamond"/>
          <w:i/>
          <w:sz w:val="36"/>
          <w:szCs w:val="36"/>
        </w:rPr>
        <w:t>o 201</w:t>
      </w:r>
      <w:r w:rsidR="00DF46F7">
        <w:rPr>
          <w:rFonts w:ascii="Garamond" w:hAnsi="Garamond"/>
          <w:i/>
          <w:sz w:val="36"/>
          <w:szCs w:val="36"/>
        </w:rPr>
        <w:t>5</w:t>
      </w:r>
      <w:r w:rsidR="001A02C3" w:rsidRPr="00063D88">
        <w:rPr>
          <w:rFonts w:ascii="Garamond" w:hAnsi="Garamond"/>
          <w:i/>
          <w:sz w:val="36"/>
          <w:szCs w:val="36"/>
        </w:rPr>
        <w:t xml:space="preserve"> – </w:t>
      </w:r>
      <w:r w:rsidR="004E5D55">
        <w:rPr>
          <w:rFonts w:ascii="Garamond" w:hAnsi="Garamond"/>
          <w:i/>
          <w:sz w:val="36"/>
          <w:szCs w:val="36"/>
        </w:rPr>
        <w:t>7</w:t>
      </w:r>
      <w:r w:rsidR="00BA719A">
        <w:rPr>
          <w:rFonts w:ascii="Garamond" w:hAnsi="Garamond"/>
          <w:i/>
          <w:sz w:val="36"/>
          <w:szCs w:val="36"/>
        </w:rPr>
        <w:t xml:space="preserve"> </w:t>
      </w:r>
      <w:r w:rsidR="00DF46F7">
        <w:rPr>
          <w:rFonts w:ascii="Garamond" w:hAnsi="Garamond"/>
          <w:i/>
          <w:sz w:val="36"/>
          <w:szCs w:val="36"/>
        </w:rPr>
        <w:t>novembre</w:t>
      </w:r>
      <w:r w:rsidR="00BA719A">
        <w:rPr>
          <w:rFonts w:ascii="Garamond" w:hAnsi="Garamond"/>
          <w:i/>
          <w:sz w:val="36"/>
          <w:szCs w:val="36"/>
        </w:rPr>
        <w:t xml:space="preserve"> 201</w:t>
      </w:r>
      <w:r w:rsidR="004E5D55">
        <w:rPr>
          <w:rFonts w:ascii="Garamond" w:hAnsi="Garamond"/>
          <w:i/>
          <w:sz w:val="36"/>
          <w:szCs w:val="36"/>
        </w:rPr>
        <w:t>5</w:t>
      </w:r>
      <w:r w:rsidR="002B0F29" w:rsidRPr="00063D88">
        <w:rPr>
          <w:rFonts w:ascii="Garamond" w:hAnsi="Garamond"/>
          <w:i/>
          <w:sz w:val="36"/>
          <w:szCs w:val="36"/>
        </w:rPr>
        <w:t>)</w:t>
      </w:r>
      <w:bookmarkEnd w:id="2"/>
    </w:p>
    <w:p w:rsidR="00A9666C" w:rsidRPr="00063D88" w:rsidRDefault="00A9666C" w:rsidP="00A9666C">
      <w:pPr>
        <w:spacing w:line="240" w:lineRule="auto"/>
        <w:ind w:firstLine="0"/>
        <w:jc w:val="center"/>
        <w:rPr>
          <w:rFonts w:ascii="Garamond" w:hAnsi="Garamond"/>
          <w:sz w:val="36"/>
          <w:szCs w:val="36"/>
        </w:rPr>
      </w:pPr>
    </w:p>
    <w:p w:rsidR="001621A8" w:rsidRPr="00063D88" w:rsidRDefault="001621A8" w:rsidP="001621A8">
      <w:pPr>
        <w:rPr>
          <w:rFonts w:ascii="Garamond" w:hAnsi="Garamond"/>
        </w:rPr>
      </w:pPr>
    </w:p>
    <w:p w:rsidR="001621A8" w:rsidRPr="00063D88" w:rsidRDefault="001621A8" w:rsidP="001621A8">
      <w:pPr>
        <w:spacing w:line="240" w:lineRule="auto"/>
        <w:ind w:firstLine="0"/>
        <w:jc w:val="center"/>
        <w:rPr>
          <w:rFonts w:ascii="Garamond" w:hAnsi="Garamond"/>
          <w:sz w:val="36"/>
          <w:szCs w:val="36"/>
        </w:rPr>
        <w:sectPr w:rsidR="001621A8" w:rsidRPr="00063D88" w:rsidSect="002E43DF">
          <w:headerReference w:type="default" r:id="rId9"/>
          <w:footerReference w:type="even" r:id="rId10"/>
          <w:footerReference w:type="first" r:id="rId11"/>
          <w:type w:val="oddPage"/>
          <w:pgSz w:w="11906" w:h="16838" w:code="9"/>
          <w:pgMar w:top="1985" w:right="1985" w:bottom="1985" w:left="1985" w:header="1134" w:footer="1134" w:gutter="0"/>
          <w:pgNumType w:fmt="upperRoman" w:start="1"/>
          <w:cols w:space="720"/>
          <w:formProt w:val="0"/>
        </w:sectPr>
      </w:pPr>
    </w:p>
    <w:p w:rsidR="0003257F" w:rsidRPr="00063D88" w:rsidRDefault="0003257F" w:rsidP="0003257F">
      <w:pPr>
        <w:spacing w:line="240" w:lineRule="auto"/>
        <w:ind w:firstLine="0"/>
        <w:jc w:val="center"/>
        <w:rPr>
          <w:rFonts w:ascii="Garamond" w:hAnsi="Garamond"/>
          <w:color w:val="0000FF"/>
          <w:sz w:val="44"/>
          <w:szCs w:val="44"/>
        </w:rPr>
      </w:pPr>
      <w:bookmarkStart w:id="3" w:name="_Toc337653461"/>
      <w:bookmarkStart w:id="4" w:name="_Toc342035918"/>
    </w:p>
    <w:p w:rsidR="0003257F" w:rsidRPr="00063D88" w:rsidRDefault="0003257F" w:rsidP="0003257F">
      <w:pPr>
        <w:spacing w:line="240" w:lineRule="auto"/>
        <w:ind w:firstLine="0"/>
        <w:jc w:val="center"/>
        <w:rPr>
          <w:rFonts w:ascii="Garamond" w:hAnsi="Garamond"/>
          <w:color w:val="0000FF"/>
          <w:sz w:val="44"/>
          <w:szCs w:val="44"/>
        </w:rPr>
      </w:pPr>
      <w:r w:rsidRPr="00063D88">
        <w:rPr>
          <w:rFonts w:ascii="Garamond" w:hAnsi="Garamond"/>
          <w:color w:val="0000FF"/>
          <w:sz w:val="44"/>
          <w:szCs w:val="44"/>
        </w:rPr>
        <w:t>INDICE</w:t>
      </w:r>
    </w:p>
    <w:p w:rsidR="0003257F" w:rsidRPr="00892EC4" w:rsidRDefault="0003257F" w:rsidP="0003257F">
      <w:pPr>
        <w:spacing w:line="240" w:lineRule="auto"/>
        <w:ind w:firstLine="0"/>
        <w:rPr>
          <w:rFonts w:ascii="Garamond" w:hAnsi="Garamond"/>
          <w:color w:val="0000FF"/>
          <w:sz w:val="36"/>
          <w:szCs w:val="36"/>
        </w:rPr>
      </w:pPr>
    </w:p>
    <w:p w:rsidR="00840A6A" w:rsidRDefault="00840A6A" w:rsidP="0003257F">
      <w:pPr>
        <w:rPr>
          <w:rFonts w:ascii="Garamond" w:hAnsi="Garamond"/>
        </w:rPr>
      </w:pPr>
    </w:p>
    <w:p w:rsidR="004F269D" w:rsidRDefault="004F269D" w:rsidP="0003257F">
      <w:pPr>
        <w:rPr>
          <w:rFonts w:ascii="Garamond" w:hAnsi="Garamond"/>
        </w:rPr>
      </w:pPr>
    </w:p>
    <w:p w:rsidR="000F0C6F" w:rsidRDefault="004F269D">
      <w:pPr>
        <w:pStyle w:val="Sommario2"/>
        <w:rPr>
          <w:rFonts w:asciiTheme="minorHAnsi" w:eastAsiaTheme="minorEastAsia" w:hAnsiTheme="minorHAnsi" w:cstheme="minorBidi"/>
          <w:b w:val="0"/>
          <w:sz w:val="22"/>
          <w:szCs w:val="22"/>
        </w:rPr>
      </w:pPr>
      <w:r>
        <w:fldChar w:fldCharType="begin" w:fldLock="1"/>
      </w:r>
      <w:r>
        <w:instrText xml:space="preserve"> TOC \n 8-9 \f \t "Occhiello;8;occhiello2;9;Titolo 1;2;Titolo 1 (sintesi);2;Titolo 2;3;Titolo 2(articolo);3;leggi_titolo;3;</w:instrText>
      </w:r>
      <w:r>
        <w:fldChar w:fldCharType="separate"/>
      </w:r>
      <w:r w:rsidR="000F0C6F" w:rsidRPr="00391086">
        <w:rPr>
          <w:rFonts w:ascii="Garamond" w:hAnsi="Garamond"/>
          <w:i/>
          <w:color w:val="0000FF"/>
        </w:rPr>
        <w:t>PREMESSA</w:t>
      </w:r>
      <w:r w:rsidR="000F0C6F">
        <w:tab/>
      </w:r>
      <w:r w:rsidR="000F0C6F" w:rsidRPr="000F0C6F">
        <w:rPr>
          <w:rFonts w:ascii="Garamond" w:hAnsi="Garamond"/>
          <w:color w:val="0000FF"/>
          <w:sz w:val="24"/>
          <w:szCs w:val="24"/>
        </w:rPr>
        <w:fldChar w:fldCharType="begin" w:fldLock="1"/>
      </w:r>
      <w:r w:rsidR="000F0C6F" w:rsidRPr="000F0C6F">
        <w:rPr>
          <w:rFonts w:ascii="Garamond" w:hAnsi="Garamond"/>
          <w:color w:val="0000FF"/>
          <w:sz w:val="24"/>
          <w:szCs w:val="24"/>
        </w:rPr>
        <w:instrText xml:space="preserve"> PAGEREF _Toc440030357 \h </w:instrText>
      </w:r>
      <w:r w:rsidR="000F0C6F" w:rsidRPr="000F0C6F">
        <w:rPr>
          <w:rFonts w:ascii="Garamond" w:hAnsi="Garamond"/>
          <w:color w:val="0000FF"/>
          <w:sz w:val="24"/>
          <w:szCs w:val="24"/>
        </w:rPr>
      </w:r>
      <w:r w:rsidR="000F0C6F" w:rsidRPr="000F0C6F">
        <w:rPr>
          <w:rFonts w:ascii="Garamond" w:hAnsi="Garamond"/>
          <w:color w:val="0000FF"/>
          <w:sz w:val="24"/>
          <w:szCs w:val="24"/>
        </w:rPr>
        <w:fldChar w:fldCharType="separate"/>
      </w:r>
      <w:r w:rsidR="00602C7D">
        <w:rPr>
          <w:rFonts w:ascii="Garamond" w:hAnsi="Garamond"/>
          <w:color w:val="0000FF"/>
          <w:sz w:val="24"/>
          <w:szCs w:val="24"/>
        </w:rPr>
        <w:t>1</w:t>
      </w:r>
      <w:r w:rsidR="000F0C6F" w:rsidRPr="000F0C6F">
        <w:rPr>
          <w:rFonts w:ascii="Garamond" w:hAnsi="Garamond"/>
          <w:color w:val="0000FF"/>
          <w:sz w:val="24"/>
          <w:szCs w:val="24"/>
        </w:rPr>
        <w:fldChar w:fldCharType="end"/>
      </w:r>
    </w:p>
    <w:p w:rsidR="000F0C6F" w:rsidRDefault="000F0C6F">
      <w:pPr>
        <w:pStyle w:val="Sommario2"/>
        <w:rPr>
          <w:rFonts w:asciiTheme="minorHAnsi" w:eastAsiaTheme="minorEastAsia" w:hAnsiTheme="minorHAnsi" w:cstheme="minorBidi"/>
          <w:b w:val="0"/>
          <w:sz w:val="22"/>
          <w:szCs w:val="22"/>
        </w:rPr>
      </w:pPr>
      <w:r w:rsidRPr="00391086">
        <w:rPr>
          <w:rFonts w:ascii="Garamond" w:hAnsi="Garamond"/>
          <w:i/>
          <w:color w:val="0000FF"/>
        </w:rPr>
        <w:t>I. PUBBLICAZIONI ED EVENTI</w:t>
      </w:r>
      <w:r>
        <w:tab/>
      </w:r>
      <w:r w:rsidRPr="000F0C6F">
        <w:rPr>
          <w:rFonts w:ascii="Garamond" w:hAnsi="Garamond"/>
          <w:color w:val="0000FF"/>
          <w:sz w:val="24"/>
          <w:szCs w:val="24"/>
        </w:rPr>
        <w:fldChar w:fldCharType="begin" w:fldLock="1"/>
      </w:r>
      <w:r w:rsidRPr="000F0C6F">
        <w:rPr>
          <w:rFonts w:ascii="Garamond" w:hAnsi="Garamond"/>
          <w:color w:val="0000FF"/>
          <w:sz w:val="24"/>
          <w:szCs w:val="24"/>
        </w:rPr>
        <w:instrText xml:space="preserve"> PAGEREF _Toc440030358 \h </w:instrText>
      </w:r>
      <w:r w:rsidRPr="000F0C6F">
        <w:rPr>
          <w:rFonts w:ascii="Garamond" w:hAnsi="Garamond"/>
          <w:color w:val="0000FF"/>
          <w:sz w:val="24"/>
          <w:szCs w:val="24"/>
        </w:rPr>
      </w:r>
      <w:r w:rsidRPr="000F0C6F">
        <w:rPr>
          <w:rFonts w:ascii="Garamond" w:hAnsi="Garamond"/>
          <w:color w:val="0000FF"/>
          <w:sz w:val="24"/>
          <w:szCs w:val="24"/>
        </w:rPr>
        <w:fldChar w:fldCharType="separate"/>
      </w:r>
      <w:r w:rsidR="00602C7D">
        <w:rPr>
          <w:rFonts w:ascii="Garamond" w:hAnsi="Garamond"/>
          <w:color w:val="0000FF"/>
          <w:sz w:val="24"/>
          <w:szCs w:val="24"/>
        </w:rPr>
        <w:t>3</w:t>
      </w:r>
      <w:r w:rsidRPr="000F0C6F">
        <w:rPr>
          <w:rFonts w:ascii="Garamond" w:hAnsi="Garamond"/>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1.1. Il convegno sull’assetto delle fonti nella riforma costituzionale</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_Toc440030359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3</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1.2. La presentazione del Rapporto 2014 sulla legislazione tra Stato, Regioni e Unione europea</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_Toc440030360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3</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1.3. Gli Appunti del Comitato</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_Toc440030361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5</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1.4. Il sito internet</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_Toc440030362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5</w:t>
      </w:r>
      <w:r w:rsidRPr="000F0C6F">
        <w:rPr>
          <w:rFonts w:ascii="Garamond" w:hAnsi="Garamond"/>
          <w:b/>
          <w:color w:val="0000FF"/>
          <w:sz w:val="24"/>
          <w:szCs w:val="24"/>
        </w:rPr>
        <w:fldChar w:fldCharType="end"/>
      </w:r>
    </w:p>
    <w:p w:rsidR="000F0C6F" w:rsidRDefault="000F0C6F">
      <w:pPr>
        <w:pStyle w:val="Sommario2"/>
        <w:rPr>
          <w:rFonts w:asciiTheme="minorHAnsi" w:eastAsiaTheme="minorEastAsia" w:hAnsiTheme="minorHAnsi" w:cstheme="minorBidi"/>
          <w:b w:val="0"/>
          <w:sz w:val="22"/>
          <w:szCs w:val="22"/>
        </w:rPr>
      </w:pPr>
      <w:r w:rsidRPr="00391086">
        <w:rPr>
          <w:rFonts w:ascii="Garamond" w:hAnsi="Garamond"/>
          <w:i/>
          <w:color w:val="0000FF"/>
        </w:rPr>
        <w:t>II. L’ATTIVAZIONE DEL COMITATO</w:t>
      </w:r>
      <w:r>
        <w:tab/>
      </w:r>
      <w:r w:rsidRPr="000F0C6F">
        <w:rPr>
          <w:rFonts w:ascii="Garamond" w:hAnsi="Garamond"/>
          <w:color w:val="0000FF"/>
          <w:sz w:val="24"/>
          <w:szCs w:val="24"/>
        </w:rPr>
        <w:fldChar w:fldCharType="begin" w:fldLock="1"/>
      </w:r>
      <w:r w:rsidRPr="000F0C6F">
        <w:rPr>
          <w:rFonts w:ascii="Garamond" w:hAnsi="Garamond"/>
          <w:color w:val="0000FF"/>
          <w:sz w:val="24"/>
          <w:szCs w:val="24"/>
        </w:rPr>
        <w:instrText xml:space="preserve"> PAGEREF _Toc440030363 \h </w:instrText>
      </w:r>
      <w:r w:rsidRPr="000F0C6F">
        <w:rPr>
          <w:rFonts w:ascii="Garamond" w:hAnsi="Garamond"/>
          <w:color w:val="0000FF"/>
          <w:sz w:val="24"/>
          <w:szCs w:val="24"/>
        </w:rPr>
      </w:r>
      <w:r w:rsidRPr="000F0C6F">
        <w:rPr>
          <w:rFonts w:ascii="Garamond" w:hAnsi="Garamond"/>
          <w:color w:val="0000FF"/>
          <w:sz w:val="24"/>
          <w:szCs w:val="24"/>
        </w:rPr>
        <w:fldChar w:fldCharType="separate"/>
      </w:r>
      <w:r w:rsidR="00602C7D">
        <w:rPr>
          <w:rFonts w:ascii="Garamond" w:hAnsi="Garamond"/>
          <w:color w:val="0000FF"/>
          <w:sz w:val="24"/>
          <w:szCs w:val="24"/>
        </w:rPr>
        <w:t>6</w:t>
      </w:r>
      <w:r w:rsidRPr="000F0C6F">
        <w:rPr>
          <w:rFonts w:ascii="Garamond" w:hAnsi="Garamond"/>
          <w:color w:val="0000FF"/>
          <w:sz w:val="24"/>
          <w:szCs w:val="24"/>
        </w:rPr>
        <w:fldChar w:fldCharType="end"/>
      </w:r>
    </w:p>
    <w:p w:rsidR="000F0C6F" w:rsidRDefault="000F0C6F">
      <w:pPr>
        <w:pStyle w:val="Sommario2"/>
        <w:rPr>
          <w:rFonts w:asciiTheme="minorHAnsi" w:eastAsiaTheme="minorEastAsia" w:hAnsiTheme="minorHAnsi" w:cstheme="minorBidi"/>
          <w:b w:val="0"/>
          <w:sz w:val="22"/>
          <w:szCs w:val="22"/>
        </w:rPr>
      </w:pPr>
      <w:r w:rsidRPr="00391086">
        <w:rPr>
          <w:rFonts w:ascii="Garamond" w:hAnsi="Garamond"/>
          <w:i/>
          <w:color w:val="0000FF"/>
        </w:rPr>
        <w:t>III. CARATTERISTICHE DELLA PRODUZIONE LEGISLATIVA</w:t>
      </w:r>
      <w:r>
        <w:tab/>
      </w:r>
      <w:r w:rsidRPr="000F0C6F">
        <w:rPr>
          <w:rFonts w:ascii="Garamond" w:hAnsi="Garamond"/>
          <w:color w:val="0000FF"/>
          <w:sz w:val="24"/>
          <w:szCs w:val="24"/>
        </w:rPr>
        <w:fldChar w:fldCharType="begin" w:fldLock="1"/>
      </w:r>
      <w:r w:rsidRPr="000F0C6F">
        <w:rPr>
          <w:rFonts w:ascii="Garamond" w:hAnsi="Garamond"/>
          <w:color w:val="0000FF"/>
          <w:sz w:val="24"/>
          <w:szCs w:val="24"/>
        </w:rPr>
        <w:instrText xml:space="preserve"> PAGEREF _Toc440030364 \h </w:instrText>
      </w:r>
      <w:r w:rsidRPr="000F0C6F">
        <w:rPr>
          <w:rFonts w:ascii="Garamond" w:hAnsi="Garamond"/>
          <w:color w:val="0000FF"/>
          <w:sz w:val="24"/>
          <w:szCs w:val="24"/>
        </w:rPr>
      </w:r>
      <w:r w:rsidRPr="000F0C6F">
        <w:rPr>
          <w:rFonts w:ascii="Garamond" w:hAnsi="Garamond"/>
          <w:color w:val="0000FF"/>
          <w:sz w:val="24"/>
          <w:szCs w:val="24"/>
        </w:rPr>
        <w:fldChar w:fldCharType="separate"/>
      </w:r>
      <w:r w:rsidR="00602C7D">
        <w:rPr>
          <w:rFonts w:ascii="Garamond" w:hAnsi="Garamond"/>
          <w:color w:val="0000FF"/>
          <w:sz w:val="24"/>
          <w:szCs w:val="24"/>
        </w:rPr>
        <w:t>8</w:t>
      </w:r>
      <w:r w:rsidRPr="000F0C6F">
        <w:rPr>
          <w:rFonts w:ascii="Garamond" w:hAnsi="Garamond"/>
          <w:color w:val="0000FF"/>
          <w:sz w:val="24"/>
          <w:szCs w:val="24"/>
        </w:rPr>
        <w:fldChar w:fldCharType="end"/>
      </w:r>
    </w:p>
    <w:p w:rsidR="000F0C6F" w:rsidRDefault="000F0C6F">
      <w:pPr>
        <w:pStyle w:val="Sommario2"/>
        <w:rPr>
          <w:rFonts w:asciiTheme="minorHAnsi" w:eastAsiaTheme="minorEastAsia" w:hAnsiTheme="minorHAnsi" w:cstheme="minorBidi"/>
          <w:b w:val="0"/>
          <w:sz w:val="22"/>
          <w:szCs w:val="22"/>
        </w:rPr>
      </w:pPr>
      <w:r w:rsidRPr="00391086">
        <w:rPr>
          <w:rFonts w:ascii="Garamond" w:hAnsi="Garamond"/>
          <w:i/>
          <w:color w:val="0000FF"/>
        </w:rPr>
        <w:t>IV. L’ATTIVITÀ CONSULTIVA DEL COMITATO</w:t>
      </w:r>
      <w:r>
        <w:tab/>
      </w:r>
      <w:r w:rsidRPr="000F0C6F">
        <w:rPr>
          <w:rFonts w:ascii="Garamond" w:hAnsi="Garamond"/>
          <w:color w:val="0000FF"/>
          <w:sz w:val="24"/>
          <w:szCs w:val="24"/>
        </w:rPr>
        <w:fldChar w:fldCharType="begin" w:fldLock="1"/>
      </w:r>
      <w:r w:rsidRPr="000F0C6F">
        <w:rPr>
          <w:rFonts w:ascii="Garamond" w:hAnsi="Garamond"/>
          <w:color w:val="0000FF"/>
          <w:sz w:val="24"/>
          <w:szCs w:val="24"/>
        </w:rPr>
        <w:instrText xml:space="preserve"> PAGEREF _Toc440030365 \h </w:instrText>
      </w:r>
      <w:r w:rsidRPr="000F0C6F">
        <w:rPr>
          <w:rFonts w:ascii="Garamond" w:hAnsi="Garamond"/>
          <w:color w:val="0000FF"/>
          <w:sz w:val="24"/>
          <w:szCs w:val="24"/>
        </w:rPr>
      </w:r>
      <w:r w:rsidRPr="000F0C6F">
        <w:rPr>
          <w:rFonts w:ascii="Garamond" w:hAnsi="Garamond"/>
          <w:color w:val="0000FF"/>
          <w:sz w:val="24"/>
          <w:szCs w:val="24"/>
        </w:rPr>
        <w:fldChar w:fldCharType="separate"/>
      </w:r>
      <w:r w:rsidR="00602C7D">
        <w:rPr>
          <w:rFonts w:ascii="Garamond" w:hAnsi="Garamond"/>
          <w:color w:val="0000FF"/>
          <w:sz w:val="24"/>
          <w:szCs w:val="24"/>
        </w:rPr>
        <w:t>11</w:t>
      </w:r>
      <w:r w:rsidRPr="000F0C6F">
        <w:rPr>
          <w:rFonts w:ascii="Garamond" w:hAnsi="Garamond"/>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4.1. La struttura dei pareri</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_Toc440030366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11</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4.2. I parametri utilizzati nei pareri</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_Toc440030367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13</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4.3. Analisi tecnico-normativa (ATN) e analisi di impatto della regolamentazione (AIR)</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_Toc440030368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15</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4.4. Profili di formulazione tecnica dei testi normativi</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_Toc440030369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17</w:t>
      </w:r>
      <w:r w:rsidRPr="000F0C6F">
        <w:rPr>
          <w:rFonts w:ascii="Garamond" w:hAnsi="Garamond"/>
          <w:b/>
          <w:color w:val="0000FF"/>
          <w:sz w:val="24"/>
          <w:szCs w:val="24"/>
        </w:rPr>
        <w:fldChar w:fldCharType="end"/>
      </w:r>
    </w:p>
    <w:p w:rsidR="000F0C6F" w:rsidRDefault="000F0C6F" w:rsidP="000F0C6F">
      <w:pPr>
        <w:pStyle w:val="Sommario3"/>
        <w:tabs>
          <w:tab w:val="clear" w:pos="567"/>
          <w:tab w:val="clear" w:pos="644"/>
        </w:tabs>
        <w:ind w:left="851"/>
        <w:rPr>
          <w:rFonts w:asciiTheme="minorHAnsi" w:eastAsiaTheme="minorEastAsia" w:hAnsiTheme="minorHAnsi" w:cstheme="minorBidi"/>
          <w:szCs w:val="22"/>
        </w:rPr>
      </w:pPr>
      <w:r w:rsidRPr="00391086">
        <w:rPr>
          <w:rFonts w:ascii="Garamond" w:hAnsi="Garamond"/>
          <w:i/>
          <w:iCs/>
          <w:color w:val="0000FF"/>
        </w:rPr>
        <w:t>4.4.1. Considerazioni generali</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_Toc440030370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17</w:t>
      </w:r>
      <w:r w:rsidRPr="000F0C6F">
        <w:rPr>
          <w:rFonts w:ascii="Garamond" w:hAnsi="Garamond"/>
          <w:b/>
          <w:color w:val="0000FF"/>
          <w:sz w:val="24"/>
          <w:szCs w:val="24"/>
        </w:rPr>
        <w:fldChar w:fldCharType="end"/>
      </w:r>
    </w:p>
    <w:p w:rsidR="000F0C6F" w:rsidRDefault="000F0C6F" w:rsidP="000F0C6F">
      <w:pPr>
        <w:pStyle w:val="Sommario3"/>
        <w:tabs>
          <w:tab w:val="clear" w:pos="567"/>
          <w:tab w:val="clear" w:pos="644"/>
        </w:tabs>
        <w:ind w:left="851"/>
        <w:rPr>
          <w:rFonts w:asciiTheme="minorHAnsi" w:eastAsiaTheme="minorEastAsia" w:hAnsiTheme="minorHAnsi" w:cstheme="minorBidi"/>
          <w:szCs w:val="22"/>
        </w:rPr>
      </w:pPr>
      <w:r w:rsidRPr="00391086">
        <w:rPr>
          <w:rFonts w:ascii="Garamond" w:hAnsi="Garamond"/>
          <w:i/>
          <w:color w:val="0000FF"/>
        </w:rPr>
        <w:t>4.4.2. Volatilità, stratificazione normativa ed assenza di coordinamento</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_Toc440030371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20</w:t>
      </w:r>
      <w:r w:rsidRPr="000F0C6F">
        <w:rPr>
          <w:rFonts w:ascii="Garamond" w:hAnsi="Garamond"/>
          <w:b/>
          <w:color w:val="0000FF"/>
          <w:sz w:val="24"/>
          <w:szCs w:val="24"/>
        </w:rPr>
        <w:fldChar w:fldCharType="end"/>
      </w:r>
    </w:p>
    <w:p w:rsidR="000F0C6F" w:rsidRDefault="000F0C6F" w:rsidP="000F0C6F">
      <w:pPr>
        <w:pStyle w:val="Sommario3"/>
        <w:tabs>
          <w:tab w:val="clear" w:pos="567"/>
          <w:tab w:val="clear" w:pos="644"/>
        </w:tabs>
        <w:ind w:left="851"/>
        <w:rPr>
          <w:rFonts w:asciiTheme="minorHAnsi" w:eastAsiaTheme="minorEastAsia" w:hAnsiTheme="minorHAnsi" w:cstheme="minorBidi"/>
          <w:szCs w:val="22"/>
        </w:rPr>
      </w:pPr>
      <w:r w:rsidRPr="00391086">
        <w:rPr>
          <w:rFonts w:ascii="Garamond" w:hAnsi="Garamond"/>
          <w:i/>
          <w:color w:val="0000FF"/>
        </w:rPr>
        <w:t>4.4.3. Discipline a carattere temporaneo, transitorio, sperimentale o derogatorio</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_Toc440030372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22</w:t>
      </w:r>
      <w:r w:rsidRPr="000F0C6F">
        <w:rPr>
          <w:rFonts w:ascii="Garamond" w:hAnsi="Garamond"/>
          <w:b/>
          <w:color w:val="0000FF"/>
          <w:sz w:val="24"/>
          <w:szCs w:val="24"/>
        </w:rPr>
        <w:fldChar w:fldCharType="end"/>
      </w:r>
    </w:p>
    <w:p w:rsidR="000F0C6F" w:rsidRDefault="000F0C6F" w:rsidP="000F0C6F">
      <w:pPr>
        <w:pStyle w:val="Sommario3"/>
        <w:tabs>
          <w:tab w:val="clear" w:pos="567"/>
          <w:tab w:val="clear" w:pos="644"/>
        </w:tabs>
        <w:ind w:left="851"/>
        <w:rPr>
          <w:rFonts w:asciiTheme="minorHAnsi" w:eastAsiaTheme="minorEastAsia" w:hAnsiTheme="minorHAnsi" w:cstheme="minorBidi"/>
          <w:szCs w:val="22"/>
        </w:rPr>
      </w:pPr>
      <w:r w:rsidRPr="00391086">
        <w:rPr>
          <w:rFonts w:ascii="Garamond" w:hAnsi="Garamond"/>
          <w:i/>
          <w:color w:val="0000FF"/>
        </w:rPr>
        <w:t>4.4.4. Parti descrittive, ricognitive, programmatiche o di principio</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_Toc440030373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26</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4.5. Sistema delle fonti</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_Toc440030374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29</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4.6. Richiami alla legge n. 400 del 1988</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_Toc440030375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36</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4.7. Profili della legislazione delegata</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_Toc440030376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44</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4.8. Omogeneità/eterogeneità del contenuto</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_Toc440030377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47</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4.9. Richiami alla legge n. 212 del 2000</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_Toc440030378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50</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4.10. Profili di coordinamento con disposizioni di rango costituzionale</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_Toc440030379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52</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i/>
          <w:color w:val="0000FF"/>
        </w:rPr>
        <w:t>4.11. La giurisprudenza della Corte costituzionale</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_Toc440030380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56</w:t>
      </w:r>
      <w:r w:rsidRPr="000F0C6F">
        <w:rPr>
          <w:rFonts w:ascii="Garamond" w:hAnsi="Garamond"/>
          <w:b/>
          <w:color w:val="0000FF"/>
          <w:sz w:val="24"/>
          <w:szCs w:val="24"/>
        </w:rPr>
        <w:fldChar w:fldCharType="end"/>
      </w:r>
    </w:p>
    <w:p w:rsidR="000F0C6F" w:rsidRDefault="000F0C6F" w:rsidP="000F0C6F">
      <w:pPr>
        <w:pStyle w:val="Sommario3"/>
        <w:tabs>
          <w:tab w:val="clear" w:pos="567"/>
          <w:tab w:val="clear" w:pos="644"/>
          <w:tab w:val="left" w:pos="851"/>
        </w:tabs>
        <w:ind w:left="851"/>
        <w:rPr>
          <w:rFonts w:asciiTheme="minorHAnsi" w:eastAsiaTheme="minorEastAsia" w:hAnsiTheme="minorHAnsi" w:cstheme="minorBidi"/>
          <w:szCs w:val="22"/>
        </w:rPr>
      </w:pPr>
      <w:r w:rsidRPr="00391086">
        <w:rPr>
          <w:rFonts w:ascii="Garamond" w:hAnsi="Garamond"/>
          <w:i/>
          <w:iCs/>
          <w:color w:val="0000FF"/>
        </w:rPr>
        <w:t>4.11.1. Limiti di contenuto dei decreti-legge</w:t>
      </w:r>
      <w:r>
        <w:tab/>
      </w:r>
      <w:r w:rsidRPr="00602C7D">
        <w:rPr>
          <w:rFonts w:ascii="Garamond" w:hAnsi="Garamond"/>
          <w:b/>
          <w:color w:val="0000FF"/>
          <w:sz w:val="24"/>
          <w:szCs w:val="24"/>
        </w:rPr>
        <w:fldChar w:fldCharType="begin" w:fldLock="1"/>
      </w:r>
      <w:r w:rsidRPr="00602C7D">
        <w:rPr>
          <w:rFonts w:ascii="Garamond" w:hAnsi="Garamond"/>
          <w:b/>
          <w:color w:val="0000FF"/>
          <w:sz w:val="24"/>
          <w:szCs w:val="24"/>
        </w:rPr>
        <w:instrText xml:space="preserve"> PAGEREF _Toc440030381 \h </w:instrText>
      </w:r>
      <w:r w:rsidRPr="00602C7D">
        <w:rPr>
          <w:rFonts w:ascii="Garamond" w:hAnsi="Garamond"/>
          <w:b/>
          <w:color w:val="0000FF"/>
          <w:sz w:val="24"/>
          <w:szCs w:val="24"/>
        </w:rPr>
      </w:r>
      <w:r w:rsidRPr="00602C7D">
        <w:rPr>
          <w:rFonts w:ascii="Garamond" w:hAnsi="Garamond"/>
          <w:b/>
          <w:color w:val="0000FF"/>
          <w:sz w:val="24"/>
          <w:szCs w:val="24"/>
        </w:rPr>
        <w:fldChar w:fldCharType="separate"/>
      </w:r>
      <w:r w:rsidR="00602C7D" w:rsidRPr="00602C7D">
        <w:rPr>
          <w:rFonts w:ascii="Garamond" w:hAnsi="Garamond"/>
          <w:b/>
          <w:color w:val="0000FF"/>
          <w:sz w:val="24"/>
          <w:szCs w:val="24"/>
        </w:rPr>
        <w:t>56</w:t>
      </w:r>
      <w:r w:rsidRPr="00602C7D">
        <w:rPr>
          <w:rFonts w:ascii="Garamond" w:hAnsi="Garamond"/>
          <w:b/>
          <w:color w:val="0000FF"/>
          <w:sz w:val="24"/>
          <w:szCs w:val="24"/>
        </w:rPr>
        <w:fldChar w:fldCharType="end"/>
      </w:r>
    </w:p>
    <w:p w:rsidR="000F0C6F" w:rsidRDefault="000F0C6F" w:rsidP="000F0C6F">
      <w:pPr>
        <w:pStyle w:val="Sommario3"/>
        <w:tabs>
          <w:tab w:val="clear" w:pos="567"/>
          <w:tab w:val="clear" w:pos="644"/>
          <w:tab w:val="left" w:pos="851"/>
        </w:tabs>
        <w:ind w:left="851"/>
        <w:rPr>
          <w:rFonts w:asciiTheme="minorHAnsi" w:eastAsiaTheme="minorEastAsia" w:hAnsiTheme="minorHAnsi" w:cstheme="minorBidi"/>
          <w:szCs w:val="22"/>
        </w:rPr>
      </w:pPr>
      <w:r w:rsidRPr="00391086">
        <w:rPr>
          <w:rFonts w:ascii="Garamond" w:hAnsi="Garamond"/>
          <w:i/>
          <w:iCs/>
          <w:color w:val="0000FF"/>
        </w:rPr>
        <w:t>4.11.2. La sentenza n. 70 del 2015</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_Toc440030382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57</w:t>
      </w:r>
      <w:r w:rsidRPr="000F0C6F">
        <w:rPr>
          <w:rFonts w:ascii="Garamond" w:hAnsi="Garamond"/>
          <w:b/>
          <w:color w:val="0000FF"/>
          <w:sz w:val="24"/>
          <w:szCs w:val="24"/>
        </w:rPr>
        <w:fldChar w:fldCharType="end"/>
      </w:r>
    </w:p>
    <w:p w:rsidR="000F0C6F" w:rsidRPr="000F0C6F" w:rsidRDefault="000F0C6F" w:rsidP="000F0C6F">
      <w:pPr>
        <w:pStyle w:val="Sommario3"/>
        <w:tabs>
          <w:tab w:val="clear" w:pos="567"/>
          <w:tab w:val="clear" w:pos="644"/>
          <w:tab w:val="left" w:pos="851"/>
        </w:tabs>
        <w:ind w:left="851"/>
        <w:rPr>
          <w:rFonts w:ascii="Garamond" w:hAnsi="Garamond"/>
          <w:i/>
          <w:iCs/>
          <w:color w:val="0000FF"/>
        </w:rPr>
      </w:pPr>
      <w:r w:rsidRPr="00391086">
        <w:rPr>
          <w:rFonts w:ascii="Garamond" w:hAnsi="Garamond"/>
          <w:i/>
          <w:iCs/>
          <w:color w:val="0000FF"/>
        </w:rPr>
        <w:lastRenderedPageBreak/>
        <w:t>4.11.3. Le deleghe legislative</w:t>
      </w:r>
      <w:r w:rsidRPr="000F0C6F">
        <w:rPr>
          <w:rFonts w:ascii="Garamond" w:hAnsi="Garamond"/>
          <w:i/>
          <w:iCs/>
          <w:color w:val="0000FF"/>
        </w:rP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_Toc440030383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58</w:t>
      </w:r>
      <w:r w:rsidRPr="000F0C6F">
        <w:rPr>
          <w:rFonts w:ascii="Garamond" w:hAnsi="Garamond"/>
          <w:b/>
          <w:color w:val="0000FF"/>
          <w:sz w:val="24"/>
          <w:szCs w:val="24"/>
        </w:rPr>
        <w:fldChar w:fldCharType="end"/>
      </w:r>
    </w:p>
    <w:p w:rsidR="000F0C6F" w:rsidRPr="000F0C6F" w:rsidRDefault="000F0C6F" w:rsidP="000F0C6F">
      <w:pPr>
        <w:pStyle w:val="Sommario3"/>
        <w:tabs>
          <w:tab w:val="clear" w:pos="567"/>
          <w:tab w:val="clear" w:pos="644"/>
          <w:tab w:val="left" w:pos="851"/>
        </w:tabs>
        <w:ind w:left="851"/>
        <w:rPr>
          <w:rFonts w:ascii="Garamond" w:hAnsi="Garamond"/>
          <w:i/>
          <w:iCs/>
          <w:color w:val="0000FF"/>
        </w:rPr>
      </w:pPr>
      <w:r w:rsidRPr="00391086">
        <w:rPr>
          <w:rFonts w:ascii="Garamond" w:hAnsi="Garamond"/>
          <w:i/>
          <w:iCs/>
          <w:color w:val="0000FF"/>
        </w:rPr>
        <w:t>4.11.4. Il principio di parità delle parti</w:t>
      </w:r>
      <w:r w:rsidRPr="000F0C6F">
        <w:rPr>
          <w:rFonts w:ascii="Garamond" w:hAnsi="Garamond"/>
          <w:i/>
          <w:iCs/>
          <w:color w:val="0000FF"/>
        </w:rP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_Toc440030384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58</w:t>
      </w:r>
      <w:r w:rsidRPr="000F0C6F">
        <w:rPr>
          <w:rFonts w:ascii="Garamond" w:hAnsi="Garamond"/>
          <w:b/>
          <w:color w:val="0000FF"/>
          <w:sz w:val="24"/>
          <w:szCs w:val="24"/>
        </w:rPr>
        <w:fldChar w:fldCharType="end"/>
      </w:r>
    </w:p>
    <w:p w:rsidR="000F0C6F" w:rsidRDefault="000F0C6F">
      <w:pPr>
        <w:pStyle w:val="Sommario2"/>
        <w:rPr>
          <w:rFonts w:asciiTheme="minorHAnsi" w:eastAsiaTheme="minorEastAsia" w:hAnsiTheme="minorHAnsi" w:cstheme="minorBidi"/>
          <w:b w:val="0"/>
          <w:sz w:val="22"/>
          <w:szCs w:val="22"/>
        </w:rPr>
      </w:pPr>
      <w:r w:rsidRPr="00391086">
        <w:rPr>
          <w:rFonts w:ascii="Garamond" w:hAnsi="Garamond"/>
          <w:bCs/>
          <w:i/>
          <w:iCs/>
          <w:color w:val="0000FF"/>
        </w:rPr>
        <w:t>V. CONCLUSIONI</w:t>
      </w:r>
      <w:r>
        <w:tab/>
      </w:r>
      <w:r w:rsidRPr="000F0C6F">
        <w:rPr>
          <w:rFonts w:ascii="Garamond" w:hAnsi="Garamond"/>
          <w:color w:val="0000FF"/>
          <w:sz w:val="24"/>
          <w:szCs w:val="24"/>
        </w:rPr>
        <w:fldChar w:fldCharType="begin" w:fldLock="1"/>
      </w:r>
      <w:r w:rsidRPr="000F0C6F">
        <w:rPr>
          <w:rFonts w:ascii="Garamond" w:hAnsi="Garamond"/>
          <w:color w:val="0000FF"/>
          <w:sz w:val="24"/>
          <w:szCs w:val="24"/>
        </w:rPr>
        <w:instrText xml:space="preserve"> PAGEREF _Toc440030385 \h </w:instrText>
      </w:r>
      <w:r w:rsidRPr="000F0C6F">
        <w:rPr>
          <w:rFonts w:ascii="Garamond" w:hAnsi="Garamond"/>
          <w:color w:val="0000FF"/>
          <w:sz w:val="24"/>
          <w:szCs w:val="24"/>
        </w:rPr>
      </w:r>
      <w:r w:rsidRPr="000F0C6F">
        <w:rPr>
          <w:rFonts w:ascii="Garamond" w:hAnsi="Garamond"/>
          <w:color w:val="0000FF"/>
          <w:sz w:val="24"/>
          <w:szCs w:val="24"/>
        </w:rPr>
        <w:fldChar w:fldCharType="separate"/>
      </w:r>
      <w:r w:rsidR="00602C7D">
        <w:rPr>
          <w:rFonts w:ascii="Garamond" w:hAnsi="Garamond"/>
          <w:color w:val="0000FF"/>
          <w:sz w:val="24"/>
          <w:szCs w:val="24"/>
        </w:rPr>
        <w:t>61</w:t>
      </w:r>
      <w:r w:rsidRPr="000F0C6F">
        <w:rPr>
          <w:rFonts w:ascii="Garamond" w:hAnsi="Garamond"/>
          <w:color w:val="0000FF"/>
          <w:sz w:val="24"/>
          <w:szCs w:val="24"/>
        </w:rPr>
        <w:fldChar w:fldCharType="end"/>
      </w:r>
    </w:p>
    <w:p w:rsidR="000F0C6F" w:rsidRDefault="000F0C6F">
      <w:pPr>
        <w:pStyle w:val="Sommario2"/>
        <w:rPr>
          <w:rFonts w:asciiTheme="minorHAnsi" w:eastAsiaTheme="minorEastAsia" w:hAnsiTheme="minorHAnsi" w:cstheme="minorBidi"/>
          <w:b w:val="0"/>
          <w:sz w:val="22"/>
          <w:szCs w:val="22"/>
        </w:rPr>
      </w:pPr>
      <w:r w:rsidRPr="00391086">
        <w:rPr>
          <w:rFonts w:ascii="Garamond" w:hAnsi="Garamond"/>
          <w:bCs/>
          <w:i/>
          <w:iCs/>
          <w:color w:val="0000FF"/>
        </w:rPr>
        <w:t>VI. TABELLE</w:t>
      </w:r>
      <w:r>
        <w:tab/>
      </w:r>
      <w:r w:rsidRPr="000F0C6F">
        <w:rPr>
          <w:rFonts w:ascii="Garamond" w:hAnsi="Garamond"/>
          <w:color w:val="0000FF"/>
          <w:sz w:val="24"/>
          <w:szCs w:val="24"/>
        </w:rPr>
        <w:fldChar w:fldCharType="begin" w:fldLock="1"/>
      </w:r>
      <w:r w:rsidRPr="000F0C6F">
        <w:rPr>
          <w:rFonts w:ascii="Garamond" w:hAnsi="Garamond"/>
          <w:color w:val="0000FF"/>
          <w:sz w:val="24"/>
          <w:szCs w:val="24"/>
        </w:rPr>
        <w:instrText xml:space="preserve"> PAGEREF _Toc440030386 \h </w:instrText>
      </w:r>
      <w:r w:rsidRPr="000F0C6F">
        <w:rPr>
          <w:rFonts w:ascii="Garamond" w:hAnsi="Garamond"/>
          <w:color w:val="0000FF"/>
          <w:sz w:val="24"/>
          <w:szCs w:val="24"/>
        </w:rPr>
      </w:r>
      <w:r w:rsidRPr="000F0C6F">
        <w:rPr>
          <w:rFonts w:ascii="Garamond" w:hAnsi="Garamond"/>
          <w:color w:val="0000FF"/>
          <w:sz w:val="24"/>
          <w:szCs w:val="24"/>
        </w:rPr>
        <w:fldChar w:fldCharType="separate"/>
      </w:r>
      <w:r w:rsidR="00602C7D">
        <w:rPr>
          <w:rFonts w:ascii="Garamond" w:hAnsi="Garamond"/>
          <w:color w:val="0000FF"/>
          <w:sz w:val="24"/>
          <w:szCs w:val="24"/>
        </w:rPr>
        <w:t>63</w:t>
      </w:r>
      <w:r w:rsidRPr="000F0C6F">
        <w:rPr>
          <w:rFonts w:ascii="Garamond" w:hAnsi="Garamond"/>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color w:val="0000FF"/>
        </w:rPr>
        <w:t>TAB. 1 “RILIEVI NEL PARERE”</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_Toc440030387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65</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color w:val="0000FF"/>
        </w:rPr>
        <w:t>TAB. 2 “RICHIAMI CIRCOLARE”</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_Toc440030388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67</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color w:val="0000FF"/>
        </w:rPr>
        <w:t>TAB. 3 “ULTERIORI RICHIAMI”</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_Toc440030389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68</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color w:val="0000FF"/>
        </w:rPr>
        <w:t>TAB. 4 “SISTEMA DELLE FONTI”</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_Toc440030390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69</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color w:val="0000FF"/>
        </w:rPr>
        <w:t>TAB. 5 “LEGGE 400/1988”</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_Toc440030391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71</w:t>
      </w:r>
      <w:r w:rsidRPr="000F0C6F">
        <w:rPr>
          <w:rFonts w:ascii="Garamond" w:hAnsi="Garamond"/>
          <w:b/>
          <w:color w:val="0000FF"/>
          <w:sz w:val="24"/>
          <w:szCs w:val="24"/>
        </w:rPr>
        <w:fldChar w:fldCharType="end"/>
      </w:r>
    </w:p>
    <w:p w:rsidR="000F0C6F" w:rsidRDefault="000F0C6F">
      <w:pPr>
        <w:pStyle w:val="Sommario3"/>
        <w:rPr>
          <w:rFonts w:asciiTheme="minorHAnsi" w:eastAsiaTheme="minorEastAsia" w:hAnsiTheme="minorHAnsi" w:cstheme="minorBidi"/>
          <w:szCs w:val="22"/>
        </w:rPr>
      </w:pPr>
      <w:r w:rsidRPr="00391086">
        <w:rPr>
          <w:rFonts w:ascii="Garamond" w:hAnsi="Garamond"/>
          <w:color w:val="0000FF"/>
        </w:rPr>
        <w:t>TAB. 6 “DISPOSIZIONI DI DELEGA”</w:t>
      </w:r>
      <w:r>
        <w:tab/>
      </w:r>
      <w:r w:rsidRPr="000F0C6F">
        <w:rPr>
          <w:rFonts w:ascii="Garamond" w:hAnsi="Garamond"/>
          <w:b/>
          <w:color w:val="0000FF"/>
          <w:sz w:val="24"/>
          <w:szCs w:val="24"/>
        </w:rPr>
        <w:fldChar w:fldCharType="begin" w:fldLock="1"/>
      </w:r>
      <w:r w:rsidRPr="000F0C6F">
        <w:rPr>
          <w:rFonts w:ascii="Garamond" w:hAnsi="Garamond"/>
          <w:b/>
          <w:color w:val="0000FF"/>
          <w:sz w:val="24"/>
          <w:szCs w:val="24"/>
        </w:rPr>
        <w:instrText xml:space="preserve"> PAGEREF _Toc440030392 \h </w:instrText>
      </w:r>
      <w:r w:rsidRPr="000F0C6F">
        <w:rPr>
          <w:rFonts w:ascii="Garamond" w:hAnsi="Garamond"/>
          <w:b/>
          <w:color w:val="0000FF"/>
          <w:sz w:val="24"/>
          <w:szCs w:val="24"/>
        </w:rPr>
      </w:r>
      <w:r w:rsidRPr="000F0C6F">
        <w:rPr>
          <w:rFonts w:ascii="Garamond" w:hAnsi="Garamond"/>
          <w:b/>
          <w:color w:val="0000FF"/>
          <w:sz w:val="24"/>
          <w:szCs w:val="24"/>
        </w:rPr>
        <w:fldChar w:fldCharType="separate"/>
      </w:r>
      <w:r w:rsidR="00602C7D">
        <w:rPr>
          <w:rFonts w:ascii="Garamond" w:hAnsi="Garamond"/>
          <w:b/>
          <w:color w:val="0000FF"/>
          <w:sz w:val="24"/>
          <w:szCs w:val="24"/>
        </w:rPr>
        <w:t>72</w:t>
      </w:r>
      <w:r w:rsidRPr="000F0C6F">
        <w:rPr>
          <w:rFonts w:ascii="Garamond" w:hAnsi="Garamond"/>
          <w:b/>
          <w:color w:val="0000FF"/>
          <w:sz w:val="24"/>
          <w:szCs w:val="24"/>
        </w:rPr>
        <w:fldChar w:fldCharType="end"/>
      </w:r>
    </w:p>
    <w:p w:rsidR="000F0C6F" w:rsidRDefault="00EB0878">
      <w:pPr>
        <w:pStyle w:val="Sommario2"/>
        <w:rPr>
          <w:rFonts w:asciiTheme="minorHAnsi" w:eastAsiaTheme="minorEastAsia" w:hAnsiTheme="minorHAnsi" w:cstheme="minorBidi"/>
          <w:b w:val="0"/>
          <w:sz w:val="22"/>
          <w:szCs w:val="22"/>
        </w:rPr>
      </w:pPr>
      <w:r>
        <w:rPr>
          <w:rFonts w:ascii="Garamond" w:hAnsi="Garamond"/>
          <w:bCs/>
          <w:i/>
          <w:iCs/>
          <w:color w:val="0000FF"/>
        </w:rPr>
        <w:t>VII. CLASSIFICAZIONE DEI PARERI</w:t>
      </w:r>
      <w:bookmarkStart w:id="5" w:name="_GoBack"/>
      <w:bookmarkEnd w:id="5"/>
      <w:r w:rsidR="000F0C6F">
        <w:tab/>
      </w:r>
      <w:r w:rsidR="000F0C6F" w:rsidRPr="000F0C6F">
        <w:rPr>
          <w:rFonts w:ascii="Garamond" w:hAnsi="Garamond"/>
          <w:color w:val="0000FF"/>
          <w:sz w:val="24"/>
          <w:szCs w:val="24"/>
        </w:rPr>
        <w:fldChar w:fldCharType="begin" w:fldLock="1"/>
      </w:r>
      <w:r w:rsidR="000F0C6F" w:rsidRPr="000F0C6F">
        <w:rPr>
          <w:rFonts w:ascii="Garamond" w:hAnsi="Garamond"/>
          <w:color w:val="0000FF"/>
          <w:sz w:val="24"/>
          <w:szCs w:val="24"/>
        </w:rPr>
        <w:instrText xml:space="preserve"> PAGEREF _Toc440030393 \h </w:instrText>
      </w:r>
      <w:r w:rsidR="000F0C6F" w:rsidRPr="000F0C6F">
        <w:rPr>
          <w:rFonts w:ascii="Garamond" w:hAnsi="Garamond"/>
          <w:color w:val="0000FF"/>
          <w:sz w:val="24"/>
          <w:szCs w:val="24"/>
        </w:rPr>
      </w:r>
      <w:r w:rsidR="000F0C6F" w:rsidRPr="000F0C6F">
        <w:rPr>
          <w:rFonts w:ascii="Garamond" w:hAnsi="Garamond"/>
          <w:color w:val="0000FF"/>
          <w:sz w:val="24"/>
          <w:szCs w:val="24"/>
        </w:rPr>
        <w:fldChar w:fldCharType="separate"/>
      </w:r>
      <w:r w:rsidR="00602C7D">
        <w:rPr>
          <w:rFonts w:ascii="Garamond" w:hAnsi="Garamond"/>
          <w:color w:val="0000FF"/>
          <w:sz w:val="24"/>
          <w:szCs w:val="24"/>
        </w:rPr>
        <w:t>73</w:t>
      </w:r>
      <w:r w:rsidR="000F0C6F" w:rsidRPr="000F0C6F">
        <w:rPr>
          <w:rFonts w:ascii="Garamond" w:hAnsi="Garamond"/>
          <w:color w:val="0000FF"/>
          <w:sz w:val="24"/>
          <w:szCs w:val="24"/>
        </w:rPr>
        <w:fldChar w:fldCharType="end"/>
      </w:r>
    </w:p>
    <w:p w:rsidR="004F269D" w:rsidRDefault="004F269D" w:rsidP="0003257F">
      <w:pPr>
        <w:rPr>
          <w:rFonts w:ascii="Garamond" w:hAnsi="Garamond"/>
        </w:rPr>
      </w:pPr>
      <w:r>
        <w:fldChar w:fldCharType="end"/>
      </w:r>
    </w:p>
    <w:p w:rsidR="0003257F" w:rsidRPr="0003257F" w:rsidRDefault="0003257F" w:rsidP="0003257F"/>
    <w:p w:rsidR="0003257F" w:rsidRPr="0003257F" w:rsidRDefault="0003257F" w:rsidP="0003257F">
      <w:pPr>
        <w:sectPr w:rsidR="0003257F" w:rsidRPr="0003257F" w:rsidSect="0003257F">
          <w:headerReference w:type="default" r:id="rId12"/>
          <w:footerReference w:type="default" r:id="rId13"/>
          <w:type w:val="oddPage"/>
          <w:pgSz w:w="11906" w:h="16838" w:code="9"/>
          <w:pgMar w:top="1985" w:right="1985" w:bottom="1985" w:left="1985" w:header="1134" w:footer="1134" w:gutter="0"/>
          <w:pgNumType w:fmt="upperRoman" w:start="1"/>
          <w:cols w:space="720"/>
          <w:formProt w:val="0"/>
        </w:sectPr>
      </w:pPr>
    </w:p>
    <w:p w:rsidR="00430F18" w:rsidRPr="00063D88" w:rsidRDefault="00430F18" w:rsidP="00040C11">
      <w:pPr>
        <w:pStyle w:val="Titolo1"/>
        <w:rPr>
          <w:rFonts w:ascii="Garamond" w:hAnsi="Garamond"/>
          <w:i/>
          <w:color w:val="0000FF"/>
          <w:sz w:val="44"/>
          <w:szCs w:val="44"/>
        </w:rPr>
      </w:pPr>
      <w:bookmarkStart w:id="6" w:name="_Toc439082227"/>
      <w:bookmarkStart w:id="7" w:name="_Toc439953643"/>
      <w:bookmarkStart w:id="8" w:name="_Toc440030357"/>
      <w:r w:rsidRPr="00063D88">
        <w:rPr>
          <w:rFonts w:ascii="Garamond" w:hAnsi="Garamond"/>
          <w:i/>
          <w:color w:val="0000FF"/>
          <w:sz w:val="44"/>
          <w:szCs w:val="44"/>
        </w:rPr>
        <w:lastRenderedPageBreak/>
        <w:t>PREMESSA</w:t>
      </w:r>
      <w:bookmarkEnd w:id="3"/>
      <w:bookmarkEnd w:id="4"/>
      <w:bookmarkEnd w:id="6"/>
      <w:bookmarkEnd w:id="7"/>
      <w:bookmarkEnd w:id="8"/>
    </w:p>
    <w:p w:rsidR="0029354A" w:rsidRDefault="00430F18" w:rsidP="008329E9">
      <w:pPr>
        <w:spacing w:before="120" w:after="120"/>
        <w:rPr>
          <w:rFonts w:ascii="Garamond" w:hAnsi="Garamond"/>
          <w:i/>
          <w:sz w:val="32"/>
          <w:szCs w:val="32"/>
        </w:rPr>
      </w:pPr>
      <w:r w:rsidRPr="00063D88">
        <w:rPr>
          <w:rFonts w:ascii="Garamond" w:hAnsi="Garamond"/>
          <w:i/>
          <w:sz w:val="32"/>
          <w:szCs w:val="32"/>
        </w:rPr>
        <w:t xml:space="preserve">Il </w:t>
      </w:r>
      <w:r w:rsidR="00754715">
        <w:rPr>
          <w:rFonts w:ascii="Garamond" w:hAnsi="Garamond"/>
          <w:i/>
          <w:sz w:val="32"/>
          <w:szCs w:val="32"/>
        </w:rPr>
        <w:t>terz</w:t>
      </w:r>
      <w:r w:rsidR="002400F9">
        <w:rPr>
          <w:rFonts w:ascii="Garamond" w:hAnsi="Garamond"/>
          <w:i/>
          <w:sz w:val="32"/>
          <w:szCs w:val="32"/>
        </w:rPr>
        <w:t>o</w:t>
      </w:r>
      <w:r w:rsidR="003005AB" w:rsidRPr="00063D88">
        <w:rPr>
          <w:rFonts w:ascii="Garamond" w:hAnsi="Garamond"/>
          <w:i/>
          <w:sz w:val="32"/>
          <w:szCs w:val="32"/>
        </w:rPr>
        <w:t xml:space="preserve"> </w:t>
      </w:r>
      <w:r w:rsidRPr="00063D88">
        <w:rPr>
          <w:rFonts w:ascii="Garamond" w:hAnsi="Garamond"/>
          <w:i/>
          <w:sz w:val="32"/>
          <w:szCs w:val="32"/>
        </w:rPr>
        <w:t>turno di presidenza del Comitato per la legislazione</w:t>
      </w:r>
      <w:r w:rsidR="00D2239A">
        <w:rPr>
          <w:rFonts w:ascii="Garamond" w:hAnsi="Garamond"/>
          <w:i/>
          <w:sz w:val="32"/>
          <w:szCs w:val="32"/>
        </w:rPr>
        <w:t xml:space="preserve"> </w:t>
      </w:r>
      <w:r w:rsidR="008329E9">
        <w:rPr>
          <w:rFonts w:ascii="Garamond" w:hAnsi="Garamond"/>
          <w:i/>
          <w:sz w:val="32"/>
          <w:szCs w:val="32"/>
        </w:rPr>
        <w:t xml:space="preserve">si colloca </w:t>
      </w:r>
      <w:r w:rsidR="0077331C">
        <w:rPr>
          <w:rFonts w:ascii="Garamond" w:hAnsi="Garamond"/>
          <w:i/>
          <w:sz w:val="32"/>
          <w:szCs w:val="32"/>
        </w:rPr>
        <w:t>i</w:t>
      </w:r>
      <w:r w:rsidR="008329E9">
        <w:rPr>
          <w:rFonts w:ascii="Garamond" w:hAnsi="Garamond"/>
          <w:i/>
          <w:sz w:val="32"/>
          <w:szCs w:val="32"/>
        </w:rPr>
        <w:t>n una fase centrale della legislatura, che presenta, dal punto di vista della produzione normativa, caratteristiche diverse rispetto ai primi due turni di presidenza.</w:t>
      </w:r>
    </w:p>
    <w:p w:rsidR="008329E9" w:rsidRDefault="008329E9" w:rsidP="000B3D90">
      <w:pPr>
        <w:spacing w:before="120" w:after="120"/>
        <w:rPr>
          <w:rFonts w:ascii="Garamond" w:hAnsi="Garamond"/>
          <w:i/>
          <w:sz w:val="32"/>
          <w:szCs w:val="32"/>
        </w:rPr>
      </w:pPr>
      <w:r>
        <w:rPr>
          <w:rFonts w:ascii="Garamond" w:hAnsi="Garamond"/>
          <w:i/>
          <w:sz w:val="32"/>
          <w:szCs w:val="32"/>
        </w:rPr>
        <w:t xml:space="preserve">Già con riguardo ai precedenti dieci mesi il presidente </w:t>
      </w:r>
      <w:r w:rsidRPr="006769E4">
        <w:rPr>
          <w:rFonts w:ascii="Garamond" w:hAnsi="Garamond"/>
          <w:sz w:val="32"/>
          <w:szCs w:val="32"/>
        </w:rPr>
        <w:t>pro tempore</w:t>
      </w:r>
      <w:r>
        <w:rPr>
          <w:rFonts w:ascii="Garamond" w:hAnsi="Garamond"/>
          <w:i/>
          <w:sz w:val="32"/>
          <w:szCs w:val="32"/>
        </w:rPr>
        <w:t xml:space="preserve"> Taglialatela aveva individuato qualche elemento di novità nel procedere della legislatura: </w:t>
      </w:r>
    </w:p>
    <w:p w:rsidR="008329E9" w:rsidRDefault="008329E9" w:rsidP="000B3D90">
      <w:pPr>
        <w:spacing w:before="120" w:after="120"/>
        <w:rPr>
          <w:rFonts w:ascii="Garamond" w:hAnsi="Garamond"/>
          <w:i/>
          <w:sz w:val="32"/>
          <w:szCs w:val="32"/>
        </w:rPr>
      </w:pPr>
      <w:r>
        <w:rPr>
          <w:rFonts w:ascii="Garamond" w:hAnsi="Garamond"/>
          <w:i/>
          <w:sz w:val="32"/>
          <w:szCs w:val="32"/>
        </w:rPr>
        <w:t xml:space="preserve">in primo luogo, lo sforzo di evitare i cosiddetti decreti-legge </w:t>
      </w:r>
      <w:r w:rsidRPr="003A2E5E">
        <w:rPr>
          <w:rFonts w:ascii="Garamond" w:hAnsi="Garamond"/>
          <w:sz w:val="32"/>
          <w:szCs w:val="32"/>
        </w:rPr>
        <w:t>omnibus</w:t>
      </w:r>
      <w:r>
        <w:rPr>
          <w:rFonts w:ascii="Garamond" w:hAnsi="Garamond"/>
          <w:i/>
          <w:sz w:val="32"/>
          <w:szCs w:val="32"/>
        </w:rPr>
        <w:t>, anche se restava marcato il carattere intersettoriale di numerosi provvedimenti d’urgenza;</w:t>
      </w:r>
    </w:p>
    <w:p w:rsidR="00F8299A" w:rsidRDefault="008329E9" w:rsidP="000B3D90">
      <w:pPr>
        <w:spacing w:before="120" w:after="120"/>
        <w:rPr>
          <w:rFonts w:ascii="Garamond" w:hAnsi="Garamond"/>
          <w:i/>
          <w:sz w:val="32"/>
          <w:szCs w:val="32"/>
        </w:rPr>
      </w:pPr>
      <w:r>
        <w:rPr>
          <w:rFonts w:ascii="Garamond" w:hAnsi="Garamond"/>
          <w:i/>
          <w:sz w:val="32"/>
          <w:szCs w:val="32"/>
        </w:rPr>
        <w:t>in secondo luogo, l’intensificata attenzione per gl</w:t>
      </w:r>
      <w:r w:rsidR="00162F25">
        <w:rPr>
          <w:rFonts w:ascii="Garamond" w:hAnsi="Garamond"/>
          <w:i/>
          <w:sz w:val="32"/>
          <w:szCs w:val="32"/>
        </w:rPr>
        <w:t xml:space="preserve">i </w:t>
      </w:r>
      <w:r>
        <w:rPr>
          <w:rFonts w:ascii="Garamond" w:hAnsi="Garamond"/>
          <w:i/>
          <w:sz w:val="32"/>
          <w:szCs w:val="32"/>
        </w:rPr>
        <w:t>adempimenti (spesso atipici) previsti dagli atti legislativi</w:t>
      </w:r>
      <w:r w:rsidR="00162F25">
        <w:rPr>
          <w:rFonts w:ascii="Garamond" w:hAnsi="Garamond"/>
          <w:i/>
          <w:sz w:val="32"/>
          <w:szCs w:val="32"/>
        </w:rPr>
        <w:t xml:space="preserve">, sia con un costante monitoraggio dello </w:t>
      </w:r>
      <w:r w:rsidR="00162F25" w:rsidRPr="006769E4">
        <w:rPr>
          <w:rFonts w:ascii="Garamond" w:hAnsi="Garamond"/>
          <w:sz w:val="32"/>
          <w:szCs w:val="32"/>
        </w:rPr>
        <w:t>stock</w:t>
      </w:r>
      <w:r w:rsidR="00162F25">
        <w:rPr>
          <w:rFonts w:ascii="Garamond" w:hAnsi="Garamond"/>
          <w:i/>
          <w:sz w:val="32"/>
          <w:szCs w:val="32"/>
        </w:rPr>
        <w:t xml:space="preserve"> ereditato dai precedenti Governi sia con un impegno a</w:t>
      </w:r>
      <w:r w:rsidR="0065354C">
        <w:rPr>
          <w:rFonts w:ascii="Garamond" w:hAnsi="Garamond"/>
          <w:i/>
          <w:sz w:val="32"/>
          <w:szCs w:val="32"/>
        </w:rPr>
        <w:t xml:space="preserve"> limitare il rimando a successivi provvedimenti attuativi, attraverso la scrittura di norme auto-applicative.</w:t>
      </w:r>
    </w:p>
    <w:p w:rsidR="008329E9" w:rsidRDefault="0065354C" w:rsidP="000B3D90">
      <w:pPr>
        <w:spacing w:before="120" w:after="120"/>
        <w:rPr>
          <w:rFonts w:ascii="Garamond" w:hAnsi="Garamond"/>
          <w:i/>
          <w:sz w:val="32"/>
          <w:szCs w:val="32"/>
        </w:rPr>
      </w:pPr>
      <w:r>
        <w:rPr>
          <w:rFonts w:ascii="Garamond" w:hAnsi="Garamond"/>
          <w:i/>
          <w:sz w:val="32"/>
          <w:szCs w:val="32"/>
        </w:rPr>
        <w:t>In quest</w:t>
      </w:r>
      <w:r w:rsidR="008329E9">
        <w:rPr>
          <w:rFonts w:ascii="Garamond" w:hAnsi="Garamond"/>
          <w:i/>
          <w:sz w:val="32"/>
          <w:szCs w:val="32"/>
        </w:rPr>
        <w:t xml:space="preserve">i dieci mesi, il quadro si è ulteriormente evoluto: </w:t>
      </w:r>
    </w:p>
    <w:p w:rsidR="008329E9" w:rsidRDefault="008329E9" w:rsidP="000B3D90">
      <w:pPr>
        <w:spacing w:before="120" w:after="120"/>
        <w:rPr>
          <w:rFonts w:ascii="Garamond" w:hAnsi="Garamond"/>
          <w:i/>
          <w:sz w:val="32"/>
          <w:szCs w:val="32"/>
        </w:rPr>
      </w:pPr>
      <w:r>
        <w:rPr>
          <w:rFonts w:ascii="Garamond" w:hAnsi="Garamond"/>
          <w:i/>
          <w:sz w:val="32"/>
          <w:szCs w:val="32"/>
        </w:rPr>
        <w:t xml:space="preserve">i decreti-legge vengono utilizzati con una certa parsimonia e presentano – con poche eccezioni – caratteristiche di omogeneità; </w:t>
      </w:r>
    </w:p>
    <w:p w:rsidR="008329E9" w:rsidRDefault="008329E9" w:rsidP="000B3D90">
      <w:pPr>
        <w:spacing w:before="120" w:after="120"/>
        <w:rPr>
          <w:rFonts w:ascii="Garamond" w:hAnsi="Garamond"/>
          <w:i/>
          <w:sz w:val="32"/>
          <w:szCs w:val="32"/>
        </w:rPr>
      </w:pPr>
      <w:r>
        <w:rPr>
          <w:rFonts w:ascii="Garamond" w:hAnsi="Garamond"/>
          <w:i/>
          <w:sz w:val="32"/>
          <w:szCs w:val="32"/>
        </w:rPr>
        <w:t>gli adempimenti previsti negli atti legislativi, pur numerosi, appaiono maggiormente rispettosi del sistema delle fonti: diminuisce il ricorso a strumenti atipici; per esempio, in nessun parere è stata constata</w:t>
      </w:r>
      <w:r w:rsidR="006769E4">
        <w:rPr>
          <w:rFonts w:ascii="Garamond" w:hAnsi="Garamond"/>
          <w:i/>
          <w:sz w:val="32"/>
          <w:szCs w:val="32"/>
        </w:rPr>
        <w:t>ta</w:t>
      </w:r>
      <w:r>
        <w:rPr>
          <w:rFonts w:ascii="Garamond" w:hAnsi="Garamond"/>
          <w:i/>
          <w:sz w:val="32"/>
          <w:szCs w:val="32"/>
        </w:rPr>
        <w:t xml:space="preserve"> la previsione di decreti ministeriali di natura non regolamentare</w:t>
      </w:r>
      <w:r w:rsidR="003F1EC0">
        <w:rPr>
          <w:rFonts w:ascii="Garamond" w:hAnsi="Garamond"/>
          <w:i/>
          <w:sz w:val="32"/>
          <w:szCs w:val="32"/>
        </w:rPr>
        <w:t>. In più, una delega prevista nell’articolo 21 della legge 7 agosto 2015, n. 124 punta a fare ordine nelle disposizioni emanate negli ultimi anni che prevedono adempimenti mai attuati</w:t>
      </w:r>
      <w:r>
        <w:rPr>
          <w:rFonts w:ascii="Garamond" w:hAnsi="Garamond"/>
          <w:i/>
          <w:sz w:val="32"/>
          <w:szCs w:val="32"/>
        </w:rPr>
        <w:t>;</w:t>
      </w:r>
    </w:p>
    <w:p w:rsidR="003F1EC0" w:rsidRDefault="008329E9" w:rsidP="000B3D90">
      <w:pPr>
        <w:spacing w:before="120" w:after="120"/>
        <w:rPr>
          <w:rFonts w:ascii="Garamond" w:hAnsi="Garamond"/>
          <w:i/>
          <w:sz w:val="32"/>
          <w:szCs w:val="32"/>
        </w:rPr>
      </w:pPr>
      <w:r>
        <w:rPr>
          <w:rFonts w:ascii="Garamond" w:hAnsi="Garamond"/>
          <w:i/>
          <w:sz w:val="32"/>
          <w:szCs w:val="32"/>
        </w:rPr>
        <w:t>cresce sensibilmente l’attenzione per la legislazio</w:t>
      </w:r>
      <w:r w:rsidR="003F1EC0">
        <w:rPr>
          <w:rFonts w:ascii="Garamond" w:hAnsi="Garamond"/>
          <w:i/>
          <w:sz w:val="32"/>
          <w:szCs w:val="32"/>
        </w:rPr>
        <w:t>ne delegata, per lo più rivolta a complessi procedimenti di riforma: ne sono testimoni gli 11 pareri (su 27) espressi dal Comitato.</w:t>
      </w:r>
    </w:p>
    <w:p w:rsidR="003F1EC0" w:rsidRDefault="003F1EC0" w:rsidP="000B3D90">
      <w:pPr>
        <w:spacing w:before="120" w:after="120"/>
        <w:rPr>
          <w:rFonts w:ascii="Garamond" w:hAnsi="Garamond"/>
          <w:i/>
          <w:sz w:val="32"/>
          <w:szCs w:val="32"/>
        </w:rPr>
      </w:pPr>
      <w:r>
        <w:rPr>
          <w:rFonts w:ascii="Garamond" w:hAnsi="Garamond"/>
          <w:i/>
          <w:sz w:val="32"/>
          <w:szCs w:val="32"/>
        </w:rPr>
        <w:lastRenderedPageBreak/>
        <w:t xml:space="preserve">Restano le </w:t>
      </w:r>
      <w:r w:rsidR="0065354C">
        <w:rPr>
          <w:rFonts w:ascii="Garamond" w:hAnsi="Garamond"/>
          <w:i/>
          <w:sz w:val="32"/>
          <w:szCs w:val="32"/>
        </w:rPr>
        <w:t>problematic</w:t>
      </w:r>
      <w:r>
        <w:rPr>
          <w:rFonts w:ascii="Garamond" w:hAnsi="Garamond"/>
          <w:i/>
          <w:sz w:val="32"/>
          <w:szCs w:val="32"/>
        </w:rPr>
        <w:t xml:space="preserve">ità evidenziate in tutti i rapporti degli ultimi anni, poiché </w:t>
      </w:r>
      <w:r w:rsidR="0065354C">
        <w:rPr>
          <w:rFonts w:ascii="Garamond" w:hAnsi="Garamond"/>
          <w:i/>
          <w:sz w:val="32"/>
          <w:szCs w:val="32"/>
        </w:rPr>
        <w:t xml:space="preserve">la produzione normativa resta volatile, stratificata, </w:t>
      </w:r>
      <w:r>
        <w:rPr>
          <w:rFonts w:ascii="Garamond" w:hAnsi="Garamond"/>
          <w:i/>
          <w:sz w:val="32"/>
          <w:szCs w:val="32"/>
        </w:rPr>
        <w:t>difficile da attuare.</w:t>
      </w:r>
    </w:p>
    <w:p w:rsidR="0065354C" w:rsidRDefault="003F1EC0" w:rsidP="000B3D90">
      <w:pPr>
        <w:spacing w:before="120" w:after="120"/>
        <w:rPr>
          <w:rFonts w:ascii="Garamond" w:hAnsi="Garamond"/>
          <w:i/>
          <w:sz w:val="32"/>
          <w:szCs w:val="32"/>
        </w:rPr>
      </w:pPr>
      <w:r>
        <w:rPr>
          <w:rFonts w:ascii="Garamond" w:hAnsi="Garamond"/>
          <w:i/>
          <w:sz w:val="32"/>
          <w:szCs w:val="32"/>
        </w:rPr>
        <w:t>I</w:t>
      </w:r>
      <w:r w:rsidR="0065354C">
        <w:rPr>
          <w:rFonts w:ascii="Garamond" w:hAnsi="Garamond"/>
          <w:i/>
          <w:sz w:val="32"/>
          <w:szCs w:val="32"/>
        </w:rPr>
        <w:t xml:space="preserve">l Comitato per la legislazione ha </w:t>
      </w:r>
      <w:r>
        <w:rPr>
          <w:rFonts w:ascii="Garamond" w:hAnsi="Garamond"/>
          <w:i/>
          <w:sz w:val="32"/>
          <w:szCs w:val="32"/>
        </w:rPr>
        <w:t>continuato la propria</w:t>
      </w:r>
      <w:r w:rsidR="0065354C">
        <w:rPr>
          <w:rFonts w:ascii="Garamond" w:hAnsi="Garamond"/>
          <w:i/>
          <w:sz w:val="32"/>
          <w:szCs w:val="32"/>
        </w:rPr>
        <w:t xml:space="preserve"> attività</w:t>
      </w:r>
      <w:r w:rsidR="001260A8">
        <w:rPr>
          <w:rFonts w:ascii="Garamond" w:hAnsi="Garamond"/>
          <w:i/>
          <w:sz w:val="32"/>
          <w:szCs w:val="32"/>
        </w:rPr>
        <w:t>, non limitandosi</w:t>
      </w:r>
      <w:r w:rsidR="0065354C">
        <w:rPr>
          <w:rFonts w:ascii="Garamond" w:hAnsi="Garamond"/>
          <w:i/>
          <w:sz w:val="32"/>
          <w:szCs w:val="32"/>
        </w:rPr>
        <w:t xml:space="preserve"> all’espressione dei pareri</w:t>
      </w:r>
      <w:r w:rsidR="001260A8">
        <w:rPr>
          <w:rFonts w:ascii="Garamond" w:hAnsi="Garamond"/>
          <w:i/>
          <w:sz w:val="32"/>
          <w:szCs w:val="32"/>
        </w:rPr>
        <w:t>: s</w:t>
      </w:r>
      <w:r w:rsidR="006769E4">
        <w:rPr>
          <w:rFonts w:ascii="Garamond" w:hAnsi="Garamond"/>
          <w:i/>
          <w:sz w:val="32"/>
          <w:szCs w:val="32"/>
        </w:rPr>
        <w:t>i s</w:t>
      </w:r>
      <w:r w:rsidR="001260A8">
        <w:rPr>
          <w:rFonts w:ascii="Garamond" w:hAnsi="Garamond"/>
          <w:i/>
          <w:sz w:val="32"/>
          <w:szCs w:val="32"/>
        </w:rPr>
        <w:t xml:space="preserve">ono </w:t>
      </w:r>
      <w:r w:rsidR="006769E4">
        <w:rPr>
          <w:rFonts w:ascii="Garamond" w:hAnsi="Garamond"/>
          <w:i/>
          <w:sz w:val="32"/>
          <w:szCs w:val="32"/>
        </w:rPr>
        <w:t>intensifica</w:t>
      </w:r>
      <w:r w:rsidR="001260A8">
        <w:rPr>
          <w:rFonts w:ascii="Garamond" w:hAnsi="Garamond"/>
          <w:i/>
          <w:sz w:val="32"/>
          <w:szCs w:val="32"/>
        </w:rPr>
        <w:t xml:space="preserve">ti i contatti informali con le Commissioni di merito, cui sono state sottoposte, generalmente con successo, talune questioni di </w:t>
      </w:r>
      <w:r w:rsidR="001260A8" w:rsidRPr="001260A8">
        <w:rPr>
          <w:rFonts w:ascii="Garamond" w:hAnsi="Garamond"/>
          <w:sz w:val="32"/>
          <w:szCs w:val="32"/>
        </w:rPr>
        <w:t>drafting</w:t>
      </w:r>
      <w:r w:rsidR="001260A8">
        <w:rPr>
          <w:rFonts w:ascii="Garamond" w:hAnsi="Garamond"/>
          <w:sz w:val="32"/>
          <w:szCs w:val="32"/>
        </w:rPr>
        <w:t xml:space="preserve">; </w:t>
      </w:r>
      <w:r w:rsidR="001260A8" w:rsidRPr="001260A8">
        <w:rPr>
          <w:rFonts w:ascii="Garamond" w:hAnsi="Garamond"/>
          <w:i/>
          <w:sz w:val="32"/>
          <w:szCs w:val="32"/>
        </w:rPr>
        <w:t>le condizioni di diversi pareri sono state trasfuse in</w:t>
      </w:r>
      <w:r w:rsidR="0065354C" w:rsidRPr="001260A8">
        <w:rPr>
          <w:rFonts w:ascii="Garamond" w:hAnsi="Garamond"/>
          <w:i/>
          <w:sz w:val="32"/>
          <w:szCs w:val="32"/>
        </w:rPr>
        <w:t xml:space="preserve"> emendamenti</w:t>
      </w:r>
      <w:r w:rsidR="006A7014" w:rsidRPr="001260A8">
        <w:rPr>
          <w:rFonts w:ascii="Garamond" w:hAnsi="Garamond"/>
          <w:i/>
          <w:sz w:val="32"/>
          <w:szCs w:val="32"/>
        </w:rPr>
        <w:t>; si</w:t>
      </w:r>
      <w:r w:rsidR="006A7014">
        <w:rPr>
          <w:rFonts w:ascii="Garamond" w:hAnsi="Garamond"/>
          <w:i/>
          <w:sz w:val="32"/>
          <w:szCs w:val="32"/>
        </w:rPr>
        <w:t xml:space="preserve"> è svolta</w:t>
      </w:r>
      <w:r w:rsidR="0065354C">
        <w:rPr>
          <w:rFonts w:ascii="Garamond" w:hAnsi="Garamond"/>
          <w:i/>
          <w:sz w:val="32"/>
          <w:szCs w:val="32"/>
        </w:rPr>
        <w:t xml:space="preserve"> una riflessione ad ampio raggio sul sistema delle fonti e sulle prospettive di riforma </w:t>
      </w:r>
      <w:r w:rsidR="00162F25">
        <w:rPr>
          <w:rFonts w:ascii="Garamond" w:hAnsi="Garamond"/>
          <w:i/>
          <w:sz w:val="32"/>
          <w:szCs w:val="32"/>
        </w:rPr>
        <w:t>costituzionale</w:t>
      </w:r>
      <w:r w:rsidR="0065354C">
        <w:rPr>
          <w:rFonts w:ascii="Garamond" w:hAnsi="Garamond"/>
          <w:i/>
          <w:sz w:val="32"/>
          <w:szCs w:val="32"/>
        </w:rPr>
        <w:t xml:space="preserve">, </w:t>
      </w:r>
      <w:r w:rsidR="00162F25">
        <w:rPr>
          <w:rFonts w:ascii="Garamond" w:hAnsi="Garamond"/>
          <w:i/>
          <w:sz w:val="32"/>
          <w:szCs w:val="32"/>
        </w:rPr>
        <w:t>con il conveg</w:t>
      </w:r>
      <w:r w:rsidR="001260A8">
        <w:rPr>
          <w:rFonts w:ascii="Garamond" w:hAnsi="Garamond"/>
          <w:i/>
          <w:sz w:val="32"/>
          <w:szCs w:val="32"/>
        </w:rPr>
        <w:t>n</w:t>
      </w:r>
      <w:r>
        <w:rPr>
          <w:rFonts w:ascii="Garamond" w:hAnsi="Garamond"/>
          <w:i/>
          <w:sz w:val="32"/>
          <w:szCs w:val="32"/>
        </w:rPr>
        <w:t>o svoltosi il 22 gennaio 2015, che ha segnato il passaggio delle consegne dal presidente Taglialatela al sottoscritto.</w:t>
      </w:r>
    </w:p>
    <w:p w:rsidR="00456851" w:rsidRDefault="006A7014" w:rsidP="00456851">
      <w:pPr>
        <w:rPr>
          <w:rFonts w:ascii="Garamond" w:hAnsi="Garamond"/>
          <w:i/>
          <w:sz w:val="32"/>
          <w:szCs w:val="32"/>
        </w:rPr>
      </w:pPr>
      <w:r w:rsidRPr="00F71A09">
        <w:rPr>
          <w:rFonts w:ascii="Garamond" w:hAnsi="Garamond"/>
          <w:i/>
          <w:sz w:val="32"/>
          <w:szCs w:val="32"/>
        </w:rPr>
        <w:t xml:space="preserve">Al rapporto </w:t>
      </w:r>
      <w:r w:rsidR="00F71A09" w:rsidRPr="00F71A09">
        <w:rPr>
          <w:rFonts w:ascii="Garamond" w:hAnsi="Garamond"/>
          <w:i/>
          <w:sz w:val="32"/>
          <w:szCs w:val="32"/>
        </w:rPr>
        <w:t>s</w:t>
      </w:r>
      <w:r w:rsidR="00EE5C7E">
        <w:rPr>
          <w:rFonts w:ascii="Garamond" w:hAnsi="Garamond"/>
          <w:i/>
          <w:sz w:val="32"/>
          <w:szCs w:val="32"/>
        </w:rPr>
        <w:t>aran</w:t>
      </w:r>
      <w:r w:rsidR="00F71A09" w:rsidRPr="00F71A09">
        <w:rPr>
          <w:rFonts w:ascii="Garamond" w:hAnsi="Garamond"/>
          <w:i/>
          <w:sz w:val="32"/>
          <w:szCs w:val="32"/>
        </w:rPr>
        <w:t>no</w:t>
      </w:r>
      <w:r w:rsidR="00C7574F" w:rsidRPr="00F71A09">
        <w:rPr>
          <w:rFonts w:ascii="Garamond" w:hAnsi="Garamond"/>
          <w:i/>
          <w:sz w:val="32"/>
          <w:szCs w:val="32"/>
        </w:rPr>
        <w:t xml:space="preserve"> allegat</w:t>
      </w:r>
      <w:r w:rsidR="00F71A09" w:rsidRPr="00F71A09">
        <w:rPr>
          <w:rFonts w:ascii="Garamond" w:hAnsi="Garamond"/>
          <w:i/>
          <w:sz w:val="32"/>
          <w:szCs w:val="32"/>
        </w:rPr>
        <w:t>e</w:t>
      </w:r>
      <w:r w:rsidR="00C7574F" w:rsidRPr="00F71A09">
        <w:rPr>
          <w:rFonts w:ascii="Garamond" w:hAnsi="Garamond"/>
          <w:i/>
          <w:sz w:val="32"/>
          <w:szCs w:val="32"/>
        </w:rPr>
        <w:t xml:space="preserve"> </w:t>
      </w:r>
      <w:r w:rsidR="00456851" w:rsidRPr="00F71A09">
        <w:rPr>
          <w:rFonts w:ascii="Garamond" w:hAnsi="Garamond"/>
          <w:i/>
          <w:sz w:val="32"/>
          <w:szCs w:val="32"/>
        </w:rPr>
        <w:t>schede analitiche (navigabili al loro interno) ne</w:t>
      </w:r>
      <w:r w:rsidR="001459B9" w:rsidRPr="00F71A09">
        <w:rPr>
          <w:rFonts w:ascii="Garamond" w:hAnsi="Garamond"/>
          <w:i/>
          <w:sz w:val="32"/>
          <w:szCs w:val="32"/>
        </w:rPr>
        <w:t>lle</w:t>
      </w:r>
      <w:r w:rsidR="00456851" w:rsidRPr="00F71A09">
        <w:rPr>
          <w:rFonts w:ascii="Garamond" w:hAnsi="Garamond"/>
          <w:i/>
          <w:sz w:val="32"/>
          <w:szCs w:val="32"/>
        </w:rPr>
        <w:t xml:space="preserve"> quali si offre una lettura </w:t>
      </w:r>
      <w:r w:rsidR="001459B9" w:rsidRPr="00F71A09">
        <w:rPr>
          <w:rFonts w:ascii="Garamond" w:hAnsi="Garamond"/>
          <w:i/>
          <w:sz w:val="32"/>
          <w:szCs w:val="32"/>
        </w:rPr>
        <w:t xml:space="preserve">circostanziata </w:t>
      </w:r>
      <w:r w:rsidR="00456851" w:rsidRPr="00F71A09">
        <w:rPr>
          <w:rFonts w:ascii="Garamond" w:hAnsi="Garamond"/>
          <w:i/>
          <w:sz w:val="32"/>
          <w:szCs w:val="32"/>
        </w:rPr>
        <w:t>dei pareri espressi dal Comitato.</w:t>
      </w:r>
    </w:p>
    <w:p w:rsidR="0003257F" w:rsidRDefault="0003257F" w:rsidP="00456851">
      <w:pPr>
        <w:rPr>
          <w:rFonts w:ascii="Garamond" w:hAnsi="Garamond"/>
          <w:i/>
          <w:sz w:val="32"/>
          <w:szCs w:val="32"/>
        </w:rPr>
      </w:pPr>
    </w:p>
    <w:p w:rsidR="0003257F" w:rsidRPr="00063D88" w:rsidRDefault="0003257F" w:rsidP="00456851">
      <w:pPr>
        <w:rPr>
          <w:rFonts w:ascii="Garamond" w:hAnsi="Garamond"/>
          <w:i/>
          <w:sz w:val="32"/>
          <w:szCs w:val="32"/>
        </w:rPr>
      </w:pPr>
    </w:p>
    <w:p w:rsidR="00F5409F" w:rsidRPr="00063D88" w:rsidRDefault="00F5409F" w:rsidP="00456851">
      <w:pPr>
        <w:spacing w:after="120"/>
        <w:rPr>
          <w:rFonts w:ascii="Garamond" w:hAnsi="Garamond"/>
          <w:i/>
          <w:sz w:val="32"/>
          <w:szCs w:val="32"/>
          <w:highlight w:val="yellow"/>
        </w:rPr>
        <w:sectPr w:rsidR="00F5409F" w:rsidRPr="00063D88" w:rsidSect="002E43DF">
          <w:type w:val="oddPage"/>
          <w:pgSz w:w="11906" w:h="16838" w:code="9"/>
          <w:pgMar w:top="1985" w:right="1985" w:bottom="1985" w:left="1985" w:header="1134" w:footer="1134" w:gutter="0"/>
          <w:pgNumType w:start="1"/>
          <w:cols w:space="720"/>
          <w:formProt w:val="0"/>
        </w:sectPr>
      </w:pPr>
    </w:p>
    <w:p w:rsidR="00AB0849" w:rsidRPr="00063D88" w:rsidRDefault="00AB0849" w:rsidP="00D13E46">
      <w:pPr>
        <w:pStyle w:val="Titolo1"/>
        <w:spacing w:before="360"/>
        <w:rPr>
          <w:rFonts w:ascii="Garamond" w:hAnsi="Garamond"/>
          <w:i/>
          <w:color w:val="0000FF"/>
          <w:sz w:val="44"/>
          <w:szCs w:val="44"/>
        </w:rPr>
      </w:pPr>
      <w:bookmarkStart w:id="9" w:name="_Toc337653462"/>
      <w:bookmarkStart w:id="10" w:name="_Toc342035919"/>
      <w:bookmarkStart w:id="11" w:name="_Toc439082228"/>
      <w:bookmarkStart w:id="12" w:name="_Toc439953644"/>
      <w:bookmarkStart w:id="13" w:name="_Toc440030358"/>
      <w:r w:rsidRPr="00063D88">
        <w:rPr>
          <w:rFonts w:ascii="Garamond" w:hAnsi="Garamond"/>
          <w:i/>
          <w:color w:val="0000FF"/>
          <w:sz w:val="44"/>
          <w:szCs w:val="44"/>
        </w:rPr>
        <w:lastRenderedPageBreak/>
        <w:t>I.</w:t>
      </w:r>
      <w:r w:rsidRPr="00063D88">
        <w:rPr>
          <w:rFonts w:ascii="Garamond" w:hAnsi="Garamond"/>
          <w:i/>
          <w:color w:val="0000FF"/>
          <w:sz w:val="44"/>
          <w:szCs w:val="44"/>
        </w:rPr>
        <w:br/>
        <w:t>PUBBLICAZIONI ED EVENTI</w:t>
      </w:r>
      <w:bookmarkEnd w:id="9"/>
      <w:bookmarkEnd w:id="10"/>
      <w:bookmarkEnd w:id="11"/>
      <w:bookmarkEnd w:id="12"/>
      <w:bookmarkEnd w:id="13"/>
    </w:p>
    <w:p w:rsidR="00A33B70" w:rsidRPr="003D7473" w:rsidRDefault="00A33B70" w:rsidP="003D7473">
      <w:pPr>
        <w:autoSpaceDE w:val="0"/>
        <w:autoSpaceDN w:val="0"/>
        <w:adjustRightInd w:val="0"/>
        <w:rPr>
          <w:rFonts w:ascii="Garamond" w:hAnsi="Garamond"/>
          <w:sz w:val="32"/>
          <w:szCs w:val="32"/>
        </w:rPr>
      </w:pPr>
      <w:bookmarkStart w:id="14" w:name="_Toc337653463"/>
      <w:bookmarkStart w:id="15" w:name="_Toc342035920"/>
      <w:r w:rsidRPr="003D7473">
        <w:rPr>
          <w:rFonts w:ascii="Garamond" w:hAnsi="Garamond"/>
          <w:sz w:val="32"/>
          <w:szCs w:val="32"/>
        </w:rPr>
        <w:t>Come già accennato nella premessa, la riflessione su</w:t>
      </w:r>
      <w:r w:rsidR="00C27B2B">
        <w:rPr>
          <w:rFonts w:ascii="Garamond" w:hAnsi="Garamond"/>
          <w:sz w:val="32"/>
          <w:szCs w:val="32"/>
        </w:rPr>
        <w:t>ll’assetto delle fonti</w:t>
      </w:r>
      <w:r w:rsidRPr="003D7473">
        <w:rPr>
          <w:rFonts w:ascii="Garamond" w:hAnsi="Garamond"/>
          <w:sz w:val="32"/>
          <w:szCs w:val="32"/>
        </w:rPr>
        <w:t xml:space="preserve"> è stata intensa ed </w:t>
      </w:r>
      <w:r w:rsidR="00EC55BC" w:rsidRPr="003D7473">
        <w:rPr>
          <w:rFonts w:ascii="Garamond" w:hAnsi="Garamond"/>
          <w:sz w:val="32"/>
          <w:szCs w:val="32"/>
        </w:rPr>
        <w:t xml:space="preserve">è culminata </w:t>
      </w:r>
      <w:r w:rsidR="00C27B2B">
        <w:rPr>
          <w:rFonts w:ascii="Garamond" w:hAnsi="Garamond"/>
          <w:sz w:val="32"/>
          <w:szCs w:val="32"/>
        </w:rPr>
        <w:t xml:space="preserve">nel convegno svoltosi nella Sala Aldo Moro di palazzo Montecitorio il 22 gennaio 2015, che ha segnato anche il passaggio del testimone </w:t>
      </w:r>
      <w:r w:rsidR="004C4925">
        <w:rPr>
          <w:rFonts w:ascii="Garamond" w:hAnsi="Garamond"/>
          <w:sz w:val="32"/>
          <w:szCs w:val="32"/>
        </w:rPr>
        <w:t>nella presidenza del Comitato</w:t>
      </w:r>
      <w:r w:rsidR="00C27B2B">
        <w:rPr>
          <w:rFonts w:ascii="Garamond" w:hAnsi="Garamond"/>
          <w:sz w:val="32"/>
          <w:szCs w:val="32"/>
        </w:rPr>
        <w:t xml:space="preserve">. </w:t>
      </w:r>
    </w:p>
    <w:p w:rsidR="00AB0849" w:rsidRDefault="00DF536A" w:rsidP="00D13E46">
      <w:pPr>
        <w:pStyle w:val="Titolo2"/>
        <w:spacing w:before="600"/>
        <w:ind w:left="720" w:hanging="720"/>
        <w:rPr>
          <w:rFonts w:ascii="Garamond" w:hAnsi="Garamond"/>
          <w:i/>
          <w:color w:val="0000FF"/>
          <w:sz w:val="40"/>
          <w:szCs w:val="40"/>
        </w:rPr>
      </w:pPr>
      <w:bookmarkStart w:id="16" w:name="_Toc439082229"/>
      <w:bookmarkStart w:id="17" w:name="_Toc439953645"/>
      <w:bookmarkStart w:id="18" w:name="_Toc440030359"/>
      <w:r>
        <w:rPr>
          <w:rFonts w:ascii="Garamond" w:hAnsi="Garamond"/>
          <w:i/>
          <w:color w:val="0000FF"/>
          <w:sz w:val="40"/>
          <w:szCs w:val="40"/>
        </w:rPr>
        <w:t xml:space="preserve">1.1. </w:t>
      </w:r>
      <w:r w:rsidR="00AB0849" w:rsidRPr="00063D88">
        <w:rPr>
          <w:rFonts w:ascii="Garamond" w:hAnsi="Garamond"/>
          <w:i/>
          <w:color w:val="0000FF"/>
          <w:sz w:val="40"/>
          <w:szCs w:val="40"/>
        </w:rPr>
        <w:t xml:space="preserve">Il </w:t>
      </w:r>
      <w:bookmarkEnd w:id="14"/>
      <w:bookmarkEnd w:id="15"/>
      <w:r w:rsidR="00C27B2B">
        <w:rPr>
          <w:rFonts w:ascii="Garamond" w:hAnsi="Garamond"/>
          <w:i/>
          <w:color w:val="0000FF"/>
          <w:sz w:val="40"/>
          <w:szCs w:val="40"/>
        </w:rPr>
        <w:t>convegno sull’assetto delle fonti nella riforma costituzionale</w:t>
      </w:r>
      <w:bookmarkEnd w:id="16"/>
      <w:bookmarkEnd w:id="17"/>
      <w:bookmarkEnd w:id="18"/>
    </w:p>
    <w:p w:rsidR="00876071" w:rsidRDefault="004C4925" w:rsidP="00827CAB">
      <w:pPr>
        <w:rPr>
          <w:rFonts w:ascii="Garamond" w:hAnsi="Garamond"/>
          <w:sz w:val="32"/>
          <w:szCs w:val="32"/>
        </w:rPr>
        <w:sectPr w:rsidR="00876071" w:rsidSect="002E43DF">
          <w:headerReference w:type="even" r:id="rId14"/>
          <w:headerReference w:type="default" r:id="rId15"/>
          <w:type w:val="oddPage"/>
          <w:pgSz w:w="11906" w:h="16838" w:code="9"/>
          <w:pgMar w:top="1985" w:right="1985" w:bottom="1985" w:left="1985" w:header="1134" w:footer="1134" w:gutter="0"/>
          <w:cols w:space="720"/>
          <w:formProt w:val="0"/>
        </w:sectPr>
      </w:pPr>
      <w:r>
        <w:rPr>
          <w:rFonts w:ascii="Garamond" w:hAnsi="Garamond"/>
          <w:sz w:val="32"/>
          <w:szCs w:val="32"/>
        </w:rPr>
        <w:t>De</w:t>
      </w:r>
      <w:r w:rsidR="00C27B2B" w:rsidRPr="00C27B2B">
        <w:rPr>
          <w:rFonts w:ascii="Garamond" w:hAnsi="Garamond"/>
          <w:sz w:val="32"/>
          <w:szCs w:val="32"/>
        </w:rPr>
        <w:t xml:space="preserve">l </w:t>
      </w:r>
      <w:r w:rsidR="00695BDA">
        <w:rPr>
          <w:rFonts w:ascii="Garamond" w:hAnsi="Garamond"/>
          <w:sz w:val="32"/>
          <w:szCs w:val="32"/>
        </w:rPr>
        <w:t xml:space="preserve">convegno </w:t>
      </w:r>
      <w:r>
        <w:rPr>
          <w:rFonts w:ascii="Garamond" w:hAnsi="Garamond"/>
          <w:sz w:val="32"/>
          <w:szCs w:val="32"/>
        </w:rPr>
        <w:t>già ha parlato, nel proprio rappor</w:t>
      </w:r>
      <w:r w:rsidR="00C8777C">
        <w:rPr>
          <w:rFonts w:ascii="Garamond" w:hAnsi="Garamond"/>
          <w:sz w:val="32"/>
          <w:szCs w:val="32"/>
        </w:rPr>
        <w:t>to, il presidente Taglialatela.</w:t>
      </w:r>
      <w:r w:rsidR="00827CAB">
        <w:rPr>
          <w:rFonts w:ascii="Garamond" w:hAnsi="Garamond"/>
          <w:sz w:val="32"/>
          <w:szCs w:val="32"/>
        </w:rPr>
        <w:t xml:space="preserve"> Mi limito pertanto ad evidenziare tre aspetti del lavoro del Comitato emersi in quella sede: la buona prova che hanno dato le norme regolamentari su composizione e presidenza del Comitato, con la rotazione tra deputati di maggioranza e di opposizione, che in quella occasione avevo definito “un brillante esperimento”; la continuità che si registra negli approcci del Comitato, pur nel passaggio delle presidenze; la collaborazione, anche informale, con il sistema delle Commissioni, nell’intento di promuovere una migliore scrittura delle leggi.</w:t>
      </w:r>
      <w:r w:rsidR="005F61BD">
        <w:rPr>
          <w:rFonts w:ascii="Garamond" w:hAnsi="Garamond"/>
          <w:sz w:val="32"/>
          <w:szCs w:val="32"/>
        </w:rPr>
        <w:t xml:space="preserve">  </w:t>
      </w:r>
      <w:r w:rsidR="00695BDA">
        <w:rPr>
          <w:rFonts w:ascii="Garamond" w:hAnsi="Garamond"/>
          <w:sz w:val="32"/>
          <w:szCs w:val="32"/>
        </w:rPr>
        <w:t xml:space="preserve"> </w:t>
      </w:r>
    </w:p>
    <w:p w:rsidR="00876071" w:rsidRDefault="00876071" w:rsidP="00D13E46">
      <w:pPr>
        <w:pStyle w:val="Titolo2"/>
        <w:spacing w:before="560"/>
        <w:ind w:left="720" w:hanging="720"/>
        <w:rPr>
          <w:rFonts w:ascii="Garamond" w:hAnsi="Garamond"/>
          <w:i/>
          <w:color w:val="0000FF"/>
          <w:sz w:val="40"/>
          <w:szCs w:val="40"/>
        </w:rPr>
      </w:pPr>
      <w:bookmarkStart w:id="19" w:name="_Toc439082230"/>
      <w:bookmarkStart w:id="20" w:name="_Toc439953646"/>
      <w:bookmarkStart w:id="21" w:name="_Toc440030360"/>
      <w:r>
        <w:rPr>
          <w:rFonts w:ascii="Garamond" w:hAnsi="Garamond"/>
          <w:i/>
          <w:color w:val="0000FF"/>
          <w:sz w:val="40"/>
          <w:szCs w:val="40"/>
        </w:rPr>
        <w:lastRenderedPageBreak/>
        <w:t xml:space="preserve">1.2. </w:t>
      </w:r>
      <w:r w:rsidRPr="00876071">
        <w:rPr>
          <w:rFonts w:ascii="Garamond" w:hAnsi="Garamond"/>
          <w:i/>
          <w:color w:val="0000FF"/>
          <w:sz w:val="40"/>
          <w:szCs w:val="40"/>
        </w:rPr>
        <w:t>La presentazione del Rapporto 2014 sulla legislazione tra Stato, Regioni e Unione europea</w:t>
      </w:r>
      <w:bookmarkEnd w:id="19"/>
      <w:bookmarkEnd w:id="20"/>
      <w:bookmarkEnd w:id="21"/>
    </w:p>
    <w:p w:rsidR="00827CAB" w:rsidRDefault="00827CAB" w:rsidP="00827CAB">
      <w:pPr>
        <w:autoSpaceDE w:val="0"/>
        <w:autoSpaceDN w:val="0"/>
        <w:adjustRightInd w:val="0"/>
        <w:rPr>
          <w:rFonts w:ascii="Garamond" w:hAnsi="Garamond"/>
          <w:sz w:val="32"/>
          <w:szCs w:val="32"/>
        </w:rPr>
      </w:pPr>
      <w:r>
        <w:rPr>
          <w:rFonts w:ascii="Garamond" w:hAnsi="Garamond"/>
          <w:sz w:val="32"/>
          <w:szCs w:val="32"/>
        </w:rPr>
        <w:t xml:space="preserve">La presentazione del Rapporto 2014 tra Stato, Regioni e Unione europea si è svolta il 19 marzo </w:t>
      </w:r>
      <w:r w:rsidR="0077331C">
        <w:rPr>
          <w:rFonts w:ascii="Garamond" w:hAnsi="Garamond"/>
          <w:sz w:val="32"/>
          <w:szCs w:val="32"/>
        </w:rPr>
        <w:t xml:space="preserve">2015 </w:t>
      </w:r>
      <w:r>
        <w:rPr>
          <w:rFonts w:ascii="Garamond" w:hAnsi="Garamond"/>
          <w:sz w:val="32"/>
          <w:szCs w:val="32"/>
        </w:rPr>
        <w:t>a Palazzo Montecitorio, nella Sala della Regina.</w:t>
      </w:r>
    </w:p>
    <w:p w:rsidR="00827CAB" w:rsidRDefault="00827CAB" w:rsidP="00827CAB">
      <w:pPr>
        <w:autoSpaceDE w:val="0"/>
        <w:autoSpaceDN w:val="0"/>
        <w:adjustRightInd w:val="0"/>
        <w:rPr>
          <w:rFonts w:ascii="Garamond" w:hAnsi="Garamond"/>
          <w:bCs/>
          <w:sz w:val="32"/>
          <w:szCs w:val="32"/>
        </w:rPr>
      </w:pPr>
      <w:r>
        <w:rPr>
          <w:rFonts w:ascii="Garamond" w:hAnsi="Garamond"/>
          <w:sz w:val="32"/>
          <w:szCs w:val="32"/>
        </w:rPr>
        <w:lastRenderedPageBreak/>
        <w:t>L</w:t>
      </w:r>
      <w:r w:rsidRPr="00063D88">
        <w:rPr>
          <w:rFonts w:ascii="Garamond" w:hAnsi="Garamond"/>
          <w:sz w:val="32"/>
          <w:szCs w:val="32"/>
        </w:rPr>
        <w:t>a redazione an</w:t>
      </w:r>
      <w:r>
        <w:rPr>
          <w:rFonts w:ascii="Garamond" w:hAnsi="Garamond"/>
          <w:sz w:val="32"/>
          <w:szCs w:val="32"/>
        </w:rPr>
        <w:t>nuale di un rapporto sull</w:t>
      </w:r>
      <w:r w:rsidRPr="00063D88">
        <w:rPr>
          <w:rFonts w:ascii="Garamond" w:hAnsi="Garamond"/>
          <w:sz w:val="32"/>
          <w:szCs w:val="32"/>
        </w:rPr>
        <w:t xml:space="preserve">a legislazione </w:t>
      </w:r>
      <w:r>
        <w:rPr>
          <w:rFonts w:ascii="Garamond" w:hAnsi="Garamond"/>
          <w:sz w:val="32"/>
          <w:szCs w:val="32"/>
        </w:rPr>
        <w:t>è stata promossa dal Comitato fin dalla sua nascita, nel 1998</w:t>
      </w:r>
      <w:r w:rsidR="00430F45">
        <w:rPr>
          <w:rFonts w:ascii="Garamond" w:hAnsi="Garamond"/>
          <w:sz w:val="32"/>
          <w:szCs w:val="32"/>
        </w:rPr>
        <w:t>,</w:t>
      </w:r>
      <w:r>
        <w:rPr>
          <w:rFonts w:ascii="Garamond" w:hAnsi="Garamond"/>
          <w:sz w:val="32"/>
          <w:szCs w:val="32"/>
        </w:rPr>
        <w:t xml:space="preserve"> e coinvolge, oltre </w:t>
      </w:r>
      <w:r w:rsidRPr="0042444F">
        <w:rPr>
          <w:rFonts w:ascii="Garamond" w:hAnsi="Garamond"/>
          <w:bCs/>
          <w:sz w:val="32"/>
          <w:szCs w:val="32"/>
        </w:rPr>
        <w:t>alla Camera dei deputati</w:t>
      </w:r>
      <w:r>
        <w:rPr>
          <w:rFonts w:ascii="Garamond" w:hAnsi="Garamond"/>
          <w:bCs/>
          <w:sz w:val="32"/>
          <w:szCs w:val="32"/>
        </w:rPr>
        <w:t>,</w:t>
      </w:r>
      <w:r w:rsidRPr="0042444F">
        <w:rPr>
          <w:rFonts w:ascii="Garamond" w:hAnsi="Garamond"/>
          <w:bCs/>
          <w:sz w:val="32"/>
          <w:szCs w:val="32"/>
        </w:rPr>
        <w:t xml:space="preserve"> l'Istituto di studi sui Sistemi Regionali Federali e sulle Autonomie (ISSIRFA) del CNR e l'Osservatorio sulle fonti dell'Università di Firenze.</w:t>
      </w:r>
    </w:p>
    <w:p w:rsidR="00827CAB" w:rsidRDefault="00827CAB" w:rsidP="00827CAB">
      <w:pPr>
        <w:autoSpaceDE w:val="0"/>
        <w:autoSpaceDN w:val="0"/>
        <w:adjustRightInd w:val="0"/>
        <w:rPr>
          <w:rFonts w:ascii="Garamond" w:hAnsi="Garamond"/>
          <w:bCs/>
          <w:sz w:val="32"/>
          <w:szCs w:val="32"/>
        </w:rPr>
      </w:pPr>
      <w:r>
        <w:rPr>
          <w:rFonts w:ascii="Garamond" w:hAnsi="Garamond"/>
          <w:bCs/>
          <w:sz w:val="32"/>
          <w:szCs w:val="32"/>
        </w:rPr>
        <w:t xml:space="preserve">La presentazione del rapporto, organizzata </w:t>
      </w:r>
      <w:r w:rsidRPr="0042444F">
        <w:rPr>
          <w:rFonts w:ascii="Garamond" w:hAnsi="Garamond"/>
          <w:bCs/>
          <w:sz w:val="32"/>
          <w:szCs w:val="32"/>
        </w:rPr>
        <w:t xml:space="preserve">congiuntamente </w:t>
      </w:r>
      <w:r>
        <w:rPr>
          <w:rFonts w:ascii="Garamond" w:hAnsi="Garamond"/>
          <w:bCs/>
          <w:sz w:val="32"/>
          <w:szCs w:val="32"/>
        </w:rPr>
        <w:t xml:space="preserve">da Camera, Senato e </w:t>
      </w:r>
      <w:r w:rsidRPr="0042444F">
        <w:rPr>
          <w:rFonts w:ascii="Garamond" w:hAnsi="Garamond"/>
          <w:bCs/>
          <w:sz w:val="32"/>
          <w:szCs w:val="32"/>
        </w:rPr>
        <w:t>Conferenza dei Presidenti delle Assemblee legislative delle Regioni e delle Province autonome</w:t>
      </w:r>
      <w:r>
        <w:rPr>
          <w:rFonts w:ascii="Garamond" w:hAnsi="Garamond"/>
          <w:bCs/>
          <w:sz w:val="32"/>
          <w:szCs w:val="32"/>
        </w:rPr>
        <w:t>, costituisce una sede importante di confronto tra i rappresenta</w:t>
      </w:r>
      <w:r w:rsidR="003C5291">
        <w:rPr>
          <w:rFonts w:ascii="Garamond" w:hAnsi="Garamond"/>
          <w:bCs/>
          <w:sz w:val="32"/>
          <w:szCs w:val="32"/>
        </w:rPr>
        <w:t>nti delle Assemblee legislative e con il Governo.</w:t>
      </w:r>
    </w:p>
    <w:p w:rsidR="003C5291" w:rsidRPr="003C5291" w:rsidRDefault="003C5291" w:rsidP="003C5291">
      <w:pPr>
        <w:autoSpaceDE w:val="0"/>
        <w:autoSpaceDN w:val="0"/>
        <w:adjustRightInd w:val="0"/>
        <w:rPr>
          <w:rFonts w:ascii="Garamond" w:hAnsi="Garamond"/>
          <w:bCs/>
          <w:sz w:val="32"/>
          <w:szCs w:val="32"/>
        </w:rPr>
      </w:pPr>
      <w:r>
        <w:rPr>
          <w:rFonts w:ascii="Garamond" w:hAnsi="Garamond"/>
          <w:bCs/>
          <w:sz w:val="32"/>
          <w:szCs w:val="32"/>
        </w:rPr>
        <w:t xml:space="preserve">Il tema sul quale si è incentrata la discussione – che come ogni anno ha preso le mosse dalla Nota di sintesi del Rapporto – ha riguardato l’assunzione di decisioni in tempi di crisi: celerità, volatilità e legittimazione delle norme tra esecutivi ed Assemblee. </w:t>
      </w:r>
      <w:r w:rsidRPr="003C5291">
        <w:rPr>
          <w:rFonts w:ascii="Garamond" w:hAnsi="Garamond"/>
          <w:bCs/>
          <w:sz w:val="32"/>
          <w:szCs w:val="32"/>
        </w:rPr>
        <w:t xml:space="preserve">La Nota di sintesi individua </w:t>
      </w:r>
      <w:r>
        <w:rPr>
          <w:rFonts w:ascii="Garamond" w:hAnsi="Garamond"/>
          <w:bCs/>
          <w:sz w:val="32"/>
          <w:szCs w:val="32"/>
        </w:rPr>
        <w:t>un altro profilo critico, riguardante l’effettività delle decisioni, cioè la loro attuazione ed il loro impatto sulla realtà</w:t>
      </w:r>
      <w:r w:rsidRPr="003C5291">
        <w:rPr>
          <w:rFonts w:ascii="Garamond" w:hAnsi="Garamond"/>
          <w:bCs/>
          <w:sz w:val="32"/>
          <w:szCs w:val="32"/>
        </w:rPr>
        <w:t>.</w:t>
      </w:r>
      <w:r>
        <w:rPr>
          <w:rFonts w:ascii="Garamond" w:hAnsi="Garamond"/>
          <w:bCs/>
          <w:sz w:val="32"/>
          <w:szCs w:val="32"/>
        </w:rPr>
        <w:t xml:space="preserve"> </w:t>
      </w:r>
      <w:r w:rsidRPr="003C5291">
        <w:rPr>
          <w:rFonts w:ascii="Garamond" w:hAnsi="Garamond"/>
          <w:bCs/>
          <w:sz w:val="32"/>
          <w:szCs w:val="32"/>
        </w:rPr>
        <w:t xml:space="preserve">Sono aspetti </w:t>
      </w:r>
      <w:r>
        <w:rPr>
          <w:rFonts w:ascii="Garamond" w:hAnsi="Garamond"/>
          <w:bCs/>
          <w:sz w:val="32"/>
          <w:szCs w:val="32"/>
        </w:rPr>
        <w:t xml:space="preserve">– come ho avuto modo di sottolineare introducendo i lavori – </w:t>
      </w:r>
      <w:r w:rsidRPr="003C5291">
        <w:rPr>
          <w:rFonts w:ascii="Garamond" w:hAnsi="Garamond"/>
          <w:bCs/>
          <w:sz w:val="32"/>
          <w:szCs w:val="32"/>
        </w:rPr>
        <w:t>che il Comitato da sempre affronta sia nell’attività consultiva sia nelle proprie riflessioni.</w:t>
      </w:r>
    </w:p>
    <w:p w:rsidR="00827CAB" w:rsidRPr="0042444F" w:rsidRDefault="00827CAB" w:rsidP="00827CAB">
      <w:pPr>
        <w:autoSpaceDE w:val="0"/>
        <w:autoSpaceDN w:val="0"/>
        <w:adjustRightInd w:val="0"/>
        <w:rPr>
          <w:rFonts w:ascii="Garamond" w:hAnsi="Garamond"/>
          <w:bCs/>
          <w:sz w:val="32"/>
          <w:szCs w:val="32"/>
        </w:rPr>
      </w:pPr>
      <w:r>
        <w:rPr>
          <w:rFonts w:ascii="Garamond" w:hAnsi="Garamond"/>
          <w:bCs/>
          <w:sz w:val="32"/>
          <w:szCs w:val="32"/>
        </w:rPr>
        <w:t>La discussione è stata introdotta dal sottoscritto e presieduta da</w:t>
      </w:r>
      <w:r w:rsidRPr="0042444F">
        <w:rPr>
          <w:rFonts w:ascii="Garamond" w:hAnsi="Garamond"/>
          <w:bCs/>
          <w:sz w:val="32"/>
          <w:szCs w:val="32"/>
        </w:rPr>
        <w:t>l Vicepresidente della Cam</w:t>
      </w:r>
      <w:r>
        <w:rPr>
          <w:rFonts w:ascii="Garamond" w:hAnsi="Garamond"/>
          <w:bCs/>
          <w:sz w:val="32"/>
          <w:szCs w:val="32"/>
        </w:rPr>
        <w:t>era dei deputati, Luigi Di Maio, che ha poi tirato le conclusioni.</w:t>
      </w:r>
      <w:r w:rsidRPr="0042444F">
        <w:rPr>
          <w:rFonts w:ascii="Garamond" w:hAnsi="Garamond"/>
          <w:bCs/>
          <w:sz w:val="32"/>
          <w:szCs w:val="32"/>
        </w:rPr>
        <w:t xml:space="preserve"> </w:t>
      </w:r>
      <w:r>
        <w:rPr>
          <w:rFonts w:ascii="Garamond" w:hAnsi="Garamond"/>
          <w:bCs/>
          <w:sz w:val="32"/>
          <w:szCs w:val="32"/>
        </w:rPr>
        <w:t>Vi hanno preso parte: i presidenti Vannino Chiti (Commissione Politiche de</w:t>
      </w:r>
      <w:r w:rsidR="006769E4">
        <w:rPr>
          <w:rFonts w:ascii="Garamond" w:hAnsi="Garamond"/>
          <w:bCs/>
          <w:sz w:val="32"/>
          <w:szCs w:val="32"/>
        </w:rPr>
        <w:t>l</w:t>
      </w:r>
      <w:r>
        <w:rPr>
          <w:rFonts w:ascii="Garamond" w:hAnsi="Garamond"/>
          <w:bCs/>
          <w:sz w:val="32"/>
          <w:szCs w:val="32"/>
        </w:rPr>
        <w:t xml:space="preserve">l’Unione europea del Senato), che ha svolto un’ampia relazione, </w:t>
      </w:r>
      <w:r w:rsidR="003C5291">
        <w:rPr>
          <w:rFonts w:ascii="Garamond" w:hAnsi="Garamond"/>
          <w:bCs/>
          <w:sz w:val="32"/>
          <w:szCs w:val="32"/>
        </w:rPr>
        <w:t>Giampiero</w:t>
      </w:r>
      <w:r>
        <w:rPr>
          <w:rFonts w:ascii="Garamond" w:hAnsi="Garamond"/>
          <w:bCs/>
          <w:sz w:val="32"/>
          <w:szCs w:val="32"/>
        </w:rPr>
        <w:t xml:space="preserve"> </w:t>
      </w:r>
      <w:r w:rsidR="003C5291">
        <w:rPr>
          <w:rFonts w:ascii="Garamond" w:hAnsi="Garamond"/>
          <w:bCs/>
          <w:sz w:val="32"/>
          <w:szCs w:val="32"/>
        </w:rPr>
        <w:t>D’Alia</w:t>
      </w:r>
      <w:r>
        <w:rPr>
          <w:rFonts w:ascii="Garamond" w:hAnsi="Garamond"/>
          <w:bCs/>
          <w:sz w:val="32"/>
          <w:szCs w:val="32"/>
        </w:rPr>
        <w:t xml:space="preserve"> (Commissione parlamentare per le questioni regionali), Giancarlo Giorgetti (Commissione parlamentare per l’attu</w:t>
      </w:r>
      <w:r w:rsidR="00C8777C">
        <w:rPr>
          <w:rFonts w:ascii="Garamond" w:hAnsi="Garamond"/>
          <w:bCs/>
          <w:sz w:val="32"/>
          <w:szCs w:val="32"/>
        </w:rPr>
        <w:t>azione del federalismo fiscale)</w:t>
      </w:r>
      <w:r>
        <w:rPr>
          <w:rFonts w:ascii="Garamond" w:hAnsi="Garamond"/>
          <w:bCs/>
          <w:sz w:val="32"/>
          <w:szCs w:val="32"/>
        </w:rPr>
        <w:t xml:space="preserve"> e Bruno Tabacci (Commissione parlamentare per la semplificazi</w:t>
      </w:r>
      <w:r w:rsidR="00C8777C">
        <w:rPr>
          <w:rFonts w:ascii="Garamond" w:hAnsi="Garamond"/>
          <w:bCs/>
          <w:sz w:val="32"/>
          <w:szCs w:val="32"/>
        </w:rPr>
        <w:t>one);</w:t>
      </w:r>
      <w:r>
        <w:rPr>
          <w:rFonts w:ascii="Garamond" w:hAnsi="Garamond"/>
          <w:bCs/>
          <w:sz w:val="32"/>
          <w:szCs w:val="32"/>
        </w:rPr>
        <w:t xml:space="preserve"> i presidenti dei Consigli regionali dell’Umbria (Eros Brega, coordinatore della Conferenza), del</w:t>
      </w:r>
      <w:r w:rsidR="003C5291">
        <w:rPr>
          <w:rFonts w:ascii="Garamond" w:hAnsi="Garamond"/>
          <w:bCs/>
          <w:sz w:val="32"/>
          <w:szCs w:val="32"/>
        </w:rPr>
        <w:t>l’Abruzzo</w:t>
      </w:r>
      <w:r>
        <w:rPr>
          <w:rFonts w:ascii="Garamond" w:hAnsi="Garamond"/>
          <w:bCs/>
          <w:sz w:val="32"/>
          <w:szCs w:val="32"/>
        </w:rPr>
        <w:t xml:space="preserve"> (</w:t>
      </w:r>
      <w:r w:rsidR="003C5291">
        <w:rPr>
          <w:rFonts w:ascii="Garamond" w:hAnsi="Garamond"/>
          <w:bCs/>
          <w:sz w:val="32"/>
          <w:szCs w:val="32"/>
        </w:rPr>
        <w:t>Giuseppe</w:t>
      </w:r>
      <w:r>
        <w:rPr>
          <w:rFonts w:ascii="Garamond" w:hAnsi="Garamond"/>
          <w:bCs/>
          <w:sz w:val="32"/>
          <w:szCs w:val="32"/>
        </w:rPr>
        <w:t xml:space="preserve"> </w:t>
      </w:r>
      <w:r w:rsidR="003C5291">
        <w:rPr>
          <w:rFonts w:ascii="Garamond" w:hAnsi="Garamond"/>
          <w:bCs/>
          <w:sz w:val="32"/>
          <w:szCs w:val="32"/>
        </w:rPr>
        <w:t xml:space="preserve">Di Pangrazio) e della Puglia </w:t>
      </w:r>
      <w:r>
        <w:rPr>
          <w:rFonts w:ascii="Garamond" w:hAnsi="Garamond"/>
          <w:bCs/>
          <w:sz w:val="32"/>
          <w:szCs w:val="32"/>
        </w:rPr>
        <w:t>(</w:t>
      </w:r>
      <w:r w:rsidR="003C5291">
        <w:rPr>
          <w:rFonts w:ascii="Garamond" w:hAnsi="Garamond"/>
          <w:bCs/>
          <w:sz w:val="32"/>
          <w:szCs w:val="32"/>
        </w:rPr>
        <w:t>Onofrio Introna</w:t>
      </w:r>
      <w:r>
        <w:rPr>
          <w:rFonts w:ascii="Garamond" w:hAnsi="Garamond"/>
          <w:bCs/>
          <w:sz w:val="32"/>
          <w:szCs w:val="32"/>
        </w:rPr>
        <w:t>)</w:t>
      </w:r>
      <w:r w:rsidR="003C5291">
        <w:rPr>
          <w:rFonts w:ascii="Garamond" w:hAnsi="Garamond"/>
          <w:bCs/>
          <w:sz w:val="32"/>
          <w:szCs w:val="32"/>
        </w:rPr>
        <w:t xml:space="preserve">; la dottoressa Marina Elvira Calderone, presidente nazionale del Comitato unitario delle professioni, e la professoressa Ida Nicotra, componente dell’Autorità nazionale anticorruzione; i professori Paolo </w:t>
      </w:r>
      <w:r w:rsidR="003C5291">
        <w:rPr>
          <w:rFonts w:ascii="Garamond" w:hAnsi="Garamond"/>
          <w:bCs/>
          <w:sz w:val="32"/>
          <w:szCs w:val="32"/>
        </w:rPr>
        <w:lastRenderedPageBreak/>
        <w:t>Caretti, direttore dell’Osservatorio sulle fonti dell’università di Firenze, e Stelio Mangiameli, direttore dell’ISSIRFA; il Ministro per i rapporti con il Parlamento e le riforme istituzionali Maria Elena Boschi.</w:t>
      </w:r>
    </w:p>
    <w:p w:rsidR="00AB0849" w:rsidRPr="00B5371F" w:rsidRDefault="00146171" w:rsidP="006C313C">
      <w:pPr>
        <w:pStyle w:val="Titolo2"/>
        <w:spacing w:before="720"/>
        <w:rPr>
          <w:rFonts w:ascii="Garamond" w:hAnsi="Garamond"/>
          <w:i/>
          <w:color w:val="0000FF"/>
          <w:sz w:val="40"/>
          <w:szCs w:val="40"/>
        </w:rPr>
      </w:pPr>
      <w:bookmarkStart w:id="22" w:name="_Toc337653464"/>
      <w:bookmarkStart w:id="23" w:name="_Toc342035921"/>
      <w:bookmarkStart w:id="24" w:name="_Toc439082231"/>
      <w:bookmarkStart w:id="25" w:name="_Toc439953647"/>
      <w:bookmarkStart w:id="26" w:name="_Toc440030361"/>
      <w:r>
        <w:rPr>
          <w:rFonts w:ascii="Garamond" w:hAnsi="Garamond"/>
          <w:i/>
          <w:color w:val="0000FF"/>
          <w:sz w:val="40"/>
          <w:szCs w:val="40"/>
        </w:rPr>
        <w:t>1.</w:t>
      </w:r>
      <w:r w:rsidR="001416F6">
        <w:rPr>
          <w:rFonts w:ascii="Garamond" w:hAnsi="Garamond"/>
          <w:i/>
          <w:color w:val="0000FF"/>
          <w:sz w:val="40"/>
          <w:szCs w:val="40"/>
        </w:rPr>
        <w:t>3</w:t>
      </w:r>
      <w:r w:rsidR="00AB0849" w:rsidRPr="00B5371F">
        <w:rPr>
          <w:rFonts w:ascii="Garamond" w:hAnsi="Garamond"/>
          <w:i/>
          <w:color w:val="0000FF"/>
          <w:sz w:val="40"/>
          <w:szCs w:val="40"/>
        </w:rPr>
        <w:t>. Gli Appunti del Comitato</w:t>
      </w:r>
      <w:bookmarkEnd w:id="22"/>
      <w:bookmarkEnd w:id="23"/>
      <w:bookmarkEnd w:id="24"/>
      <w:bookmarkEnd w:id="25"/>
      <w:bookmarkEnd w:id="26"/>
    </w:p>
    <w:p w:rsidR="009D0420" w:rsidRDefault="00754715" w:rsidP="00040C11">
      <w:pPr>
        <w:autoSpaceDE w:val="0"/>
        <w:autoSpaceDN w:val="0"/>
        <w:adjustRightInd w:val="0"/>
        <w:rPr>
          <w:rFonts w:ascii="Garamond" w:hAnsi="Garamond"/>
          <w:sz w:val="32"/>
          <w:szCs w:val="32"/>
        </w:rPr>
      </w:pPr>
      <w:r>
        <w:rPr>
          <w:rFonts w:ascii="Garamond" w:hAnsi="Garamond"/>
          <w:sz w:val="32"/>
          <w:szCs w:val="32"/>
        </w:rPr>
        <w:t xml:space="preserve">Nei dieci mesi di riferimento sono stati pubblicati </w:t>
      </w:r>
      <w:r w:rsidR="009D0420">
        <w:rPr>
          <w:rFonts w:ascii="Garamond" w:hAnsi="Garamond"/>
          <w:sz w:val="32"/>
          <w:szCs w:val="32"/>
        </w:rPr>
        <w:t>tre</w:t>
      </w:r>
      <w:r>
        <w:rPr>
          <w:rFonts w:ascii="Garamond" w:hAnsi="Garamond"/>
          <w:sz w:val="32"/>
          <w:szCs w:val="32"/>
        </w:rPr>
        <w:t xml:space="preserve"> fascicol</w:t>
      </w:r>
      <w:r w:rsidR="009D0420">
        <w:rPr>
          <w:rFonts w:ascii="Garamond" w:hAnsi="Garamond"/>
          <w:sz w:val="32"/>
          <w:szCs w:val="32"/>
        </w:rPr>
        <w:t>i</w:t>
      </w:r>
      <w:r>
        <w:rPr>
          <w:rFonts w:ascii="Garamond" w:hAnsi="Garamond"/>
          <w:sz w:val="32"/>
          <w:szCs w:val="32"/>
        </w:rPr>
        <w:t xml:space="preserve"> </w:t>
      </w:r>
      <w:r w:rsidRPr="00B5371F">
        <w:rPr>
          <w:rFonts w:ascii="Garamond" w:hAnsi="Garamond"/>
          <w:sz w:val="32"/>
          <w:szCs w:val="32"/>
        </w:rPr>
        <w:t xml:space="preserve">della collana “Appunti del Comitato per la legislazione”, </w:t>
      </w:r>
      <w:r>
        <w:rPr>
          <w:rFonts w:ascii="Garamond" w:hAnsi="Garamond"/>
          <w:sz w:val="32"/>
          <w:szCs w:val="32"/>
        </w:rPr>
        <w:t>promossa dal Comitato fin</w:t>
      </w:r>
      <w:r w:rsidRPr="00B5371F">
        <w:rPr>
          <w:rFonts w:ascii="Garamond" w:hAnsi="Garamond"/>
          <w:sz w:val="32"/>
          <w:szCs w:val="32"/>
        </w:rPr>
        <w:t xml:space="preserve"> dal 2004</w:t>
      </w:r>
      <w:r>
        <w:rPr>
          <w:rFonts w:ascii="Garamond" w:hAnsi="Garamond"/>
          <w:sz w:val="32"/>
          <w:szCs w:val="32"/>
        </w:rPr>
        <w:t xml:space="preserve"> in funzione di un aggiornamento periodico sull’attività normativa</w:t>
      </w:r>
      <w:r w:rsidR="009D0420">
        <w:rPr>
          <w:rFonts w:ascii="Garamond" w:hAnsi="Garamond"/>
          <w:sz w:val="32"/>
          <w:szCs w:val="32"/>
        </w:rPr>
        <w:t>:</w:t>
      </w:r>
    </w:p>
    <w:p w:rsidR="001715FD" w:rsidRDefault="0077331C" w:rsidP="00040C11">
      <w:pPr>
        <w:autoSpaceDE w:val="0"/>
        <w:autoSpaceDN w:val="0"/>
        <w:adjustRightInd w:val="0"/>
        <w:rPr>
          <w:rFonts w:ascii="Garamond" w:hAnsi="Garamond"/>
          <w:sz w:val="32"/>
          <w:szCs w:val="32"/>
        </w:rPr>
      </w:pPr>
      <w:r>
        <w:rPr>
          <w:rFonts w:ascii="Garamond" w:hAnsi="Garamond"/>
          <w:sz w:val="32"/>
          <w:szCs w:val="32"/>
        </w:rPr>
        <w:t xml:space="preserve">▪ </w:t>
      </w:r>
      <w:r w:rsidR="009D0420">
        <w:rPr>
          <w:rFonts w:ascii="Garamond" w:hAnsi="Garamond"/>
          <w:sz w:val="32"/>
          <w:szCs w:val="32"/>
        </w:rPr>
        <w:t>il quarto fascicolo ha puntato l’attenzione sui decreti-legge tra Governo e Parlamento;</w:t>
      </w:r>
      <w:r w:rsidR="00754715">
        <w:rPr>
          <w:rFonts w:ascii="Garamond" w:hAnsi="Garamond"/>
          <w:sz w:val="32"/>
          <w:szCs w:val="32"/>
        </w:rPr>
        <w:t xml:space="preserve"> </w:t>
      </w:r>
    </w:p>
    <w:p w:rsidR="00754715" w:rsidRDefault="0077331C" w:rsidP="00040C11">
      <w:pPr>
        <w:autoSpaceDE w:val="0"/>
        <w:autoSpaceDN w:val="0"/>
        <w:adjustRightInd w:val="0"/>
        <w:rPr>
          <w:rFonts w:ascii="Garamond" w:hAnsi="Garamond"/>
          <w:sz w:val="32"/>
          <w:szCs w:val="32"/>
        </w:rPr>
      </w:pPr>
      <w:r>
        <w:rPr>
          <w:rFonts w:ascii="Garamond" w:hAnsi="Garamond"/>
          <w:sz w:val="32"/>
          <w:szCs w:val="32"/>
        </w:rPr>
        <w:t xml:space="preserve">▪ </w:t>
      </w:r>
      <w:r w:rsidR="009D0420">
        <w:rPr>
          <w:rFonts w:ascii="Garamond" w:hAnsi="Garamond"/>
          <w:sz w:val="32"/>
          <w:szCs w:val="32"/>
        </w:rPr>
        <w:t>i</w:t>
      </w:r>
      <w:r w:rsidR="00754715">
        <w:rPr>
          <w:rFonts w:ascii="Garamond" w:hAnsi="Garamond"/>
          <w:sz w:val="32"/>
          <w:szCs w:val="32"/>
        </w:rPr>
        <w:t>l quinto fascicolo ha ricostruito, in linea generale, gli andamenti della produzione legislativa nel periodo 2008-2015.</w:t>
      </w:r>
    </w:p>
    <w:p w:rsidR="00754715" w:rsidRDefault="0077331C" w:rsidP="00040C11">
      <w:pPr>
        <w:autoSpaceDE w:val="0"/>
        <w:autoSpaceDN w:val="0"/>
        <w:adjustRightInd w:val="0"/>
        <w:rPr>
          <w:rFonts w:ascii="Garamond" w:hAnsi="Garamond"/>
          <w:sz w:val="32"/>
          <w:szCs w:val="32"/>
        </w:rPr>
      </w:pPr>
      <w:r>
        <w:rPr>
          <w:rFonts w:ascii="Garamond" w:hAnsi="Garamond"/>
          <w:sz w:val="32"/>
          <w:szCs w:val="32"/>
        </w:rPr>
        <w:t xml:space="preserve">▪ </w:t>
      </w:r>
      <w:r w:rsidR="00B64AA2">
        <w:rPr>
          <w:rFonts w:ascii="Garamond" w:hAnsi="Garamond"/>
          <w:sz w:val="32"/>
          <w:szCs w:val="32"/>
        </w:rPr>
        <w:t>i</w:t>
      </w:r>
      <w:r w:rsidR="00754715">
        <w:rPr>
          <w:rFonts w:ascii="Garamond" w:hAnsi="Garamond"/>
          <w:sz w:val="32"/>
          <w:szCs w:val="32"/>
        </w:rPr>
        <w:t>l sesto fascicolo ha analizzato i procedimenti legislativi delegati nel corso della XVII legislatura.</w:t>
      </w:r>
    </w:p>
    <w:p w:rsidR="00D82CF1" w:rsidRDefault="00D82CF1" w:rsidP="00040C11">
      <w:pPr>
        <w:autoSpaceDE w:val="0"/>
        <w:autoSpaceDN w:val="0"/>
        <w:adjustRightInd w:val="0"/>
        <w:rPr>
          <w:rFonts w:ascii="Garamond" w:hAnsi="Garamond"/>
          <w:sz w:val="32"/>
          <w:szCs w:val="32"/>
        </w:rPr>
      </w:pPr>
      <w:r>
        <w:rPr>
          <w:rFonts w:ascii="Garamond" w:hAnsi="Garamond"/>
          <w:sz w:val="32"/>
          <w:szCs w:val="32"/>
        </w:rPr>
        <w:t>Se il quarto fascicolo ha puntato l’attenzione, in continuità con i primi tre, sulla decretazione d’urgenza, è sintomatico che il quinto ed il sesto fascicolo, con l’evolvere della legislatura, hanno guardato ad altri aspetti della produzione legislativa.</w:t>
      </w:r>
    </w:p>
    <w:p w:rsidR="00AB0849" w:rsidRPr="00063D88" w:rsidRDefault="00AB0849" w:rsidP="00435AD2">
      <w:pPr>
        <w:pStyle w:val="Titolo2"/>
        <w:spacing w:before="720"/>
        <w:rPr>
          <w:rFonts w:ascii="Garamond" w:hAnsi="Garamond"/>
          <w:i/>
          <w:color w:val="0000FF"/>
          <w:sz w:val="40"/>
          <w:szCs w:val="40"/>
        </w:rPr>
      </w:pPr>
      <w:bookmarkStart w:id="27" w:name="_Toc337653465"/>
      <w:bookmarkStart w:id="28" w:name="_Toc342035922"/>
      <w:bookmarkStart w:id="29" w:name="_Toc439082232"/>
      <w:bookmarkStart w:id="30" w:name="_Toc439953648"/>
      <w:bookmarkStart w:id="31" w:name="_Toc440030362"/>
      <w:r w:rsidRPr="00063D88">
        <w:rPr>
          <w:rFonts w:ascii="Garamond" w:hAnsi="Garamond"/>
          <w:i/>
          <w:color w:val="0000FF"/>
          <w:sz w:val="40"/>
          <w:szCs w:val="40"/>
        </w:rPr>
        <w:t>1.</w:t>
      </w:r>
      <w:r w:rsidR="001416F6">
        <w:rPr>
          <w:rFonts w:ascii="Garamond" w:hAnsi="Garamond"/>
          <w:i/>
          <w:color w:val="0000FF"/>
          <w:sz w:val="40"/>
          <w:szCs w:val="40"/>
        </w:rPr>
        <w:t>4</w:t>
      </w:r>
      <w:r w:rsidRPr="00063D88">
        <w:rPr>
          <w:rFonts w:ascii="Garamond" w:hAnsi="Garamond"/>
          <w:i/>
          <w:color w:val="0000FF"/>
          <w:sz w:val="40"/>
          <w:szCs w:val="40"/>
        </w:rPr>
        <w:t>. Il sito internet</w:t>
      </w:r>
      <w:bookmarkEnd w:id="27"/>
      <w:bookmarkEnd w:id="28"/>
      <w:bookmarkEnd w:id="29"/>
      <w:bookmarkEnd w:id="30"/>
      <w:bookmarkEnd w:id="31"/>
    </w:p>
    <w:p w:rsidR="00AB0849" w:rsidRDefault="00AB0849" w:rsidP="00040C11">
      <w:pPr>
        <w:autoSpaceDE w:val="0"/>
        <w:autoSpaceDN w:val="0"/>
        <w:adjustRightInd w:val="0"/>
        <w:rPr>
          <w:rFonts w:ascii="Garamond" w:hAnsi="Garamond"/>
          <w:sz w:val="32"/>
          <w:szCs w:val="32"/>
        </w:rPr>
      </w:pPr>
      <w:r w:rsidRPr="00063D88">
        <w:rPr>
          <w:rFonts w:ascii="Garamond" w:hAnsi="Garamond"/>
          <w:sz w:val="32"/>
          <w:szCs w:val="32"/>
        </w:rPr>
        <w:t xml:space="preserve">I contenuti delle pagine dedicate al Comitato nel sito della Camera sono oggetto di costante aggiornamento. Sul sito sono disponibili, per ciascuna legislatura, la composizione del Comitato, l’ordine del giorno, i resoconti sommari delle sedute, i resoconti stenografici delle audizioni, i testi integrali dei Rapporti sulla legislazione, i rapporti sull’attività svolta dal Comitato, gli atti delle iniziative promosse e, tramite un </w:t>
      </w:r>
      <w:r w:rsidRPr="00063D88">
        <w:rPr>
          <w:rFonts w:ascii="Garamond" w:hAnsi="Garamond"/>
          <w:i/>
          <w:sz w:val="32"/>
          <w:szCs w:val="32"/>
        </w:rPr>
        <w:t>link</w:t>
      </w:r>
      <w:r w:rsidRPr="00063D88">
        <w:rPr>
          <w:rFonts w:ascii="Garamond" w:hAnsi="Garamond"/>
          <w:sz w:val="32"/>
          <w:szCs w:val="32"/>
        </w:rPr>
        <w:t xml:space="preserve"> alle pagine dell’Osservatorio sulla legislazione, i materiali di documentazione</w:t>
      </w:r>
      <w:r w:rsidR="003A53B9" w:rsidRPr="00063D88">
        <w:rPr>
          <w:rFonts w:ascii="Garamond" w:hAnsi="Garamond"/>
          <w:sz w:val="32"/>
          <w:szCs w:val="32"/>
        </w:rPr>
        <w:t xml:space="preserve"> e gli “Appunti del Comitato”.</w:t>
      </w:r>
    </w:p>
    <w:p w:rsidR="00670EB5" w:rsidRPr="00063D88" w:rsidRDefault="00670EB5" w:rsidP="00670EB5">
      <w:pPr>
        <w:pStyle w:val="Titolo1"/>
        <w:rPr>
          <w:rFonts w:ascii="Garamond" w:hAnsi="Garamond"/>
          <w:i/>
          <w:color w:val="0000FF"/>
          <w:sz w:val="44"/>
          <w:szCs w:val="44"/>
        </w:rPr>
      </w:pPr>
      <w:bookmarkStart w:id="32" w:name="_Toc337653466"/>
      <w:bookmarkStart w:id="33" w:name="_Toc342035923"/>
      <w:bookmarkStart w:id="34" w:name="_Toc439082233"/>
      <w:bookmarkStart w:id="35" w:name="_Toc439953649"/>
      <w:bookmarkStart w:id="36" w:name="_Toc440030363"/>
      <w:r w:rsidRPr="00063D88">
        <w:rPr>
          <w:rFonts w:ascii="Garamond" w:hAnsi="Garamond"/>
          <w:i/>
          <w:color w:val="0000FF"/>
          <w:sz w:val="44"/>
          <w:szCs w:val="44"/>
        </w:rPr>
        <w:lastRenderedPageBreak/>
        <w:t>II.</w:t>
      </w:r>
      <w:r w:rsidRPr="00063D88">
        <w:rPr>
          <w:rFonts w:ascii="Garamond" w:hAnsi="Garamond"/>
          <w:i/>
          <w:color w:val="0000FF"/>
          <w:sz w:val="44"/>
          <w:szCs w:val="44"/>
        </w:rPr>
        <w:br/>
        <w:t>L’ATTIVAZIONE DEL COMITATO</w:t>
      </w:r>
      <w:bookmarkEnd w:id="32"/>
      <w:bookmarkEnd w:id="33"/>
      <w:bookmarkEnd w:id="34"/>
      <w:bookmarkEnd w:id="35"/>
      <w:bookmarkEnd w:id="36"/>
    </w:p>
    <w:p w:rsidR="0069390B" w:rsidRPr="00063D88" w:rsidRDefault="003005AB" w:rsidP="009C4326">
      <w:pPr>
        <w:rPr>
          <w:rFonts w:ascii="Garamond" w:hAnsi="Garamond"/>
          <w:b/>
          <w:sz w:val="32"/>
          <w:szCs w:val="32"/>
        </w:rPr>
      </w:pPr>
      <w:r w:rsidRPr="00063D88">
        <w:rPr>
          <w:rFonts w:ascii="Garamond" w:hAnsi="Garamond"/>
          <w:sz w:val="32"/>
          <w:szCs w:val="32"/>
        </w:rPr>
        <w:t xml:space="preserve">Nel </w:t>
      </w:r>
      <w:r w:rsidR="00A65C5B">
        <w:rPr>
          <w:rFonts w:ascii="Garamond" w:hAnsi="Garamond"/>
          <w:sz w:val="32"/>
          <w:szCs w:val="32"/>
        </w:rPr>
        <w:t>terz</w:t>
      </w:r>
      <w:r w:rsidRPr="00063D88">
        <w:rPr>
          <w:rFonts w:ascii="Garamond" w:hAnsi="Garamond"/>
          <w:sz w:val="32"/>
          <w:szCs w:val="32"/>
        </w:rPr>
        <w:t>o</w:t>
      </w:r>
      <w:r w:rsidR="002C6CEF" w:rsidRPr="00063D88">
        <w:rPr>
          <w:rFonts w:ascii="Garamond" w:hAnsi="Garamond"/>
          <w:sz w:val="32"/>
          <w:szCs w:val="32"/>
        </w:rPr>
        <w:t xml:space="preserve"> turno di presidenza il Comitato si è </w:t>
      </w:r>
      <w:r w:rsidR="002C6CEF" w:rsidRPr="00803F9E">
        <w:rPr>
          <w:rFonts w:ascii="Garamond" w:hAnsi="Garamond"/>
          <w:sz w:val="32"/>
          <w:szCs w:val="32"/>
        </w:rPr>
        <w:t xml:space="preserve">riunito </w:t>
      </w:r>
      <w:r w:rsidR="00D35136" w:rsidRPr="00803F9E">
        <w:rPr>
          <w:rFonts w:ascii="Garamond" w:hAnsi="Garamond"/>
          <w:b/>
          <w:bCs/>
          <w:color w:val="800000"/>
          <w:sz w:val="32"/>
          <w:szCs w:val="32"/>
        </w:rPr>
        <w:t>1</w:t>
      </w:r>
      <w:r w:rsidR="00970F64" w:rsidRPr="00803F9E">
        <w:rPr>
          <w:rFonts w:ascii="Garamond" w:hAnsi="Garamond"/>
          <w:b/>
          <w:bCs/>
          <w:color w:val="800000"/>
          <w:sz w:val="32"/>
          <w:szCs w:val="32"/>
        </w:rPr>
        <w:t>8</w:t>
      </w:r>
      <w:r w:rsidR="00670EB5" w:rsidRPr="00E61845">
        <w:rPr>
          <w:rStyle w:val="StileGrassetto"/>
          <w:rFonts w:ascii="Garamond" w:hAnsi="Garamond"/>
          <w:sz w:val="32"/>
          <w:szCs w:val="32"/>
        </w:rPr>
        <w:t xml:space="preserve"> </w:t>
      </w:r>
      <w:r w:rsidR="002C6CEF" w:rsidRPr="00E61845">
        <w:rPr>
          <w:rStyle w:val="StileGrassetto"/>
          <w:rFonts w:ascii="Garamond" w:hAnsi="Garamond"/>
          <w:b w:val="0"/>
          <w:sz w:val="32"/>
          <w:szCs w:val="32"/>
        </w:rPr>
        <w:t>volte, esprimendo</w:t>
      </w:r>
      <w:r w:rsidR="00A227D4" w:rsidRPr="00E61845">
        <w:rPr>
          <w:rStyle w:val="StileGrassetto"/>
          <w:rFonts w:ascii="Garamond" w:hAnsi="Garamond"/>
          <w:b w:val="0"/>
          <w:sz w:val="32"/>
          <w:szCs w:val="32"/>
        </w:rPr>
        <w:t xml:space="preserve"> </w:t>
      </w:r>
      <w:r w:rsidR="00D35136" w:rsidRPr="00E61845">
        <w:rPr>
          <w:rStyle w:val="StileGrassetto"/>
          <w:rFonts w:ascii="Garamond" w:hAnsi="Garamond"/>
          <w:color w:val="800000"/>
          <w:sz w:val="32"/>
          <w:szCs w:val="32"/>
        </w:rPr>
        <w:t>2</w:t>
      </w:r>
      <w:r w:rsidR="00970F64" w:rsidRPr="00E61845">
        <w:rPr>
          <w:rStyle w:val="StileGrassetto"/>
          <w:rFonts w:ascii="Garamond" w:hAnsi="Garamond"/>
          <w:color w:val="800000"/>
          <w:sz w:val="32"/>
          <w:szCs w:val="32"/>
        </w:rPr>
        <w:t>7</w:t>
      </w:r>
      <w:r w:rsidR="00670EB5" w:rsidRPr="00E61845">
        <w:rPr>
          <w:rStyle w:val="StileGrassetto"/>
          <w:rFonts w:ascii="Garamond" w:hAnsi="Garamond"/>
          <w:b w:val="0"/>
          <w:sz w:val="32"/>
          <w:szCs w:val="32"/>
        </w:rPr>
        <w:t xml:space="preserve"> pareri</w:t>
      </w:r>
      <w:r w:rsidR="00670EB5" w:rsidRPr="00E61845">
        <w:rPr>
          <w:rFonts w:ascii="Garamond" w:hAnsi="Garamond"/>
          <w:b/>
          <w:sz w:val="32"/>
          <w:szCs w:val="32"/>
        </w:rPr>
        <w:t xml:space="preserve"> </w:t>
      </w:r>
      <w:r w:rsidR="00670EB5" w:rsidRPr="00E61845">
        <w:rPr>
          <w:rFonts w:ascii="Garamond" w:hAnsi="Garamond"/>
          <w:sz w:val="32"/>
          <w:szCs w:val="32"/>
        </w:rPr>
        <w:t>su</w:t>
      </w:r>
      <w:r w:rsidR="00670EB5" w:rsidRPr="00E61845">
        <w:rPr>
          <w:rFonts w:ascii="Garamond" w:hAnsi="Garamond"/>
          <w:b/>
          <w:sz w:val="32"/>
          <w:szCs w:val="32"/>
        </w:rPr>
        <w:t xml:space="preserve"> </w:t>
      </w:r>
      <w:r w:rsidR="00D35136" w:rsidRPr="00E61845">
        <w:rPr>
          <w:rFonts w:ascii="Garamond" w:hAnsi="Garamond"/>
          <w:b/>
          <w:color w:val="800000"/>
          <w:sz w:val="32"/>
          <w:szCs w:val="32"/>
        </w:rPr>
        <w:t>2</w:t>
      </w:r>
      <w:r w:rsidR="00E61845" w:rsidRPr="00E61845">
        <w:rPr>
          <w:rFonts w:ascii="Garamond" w:hAnsi="Garamond"/>
          <w:b/>
          <w:color w:val="800000"/>
          <w:sz w:val="32"/>
          <w:szCs w:val="32"/>
        </w:rPr>
        <w:t>6</w:t>
      </w:r>
      <w:r w:rsidR="00F1489A" w:rsidRPr="00E61845">
        <w:rPr>
          <w:rFonts w:ascii="Garamond" w:hAnsi="Garamond"/>
          <w:b/>
          <w:sz w:val="32"/>
          <w:szCs w:val="32"/>
        </w:rPr>
        <w:t xml:space="preserve"> </w:t>
      </w:r>
      <w:r w:rsidR="00670EB5" w:rsidRPr="00E61845">
        <w:rPr>
          <w:rFonts w:ascii="Garamond" w:hAnsi="Garamond"/>
          <w:sz w:val="32"/>
          <w:szCs w:val="32"/>
        </w:rPr>
        <w:t>provvedimenti norma</w:t>
      </w:r>
      <w:r w:rsidR="00670EB5" w:rsidRPr="007917BD">
        <w:rPr>
          <w:rFonts w:ascii="Garamond" w:hAnsi="Garamond"/>
          <w:sz w:val="32"/>
          <w:szCs w:val="32"/>
        </w:rPr>
        <w:t>tivi</w:t>
      </w:r>
      <w:r w:rsidR="00465684">
        <w:rPr>
          <w:rFonts w:ascii="Garamond" w:hAnsi="Garamond"/>
          <w:sz w:val="32"/>
          <w:szCs w:val="32"/>
        </w:rPr>
        <w:t>,</w:t>
      </w:r>
      <w:r w:rsidR="00465684" w:rsidRPr="00465684">
        <w:rPr>
          <w:rFonts w:ascii="Garamond" w:hAnsi="Garamond"/>
          <w:sz w:val="32"/>
          <w:szCs w:val="32"/>
        </w:rPr>
        <w:t xml:space="preserve"> </w:t>
      </w:r>
      <w:r w:rsidR="00465684" w:rsidRPr="00063D88">
        <w:rPr>
          <w:rFonts w:ascii="Garamond" w:hAnsi="Garamond"/>
          <w:sz w:val="32"/>
          <w:szCs w:val="32"/>
        </w:rPr>
        <w:t>tutti rimessi al suo esame d’ufficio</w:t>
      </w:r>
      <w:r w:rsidR="00465684">
        <w:rPr>
          <w:rFonts w:ascii="Garamond" w:hAnsi="Garamond"/>
          <w:sz w:val="32"/>
          <w:szCs w:val="32"/>
        </w:rPr>
        <w:t>, con la rilevante eccezione del disegno di legge di riforma costituzionale (A. C. 2613-B)</w:t>
      </w:r>
      <w:r w:rsidR="003833D9">
        <w:rPr>
          <w:rFonts w:ascii="Garamond" w:hAnsi="Garamond"/>
          <w:sz w:val="32"/>
          <w:szCs w:val="32"/>
        </w:rPr>
        <w:t>:</w:t>
      </w:r>
    </w:p>
    <w:p w:rsidR="00670EB5" w:rsidRPr="00063D88" w:rsidRDefault="00D35136" w:rsidP="001A3808">
      <w:pPr>
        <w:numPr>
          <w:ilvl w:val="1"/>
          <w:numId w:val="8"/>
        </w:numPr>
        <w:tabs>
          <w:tab w:val="num" w:pos="567"/>
        </w:tabs>
        <w:spacing w:before="120"/>
        <w:ind w:left="567" w:hanging="283"/>
        <w:rPr>
          <w:rFonts w:ascii="Garamond" w:hAnsi="Garamond"/>
          <w:i/>
          <w:iCs/>
          <w:sz w:val="32"/>
          <w:szCs w:val="32"/>
        </w:rPr>
      </w:pPr>
      <w:r w:rsidRPr="00E61845">
        <w:rPr>
          <w:rFonts w:ascii="Garamond" w:hAnsi="Garamond"/>
          <w:b/>
          <w:iCs/>
          <w:color w:val="800000"/>
          <w:sz w:val="32"/>
          <w:szCs w:val="32"/>
        </w:rPr>
        <w:t>1</w:t>
      </w:r>
      <w:r w:rsidR="00970F64">
        <w:rPr>
          <w:rFonts w:ascii="Garamond" w:hAnsi="Garamond"/>
          <w:b/>
          <w:iCs/>
          <w:color w:val="800000"/>
          <w:sz w:val="32"/>
          <w:szCs w:val="32"/>
        </w:rPr>
        <w:t>5</w:t>
      </w:r>
      <w:r w:rsidR="00670EB5" w:rsidRPr="00063D88">
        <w:rPr>
          <w:rFonts w:ascii="Garamond" w:hAnsi="Garamond"/>
          <w:iCs/>
          <w:sz w:val="32"/>
          <w:szCs w:val="32"/>
        </w:rPr>
        <w:t xml:space="preserve"> disegni di legge di conversione di decreti-legge (a </w:t>
      </w:r>
      <w:r w:rsidR="007917BD">
        <w:rPr>
          <w:rFonts w:ascii="Garamond" w:hAnsi="Garamond"/>
          <w:iCs/>
          <w:sz w:val="32"/>
          <w:szCs w:val="32"/>
        </w:rPr>
        <w:t>norma</w:t>
      </w:r>
      <w:r w:rsidR="00670EB5" w:rsidRPr="00063D88">
        <w:rPr>
          <w:rFonts w:ascii="Garamond" w:hAnsi="Garamond"/>
          <w:iCs/>
          <w:sz w:val="32"/>
          <w:szCs w:val="32"/>
        </w:rPr>
        <w:t xml:space="preserve"> dell’</w:t>
      </w:r>
      <w:r w:rsidR="00670EB5" w:rsidRPr="00063D88">
        <w:rPr>
          <w:rFonts w:ascii="Garamond" w:hAnsi="Garamond"/>
          <w:iCs/>
          <w:color w:val="0000FF"/>
          <w:sz w:val="32"/>
          <w:szCs w:val="32"/>
        </w:rPr>
        <w:t>articolo 96-</w:t>
      </w:r>
      <w:r w:rsidR="00670EB5" w:rsidRPr="00063D88">
        <w:rPr>
          <w:rFonts w:ascii="Garamond" w:hAnsi="Garamond"/>
          <w:i/>
          <w:iCs/>
          <w:color w:val="0000FF"/>
          <w:sz w:val="32"/>
          <w:szCs w:val="32"/>
        </w:rPr>
        <w:t>bis</w:t>
      </w:r>
      <w:r w:rsidR="00670EB5" w:rsidRPr="00063D88">
        <w:rPr>
          <w:rFonts w:ascii="Garamond" w:hAnsi="Garamond"/>
          <w:iCs/>
          <w:color w:val="0000FF"/>
          <w:sz w:val="32"/>
          <w:szCs w:val="32"/>
        </w:rPr>
        <w:t>, comma 1</w:t>
      </w:r>
      <w:r w:rsidR="001F75E2">
        <w:rPr>
          <w:rFonts w:ascii="Garamond" w:hAnsi="Garamond"/>
          <w:iCs/>
          <w:color w:val="0000FF"/>
          <w:sz w:val="32"/>
          <w:szCs w:val="32"/>
        </w:rPr>
        <w:t xml:space="preserve"> del r</w:t>
      </w:r>
      <w:r w:rsidR="000C2BFB" w:rsidRPr="00063D88">
        <w:rPr>
          <w:rFonts w:ascii="Garamond" w:hAnsi="Garamond"/>
          <w:iCs/>
          <w:color w:val="0000FF"/>
          <w:sz w:val="32"/>
          <w:szCs w:val="32"/>
        </w:rPr>
        <w:t>egolamento della Camera</w:t>
      </w:r>
      <w:r w:rsidR="00670EB5" w:rsidRPr="00063D88">
        <w:rPr>
          <w:rFonts w:ascii="Garamond" w:hAnsi="Garamond"/>
          <w:iCs/>
          <w:sz w:val="32"/>
          <w:szCs w:val="32"/>
        </w:rPr>
        <w:t>)</w:t>
      </w:r>
      <w:r w:rsidR="00465684">
        <w:rPr>
          <w:rFonts w:ascii="Garamond" w:hAnsi="Garamond"/>
          <w:iCs/>
          <w:sz w:val="32"/>
          <w:szCs w:val="32"/>
        </w:rPr>
        <w:t>;</w:t>
      </w:r>
      <w:r w:rsidR="0002073D" w:rsidRPr="00063D88">
        <w:rPr>
          <w:rFonts w:ascii="Garamond" w:hAnsi="Garamond"/>
          <w:iCs/>
          <w:sz w:val="32"/>
          <w:szCs w:val="32"/>
        </w:rPr>
        <w:t xml:space="preserve"> </w:t>
      </w:r>
    </w:p>
    <w:p w:rsidR="001F75E2" w:rsidRPr="001F75E2" w:rsidRDefault="00E61845" w:rsidP="001A3808">
      <w:pPr>
        <w:numPr>
          <w:ilvl w:val="1"/>
          <w:numId w:val="8"/>
        </w:numPr>
        <w:tabs>
          <w:tab w:val="num" w:pos="567"/>
        </w:tabs>
        <w:ind w:left="567" w:hanging="283"/>
        <w:rPr>
          <w:rFonts w:ascii="Garamond" w:hAnsi="Garamond"/>
          <w:i/>
          <w:iCs/>
          <w:sz w:val="32"/>
          <w:szCs w:val="32"/>
        </w:rPr>
      </w:pPr>
      <w:r w:rsidRPr="00E61845">
        <w:rPr>
          <w:rFonts w:ascii="Garamond" w:hAnsi="Garamond"/>
          <w:b/>
          <w:bCs/>
          <w:iCs/>
          <w:color w:val="800000"/>
          <w:sz w:val="32"/>
          <w:szCs w:val="32"/>
        </w:rPr>
        <w:t>10</w:t>
      </w:r>
      <w:r w:rsidR="004743EA" w:rsidRPr="00E61845">
        <w:rPr>
          <w:rFonts w:ascii="Garamond" w:hAnsi="Garamond"/>
          <w:b/>
          <w:bCs/>
          <w:iCs/>
          <w:color w:val="800000"/>
          <w:sz w:val="32"/>
          <w:szCs w:val="32"/>
        </w:rPr>
        <w:t xml:space="preserve"> </w:t>
      </w:r>
      <w:r w:rsidR="004743EA" w:rsidRPr="00E61845">
        <w:rPr>
          <w:rFonts w:ascii="Garamond" w:hAnsi="Garamond"/>
          <w:iCs/>
          <w:sz w:val="32"/>
          <w:szCs w:val="32"/>
        </w:rPr>
        <w:t>p</w:t>
      </w:r>
      <w:r w:rsidR="004743EA">
        <w:rPr>
          <w:rFonts w:ascii="Garamond" w:hAnsi="Garamond"/>
          <w:iCs/>
          <w:sz w:val="32"/>
          <w:szCs w:val="32"/>
        </w:rPr>
        <w:t>rogett</w:t>
      </w:r>
      <w:r w:rsidR="004743EA" w:rsidRPr="00063D88">
        <w:rPr>
          <w:rFonts w:ascii="Garamond" w:hAnsi="Garamond"/>
          <w:iCs/>
          <w:sz w:val="32"/>
          <w:szCs w:val="32"/>
        </w:rPr>
        <w:t>i di legge contenenti disposizioni di deleg</w:t>
      </w:r>
      <w:r w:rsidR="004743EA">
        <w:rPr>
          <w:rFonts w:ascii="Garamond" w:hAnsi="Garamond"/>
          <w:iCs/>
          <w:sz w:val="32"/>
          <w:szCs w:val="32"/>
        </w:rPr>
        <w:t xml:space="preserve">a, sottoposti all’esame del Comitato </w:t>
      </w:r>
      <w:r w:rsidR="001F75E2" w:rsidRPr="00063D88">
        <w:rPr>
          <w:rFonts w:ascii="Garamond" w:hAnsi="Garamond"/>
          <w:iCs/>
          <w:sz w:val="32"/>
          <w:szCs w:val="32"/>
        </w:rPr>
        <w:t xml:space="preserve">a </w:t>
      </w:r>
      <w:r w:rsidR="001F75E2">
        <w:rPr>
          <w:rFonts w:ascii="Garamond" w:hAnsi="Garamond"/>
          <w:iCs/>
          <w:sz w:val="32"/>
          <w:szCs w:val="32"/>
        </w:rPr>
        <w:t>norma</w:t>
      </w:r>
      <w:r w:rsidR="001F75E2" w:rsidRPr="00063D88">
        <w:rPr>
          <w:rFonts w:ascii="Garamond" w:hAnsi="Garamond"/>
          <w:iCs/>
          <w:sz w:val="32"/>
          <w:szCs w:val="32"/>
        </w:rPr>
        <w:t xml:space="preserve"> dell’</w:t>
      </w:r>
      <w:r w:rsidR="001F75E2" w:rsidRPr="00063D88">
        <w:rPr>
          <w:rFonts w:ascii="Garamond" w:hAnsi="Garamond"/>
          <w:iCs/>
          <w:color w:val="0000FF"/>
          <w:sz w:val="32"/>
          <w:szCs w:val="32"/>
        </w:rPr>
        <w:t>articolo 16-</w:t>
      </w:r>
      <w:r w:rsidR="001F75E2" w:rsidRPr="00063D88">
        <w:rPr>
          <w:rFonts w:ascii="Garamond" w:hAnsi="Garamond"/>
          <w:i/>
          <w:iCs/>
          <w:color w:val="0000FF"/>
          <w:sz w:val="32"/>
          <w:szCs w:val="32"/>
        </w:rPr>
        <w:t>bis</w:t>
      </w:r>
      <w:r w:rsidR="001F75E2" w:rsidRPr="00063D88">
        <w:rPr>
          <w:rFonts w:ascii="Garamond" w:hAnsi="Garamond"/>
          <w:iCs/>
          <w:color w:val="0000FF"/>
          <w:sz w:val="32"/>
          <w:szCs w:val="32"/>
        </w:rPr>
        <w:t>, comma 6-</w:t>
      </w:r>
      <w:r w:rsidR="001F75E2" w:rsidRPr="00063D88">
        <w:rPr>
          <w:rFonts w:ascii="Garamond" w:hAnsi="Garamond"/>
          <w:i/>
          <w:iCs/>
          <w:color w:val="0000FF"/>
          <w:sz w:val="32"/>
          <w:szCs w:val="32"/>
        </w:rPr>
        <w:t>bis</w:t>
      </w:r>
      <w:r w:rsidR="004743EA">
        <w:rPr>
          <w:rFonts w:ascii="Garamond" w:hAnsi="Garamond"/>
          <w:iCs/>
          <w:sz w:val="32"/>
          <w:szCs w:val="32"/>
        </w:rPr>
        <w:t xml:space="preserve"> </w:t>
      </w:r>
      <w:r w:rsidR="001F75E2">
        <w:rPr>
          <w:rFonts w:ascii="Garamond" w:hAnsi="Garamond"/>
          <w:iCs/>
          <w:color w:val="0000FF"/>
          <w:sz w:val="32"/>
          <w:szCs w:val="32"/>
        </w:rPr>
        <w:t>del r</w:t>
      </w:r>
      <w:r w:rsidR="001F75E2" w:rsidRPr="00063D88">
        <w:rPr>
          <w:rFonts w:ascii="Garamond" w:hAnsi="Garamond"/>
          <w:iCs/>
          <w:color w:val="0000FF"/>
          <w:sz w:val="32"/>
          <w:szCs w:val="32"/>
        </w:rPr>
        <w:t>egolamento della Camera</w:t>
      </w:r>
      <w:r w:rsidR="001F75E2" w:rsidRPr="001F75E2">
        <w:rPr>
          <w:rFonts w:ascii="Garamond" w:hAnsi="Garamond"/>
          <w:iCs/>
          <w:sz w:val="32"/>
          <w:szCs w:val="32"/>
        </w:rPr>
        <w:t xml:space="preserve"> </w:t>
      </w:r>
      <w:r w:rsidR="00D35136">
        <w:rPr>
          <w:rFonts w:ascii="Garamond" w:hAnsi="Garamond"/>
          <w:iCs/>
          <w:sz w:val="32"/>
          <w:szCs w:val="32"/>
        </w:rPr>
        <w:t>(</w:t>
      </w:r>
      <w:r w:rsidR="00D35136" w:rsidRPr="00063D88">
        <w:rPr>
          <w:rFonts w:ascii="Garamond" w:hAnsi="Garamond"/>
          <w:iCs/>
          <w:sz w:val="32"/>
          <w:szCs w:val="32"/>
        </w:rPr>
        <w:t xml:space="preserve">in </w:t>
      </w:r>
      <w:r w:rsidR="00D35136">
        <w:rPr>
          <w:rFonts w:ascii="Garamond" w:hAnsi="Garamond"/>
          <w:iCs/>
          <w:sz w:val="32"/>
          <w:szCs w:val="32"/>
        </w:rPr>
        <w:t>un</w:t>
      </w:r>
      <w:r w:rsidR="00D35136" w:rsidRPr="00063D88">
        <w:rPr>
          <w:rFonts w:ascii="Garamond" w:hAnsi="Garamond"/>
          <w:iCs/>
          <w:sz w:val="32"/>
          <w:szCs w:val="32"/>
        </w:rPr>
        <w:t xml:space="preserve"> cas</w:t>
      </w:r>
      <w:r w:rsidR="00D35136">
        <w:rPr>
          <w:rFonts w:ascii="Garamond" w:hAnsi="Garamond"/>
          <w:iCs/>
          <w:sz w:val="32"/>
          <w:szCs w:val="32"/>
        </w:rPr>
        <w:t>o</w:t>
      </w:r>
      <w:r w:rsidR="00D35136" w:rsidRPr="00063D88">
        <w:rPr>
          <w:rFonts w:ascii="Garamond" w:hAnsi="Garamond"/>
          <w:iCs/>
          <w:sz w:val="32"/>
          <w:szCs w:val="32"/>
        </w:rPr>
        <w:t xml:space="preserve"> il Comitato ha espresso il parere sia in prima, sia in seconda lettura</w:t>
      </w:r>
      <w:r w:rsidR="00D35136">
        <w:rPr>
          <w:rFonts w:ascii="Garamond" w:hAnsi="Garamond"/>
          <w:iCs/>
          <w:sz w:val="32"/>
          <w:szCs w:val="32"/>
        </w:rPr>
        <w:t>)</w:t>
      </w:r>
      <w:r w:rsidR="00465684">
        <w:rPr>
          <w:rFonts w:ascii="Garamond" w:hAnsi="Garamond"/>
          <w:iCs/>
          <w:sz w:val="32"/>
          <w:szCs w:val="32"/>
        </w:rPr>
        <w:t>. N</w:t>
      </w:r>
      <w:r w:rsidR="0035036D">
        <w:rPr>
          <w:rFonts w:ascii="Garamond" w:hAnsi="Garamond"/>
          <w:iCs/>
          <w:sz w:val="32"/>
          <w:szCs w:val="32"/>
        </w:rPr>
        <w:t>el dettaglio:</w:t>
      </w:r>
      <w:r w:rsidR="001F75E2">
        <w:rPr>
          <w:rFonts w:ascii="Garamond" w:hAnsi="Garamond"/>
          <w:b/>
          <w:bCs/>
          <w:iCs/>
          <w:color w:val="800000"/>
          <w:sz w:val="32"/>
          <w:szCs w:val="32"/>
        </w:rPr>
        <w:t xml:space="preserve"> </w:t>
      </w:r>
    </w:p>
    <w:p w:rsidR="001F75E2" w:rsidRPr="00D35136" w:rsidRDefault="00D35136" w:rsidP="00E10E3E">
      <w:pPr>
        <w:numPr>
          <w:ilvl w:val="0"/>
          <w:numId w:val="14"/>
        </w:numPr>
        <w:rPr>
          <w:rFonts w:ascii="Garamond" w:hAnsi="Garamond"/>
          <w:i/>
          <w:iCs/>
          <w:sz w:val="32"/>
          <w:szCs w:val="32"/>
        </w:rPr>
      </w:pPr>
      <w:r w:rsidRPr="00E61845">
        <w:rPr>
          <w:rFonts w:ascii="Garamond" w:hAnsi="Garamond"/>
          <w:b/>
          <w:bCs/>
          <w:iCs/>
          <w:color w:val="800000"/>
          <w:sz w:val="32"/>
          <w:szCs w:val="32"/>
        </w:rPr>
        <w:t>6</w:t>
      </w:r>
      <w:r w:rsidR="00670EB5" w:rsidRPr="00063D88">
        <w:rPr>
          <w:rFonts w:ascii="Garamond" w:hAnsi="Garamond"/>
          <w:b/>
          <w:bCs/>
          <w:i/>
          <w:iCs/>
          <w:sz w:val="32"/>
          <w:szCs w:val="32"/>
        </w:rPr>
        <w:t xml:space="preserve"> </w:t>
      </w:r>
      <w:r w:rsidR="00955BCB" w:rsidRPr="00063D88">
        <w:rPr>
          <w:rFonts w:ascii="Garamond" w:hAnsi="Garamond"/>
          <w:iCs/>
          <w:sz w:val="32"/>
          <w:szCs w:val="32"/>
        </w:rPr>
        <w:t>disegn</w:t>
      </w:r>
      <w:r w:rsidR="00670EB5" w:rsidRPr="00063D88">
        <w:rPr>
          <w:rFonts w:ascii="Garamond" w:hAnsi="Garamond"/>
          <w:iCs/>
          <w:sz w:val="32"/>
          <w:szCs w:val="32"/>
        </w:rPr>
        <w:t xml:space="preserve">i di legge </w:t>
      </w:r>
      <w:r w:rsidR="0002073D" w:rsidRPr="00063D88">
        <w:rPr>
          <w:rFonts w:ascii="Garamond" w:hAnsi="Garamond"/>
          <w:iCs/>
          <w:sz w:val="32"/>
          <w:szCs w:val="32"/>
        </w:rPr>
        <w:t xml:space="preserve">governativi </w:t>
      </w:r>
      <w:r w:rsidR="00670EB5" w:rsidRPr="00063D88">
        <w:rPr>
          <w:rFonts w:ascii="Garamond" w:hAnsi="Garamond"/>
          <w:iCs/>
          <w:sz w:val="32"/>
          <w:szCs w:val="32"/>
        </w:rPr>
        <w:t>contenenti disposizioni di delega</w:t>
      </w:r>
      <w:r w:rsidR="002445FA">
        <w:rPr>
          <w:rFonts w:ascii="Garamond" w:hAnsi="Garamond"/>
          <w:iCs/>
          <w:sz w:val="32"/>
          <w:szCs w:val="32"/>
        </w:rPr>
        <w:t xml:space="preserve"> in materia di </w:t>
      </w:r>
      <w:r>
        <w:rPr>
          <w:rFonts w:ascii="Garamond" w:hAnsi="Garamond"/>
          <w:iCs/>
          <w:sz w:val="32"/>
          <w:szCs w:val="32"/>
        </w:rPr>
        <w:t>nautica da diporto</w:t>
      </w:r>
      <w:r w:rsidR="002445FA">
        <w:rPr>
          <w:rFonts w:ascii="Garamond" w:hAnsi="Garamond"/>
          <w:iCs/>
          <w:sz w:val="32"/>
          <w:szCs w:val="32"/>
        </w:rPr>
        <w:t xml:space="preserve"> (C. </w:t>
      </w:r>
      <w:r>
        <w:rPr>
          <w:rFonts w:ascii="Garamond" w:hAnsi="Garamond"/>
          <w:iCs/>
          <w:sz w:val="32"/>
          <w:szCs w:val="32"/>
        </w:rPr>
        <w:t>2722</w:t>
      </w:r>
      <w:r w:rsidR="002445FA">
        <w:rPr>
          <w:rFonts w:ascii="Garamond" w:hAnsi="Garamond"/>
          <w:iCs/>
          <w:sz w:val="32"/>
          <w:szCs w:val="32"/>
        </w:rPr>
        <w:t xml:space="preserve">), di </w:t>
      </w:r>
      <w:r>
        <w:rPr>
          <w:rFonts w:ascii="Garamond" w:hAnsi="Garamond"/>
          <w:iCs/>
          <w:sz w:val="32"/>
          <w:szCs w:val="32"/>
        </w:rPr>
        <w:t>“buona scuola”</w:t>
      </w:r>
      <w:r w:rsidR="002445FA">
        <w:rPr>
          <w:rFonts w:ascii="Garamond" w:hAnsi="Garamond"/>
          <w:iCs/>
          <w:sz w:val="32"/>
          <w:szCs w:val="32"/>
        </w:rPr>
        <w:t xml:space="preserve"> (C. 2</w:t>
      </w:r>
      <w:r>
        <w:rPr>
          <w:rFonts w:ascii="Garamond" w:hAnsi="Garamond"/>
          <w:iCs/>
          <w:sz w:val="32"/>
          <w:szCs w:val="32"/>
        </w:rPr>
        <w:t>994</w:t>
      </w:r>
      <w:r w:rsidR="00E61845">
        <w:rPr>
          <w:rFonts w:ascii="Garamond" w:hAnsi="Garamond"/>
          <w:iCs/>
          <w:sz w:val="32"/>
          <w:szCs w:val="32"/>
        </w:rPr>
        <w:t xml:space="preserve"> e C. 2994-B</w:t>
      </w:r>
      <w:r w:rsidR="002445FA">
        <w:rPr>
          <w:rFonts w:ascii="Garamond" w:hAnsi="Garamond"/>
          <w:iCs/>
          <w:sz w:val="32"/>
          <w:szCs w:val="32"/>
        </w:rPr>
        <w:t xml:space="preserve">), di </w:t>
      </w:r>
      <w:r>
        <w:rPr>
          <w:rFonts w:ascii="Garamond" w:hAnsi="Garamond"/>
          <w:iCs/>
          <w:sz w:val="32"/>
          <w:szCs w:val="32"/>
        </w:rPr>
        <w:t>riorganizzazione della Pubblica Amministrazione</w:t>
      </w:r>
      <w:r w:rsidR="002445FA">
        <w:rPr>
          <w:rFonts w:ascii="Garamond" w:hAnsi="Garamond"/>
          <w:iCs/>
          <w:sz w:val="32"/>
          <w:szCs w:val="32"/>
        </w:rPr>
        <w:t xml:space="preserve"> (C. </w:t>
      </w:r>
      <w:r>
        <w:rPr>
          <w:rFonts w:ascii="Garamond" w:hAnsi="Garamond"/>
          <w:iCs/>
          <w:sz w:val="32"/>
          <w:szCs w:val="32"/>
        </w:rPr>
        <w:t>3098</w:t>
      </w:r>
      <w:r w:rsidR="002445FA">
        <w:rPr>
          <w:rFonts w:ascii="Garamond" w:hAnsi="Garamond"/>
          <w:iCs/>
          <w:sz w:val="32"/>
          <w:szCs w:val="32"/>
        </w:rPr>
        <w:t>)</w:t>
      </w:r>
      <w:r>
        <w:rPr>
          <w:rFonts w:ascii="Garamond" w:hAnsi="Garamond"/>
          <w:iCs/>
          <w:sz w:val="32"/>
          <w:szCs w:val="32"/>
        </w:rPr>
        <w:t>, di modi</w:t>
      </w:r>
      <w:r w:rsidR="00295538">
        <w:rPr>
          <w:rFonts w:ascii="Garamond" w:hAnsi="Garamond"/>
          <w:iCs/>
          <w:sz w:val="32"/>
          <w:szCs w:val="32"/>
        </w:rPr>
        <w:t>f</w:t>
      </w:r>
      <w:r>
        <w:rPr>
          <w:rFonts w:ascii="Garamond" w:hAnsi="Garamond"/>
          <w:iCs/>
          <w:sz w:val="32"/>
          <w:szCs w:val="32"/>
        </w:rPr>
        <w:t xml:space="preserve">iche ai codici penale e di procedura penale (C 2798), di </w:t>
      </w:r>
      <w:r w:rsidR="00E61845">
        <w:rPr>
          <w:rFonts w:ascii="Garamond" w:hAnsi="Garamond"/>
          <w:iCs/>
          <w:sz w:val="32"/>
          <w:szCs w:val="32"/>
        </w:rPr>
        <w:t>contrat</w:t>
      </w:r>
      <w:r>
        <w:rPr>
          <w:rFonts w:ascii="Garamond" w:hAnsi="Garamond"/>
          <w:iCs/>
          <w:sz w:val="32"/>
          <w:szCs w:val="32"/>
        </w:rPr>
        <w:t xml:space="preserve">ti </w:t>
      </w:r>
      <w:r w:rsidR="00E61845">
        <w:rPr>
          <w:rFonts w:ascii="Garamond" w:hAnsi="Garamond"/>
          <w:iCs/>
          <w:sz w:val="32"/>
          <w:szCs w:val="32"/>
        </w:rPr>
        <w:t xml:space="preserve">pubblici </w:t>
      </w:r>
      <w:r>
        <w:rPr>
          <w:rFonts w:ascii="Garamond" w:hAnsi="Garamond"/>
          <w:iCs/>
          <w:sz w:val="32"/>
          <w:szCs w:val="32"/>
        </w:rPr>
        <w:t xml:space="preserve">(C 3194) e di riforma della RAI </w:t>
      </w:r>
      <w:r w:rsidR="002445FA">
        <w:rPr>
          <w:rFonts w:ascii="Garamond" w:hAnsi="Garamond"/>
          <w:iCs/>
          <w:sz w:val="32"/>
          <w:szCs w:val="32"/>
        </w:rPr>
        <w:t xml:space="preserve">(C. </w:t>
      </w:r>
      <w:r>
        <w:rPr>
          <w:rFonts w:ascii="Garamond" w:hAnsi="Garamond"/>
          <w:iCs/>
          <w:sz w:val="32"/>
          <w:szCs w:val="32"/>
        </w:rPr>
        <w:t>3272</w:t>
      </w:r>
      <w:r w:rsidR="002445FA">
        <w:rPr>
          <w:rFonts w:ascii="Garamond" w:hAnsi="Garamond"/>
          <w:iCs/>
          <w:sz w:val="32"/>
          <w:szCs w:val="32"/>
        </w:rPr>
        <w:t>)</w:t>
      </w:r>
      <w:r w:rsidR="00E92AA7">
        <w:rPr>
          <w:rFonts w:ascii="Garamond" w:hAnsi="Garamond"/>
          <w:iCs/>
          <w:sz w:val="32"/>
          <w:szCs w:val="32"/>
        </w:rPr>
        <w:t>;</w:t>
      </w:r>
    </w:p>
    <w:p w:rsidR="00D35136" w:rsidRDefault="00D35136" w:rsidP="00E10E3E">
      <w:pPr>
        <w:numPr>
          <w:ilvl w:val="0"/>
          <w:numId w:val="14"/>
        </w:numPr>
        <w:rPr>
          <w:rFonts w:ascii="Garamond" w:hAnsi="Garamond"/>
          <w:i/>
          <w:iCs/>
          <w:sz w:val="32"/>
          <w:szCs w:val="32"/>
        </w:rPr>
      </w:pPr>
      <w:r>
        <w:rPr>
          <w:rFonts w:ascii="Garamond" w:hAnsi="Garamond"/>
          <w:b/>
          <w:bCs/>
          <w:iCs/>
          <w:color w:val="800000"/>
          <w:sz w:val="32"/>
          <w:szCs w:val="32"/>
        </w:rPr>
        <w:t xml:space="preserve">1 </w:t>
      </w:r>
      <w:r w:rsidRPr="00D35136">
        <w:rPr>
          <w:rFonts w:ascii="Garamond" w:hAnsi="Garamond"/>
          <w:iCs/>
          <w:sz w:val="32"/>
          <w:szCs w:val="32"/>
        </w:rPr>
        <w:t>d</w:t>
      </w:r>
      <w:r>
        <w:rPr>
          <w:rFonts w:ascii="Garamond" w:hAnsi="Garamond"/>
          <w:iCs/>
          <w:sz w:val="32"/>
          <w:szCs w:val="32"/>
        </w:rPr>
        <w:t>isegno di legge governativo di delegazione europea</w:t>
      </w:r>
      <w:r w:rsidR="005535C4">
        <w:rPr>
          <w:rFonts w:ascii="Garamond" w:hAnsi="Garamond"/>
          <w:iCs/>
          <w:sz w:val="32"/>
          <w:szCs w:val="32"/>
        </w:rPr>
        <w:t xml:space="preserve"> </w:t>
      </w:r>
      <w:r>
        <w:rPr>
          <w:rFonts w:ascii="Garamond" w:hAnsi="Garamond"/>
          <w:iCs/>
          <w:sz w:val="32"/>
          <w:szCs w:val="32"/>
        </w:rPr>
        <w:t>(C. 3123</w:t>
      </w:r>
      <w:r w:rsidR="005535C4">
        <w:rPr>
          <w:rFonts w:ascii="Garamond" w:hAnsi="Garamond"/>
          <w:iCs/>
          <w:sz w:val="32"/>
          <w:szCs w:val="32"/>
        </w:rPr>
        <w:t>, legge di delegazione europea 2014</w:t>
      </w:r>
      <w:r>
        <w:rPr>
          <w:rFonts w:ascii="Garamond" w:hAnsi="Garamond"/>
          <w:iCs/>
          <w:sz w:val="32"/>
          <w:szCs w:val="32"/>
        </w:rPr>
        <w:t>);</w:t>
      </w:r>
    </w:p>
    <w:p w:rsidR="002445FA" w:rsidRPr="00465684" w:rsidRDefault="00970F64" w:rsidP="00E10E3E">
      <w:pPr>
        <w:numPr>
          <w:ilvl w:val="0"/>
          <w:numId w:val="14"/>
        </w:numPr>
        <w:rPr>
          <w:rFonts w:ascii="Garamond" w:hAnsi="Garamond"/>
          <w:i/>
          <w:iCs/>
          <w:sz w:val="32"/>
          <w:szCs w:val="32"/>
        </w:rPr>
      </w:pPr>
      <w:r>
        <w:rPr>
          <w:rFonts w:ascii="Garamond" w:hAnsi="Garamond"/>
          <w:b/>
          <w:bCs/>
          <w:iCs/>
          <w:color w:val="800000"/>
          <w:sz w:val="32"/>
          <w:szCs w:val="32"/>
        </w:rPr>
        <w:t>3</w:t>
      </w:r>
      <w:r w:rsidR="00611B59" w:rsidRPr="00295538">
        <w:rPr>
          <w:rFonts w:ascii="Garamond" w:hAnsi="Garamond"/>
          <w:bCs/>
          <w:iCs/>
          <w:color w:val="000066"/>
          <w:sz w:val="32"/>
          <w:szCs w:val="32"/>
        </w:rPr>
        <w:t xml:space="preserve"> </w:t>
      </w:r>
      <w:r w:rsidR="009A3772" w:rsidRPr="00295538">
        <w:rPr>
          <w:rFonts w:ascii="Garamond" w:hAnsi="Garamond"/>
          <w:bCs/>
          <w:iCs/>
          <w:sz w:val="32"/>
          <w:szCs w:val="32"/>
        </w:rPr>
        <w:t>test</w:t>
      </w:r>
      <w:r w:rsidR="00295538" w:rsidRPr="00295538">
        <w:rPr>
          <w:rFonts w:ascii="Garamond" w:hAnsi="Garamond"/>
          <w:bCs/>
          <w:iCs/>
          <w:sz w:val="32"/>
          <w:szCs w:val="32"/>
        </w:rPr>
        <w:t>i</w:t>
      </w:r>
      <w:r w:rsidR="002678D6" w:rsidRPr="00295538">
        <w:rPr>
          <w:rFonts w:ascii="Garamond" w:hAnsi="Garamond"/>
          <w:bCs/>
          <w:iCs/>
          <w:sz w:val="32"/>
          <w:szCs w:val="32"/>
        </w:rPr>
        <w:t xml:space="preserve"> unificat</w:t>
      </w:r>
      <w:r w:rsidR="00295538" w:rsidRPr="00295538">
        <w:rPr>
          <w:rFonts w:ascii="Garamond" w:hAnsi="Garamond"/>
          <w:bCs/>
          <w:iCs/>
          <w:sz w:val="32"/>
          <w:szCs w:val="32"/>
        </w:rPr>
        <w:t>i</w:t>
      </w:r>
      <w:r w:rsidR="00122CA0" w:rsidRPr="00295538">
        <w:rPr>
          <w:rFonts w:ascii="Garamond" w:hAnsi="Garamond"/>
          <w:bCs/>
          <w:iCs/>
          <w:sz w:val="32"/>
          <w:szCs w:val="32"/>
        </w:rPr>
        <w:t xml:space="preserve"> </w:t>
      </w:r>
      <w:r w:rsidR="00295538" w:rsidRPr="00295538">
        <w:rPr>
          <w:rFonts w:ascii="Garamond" w:hAnsi="Garamond"/>
          <w:bCs/>
          <w:iCs/>
          <w:sz w:val="32"/>
          <w:szCs w:val="32"/>
        </w:rPr>
        <w:t>di proposte di legge di in</w:t>
      </w:r>
      <w:r w:rsidR="00465684">
        <w:rPr>
          <w:rFonts w:ascii="Garamond" w:hAnsi="Garamond"/>
          <w:bCs/>
          <w:iCs/>
          <w:sz w:val="32"/>
          <w:szCs w:val="32"/>
        </w:rPr>
        <w:t>iziativa parlamentare riguardanti</w:t>
      </w:r>
      <w:r>
        <w:rPr>
          <w:rFonts w:ascii="Garamond" w:hAnsi="Garamond"/>
          <w:bCs/>
          <w:iCs/>
          <w:sz w:val="32"/>
          <w:szCs w:val="32"/>
        </w:rPr>
        <w:t xml:space="preserve">: </w:t>
      </w:r>
      <w:r w:rsidR="002445FA" w:rsidRPr="00295538">
        <w:rPr>
          <w:rFonts w:ascii="Garamond" w:hAnsi="Garamond"/>
          <w:bCs/>
          <w:iCs/>
          <w:sz w:val="32"/>
          <w:szCs w:val="32"/>
        </w:rPr>
        <w:t xml:space="preserve">la riforma del </w:t>
      </w:r>
      <w:r w:rsidR="00D35136" w:rsidRPr="00295538">
        <w:rPr>
          <w:rFonts w:ascii="Garamond" w:hAnsi="Garamond"/>
          <w:bCs/>
          <w:iCs/>
          <w:sz w:val="32"/>
          <w:szCs w:val="32"/>
        </w:rPr>
        <w:t>siste</w:t>
      </w:r>
      <w:r w:rsidR="00295538" w:rsidRPr="00295538">
        <w:rPr>
          <w:rFonts w:ascii="Garamond" w:hAnsi="Garamond"/>
          <w:bCs/>
          <w:iCs/>
          <w:sz w:val="32"/>
          <w:szCs w:val="32"/>
        </w:rPr>
        <w:t>ma elettorale della Camera dei d</w:t>
      </w:r>
      <w:r w:rsidR="00D35136" w:rsidRPr="00295538">
        <w:rPr>
          <w:rFonts w:ascii="Garamond" w:hAnsi="Garamond"/>
          <w:bCs/>
          <w:iCs/>
          <w:sz w:val="32"/>
          <w:szCs w:val="32"/>
        </w:rPr>
        <w:t>eputati</w:t>
      </w:r>
      <w:r w:rsidR="00295538" w:rsidRPr="00295538">
        <w:rPr>
          <w:rFonts w:ascii="Garamond" w:hAnsi="Garamond"/>
          <w:bCs/>
          <w:iCs/>
          <w:sz w:val="32"/>
          <w:szCs w:val="32"/>
        </w:rPr>
        <w:t xml:space="preserve"> (TU 3-</w:t>
      </w:r>
      <w:r w:rsidR="00295538" w:rsidRPr="00295538">
        <w:rPr>
          <w:rFonts w:ascii="Garamond" w:hAnsi="Garamond"/>
          <w:bCs/>
          <w:i/>
          <w:iCs/>
          <w:sz w:val="32"/>
          <w:szCs w:val="32"/>
        </w:rPr>
        <w:t>bis</w:t>
      </w:r>
      <w:r>
        <w:rPr>
          <w:rFonts w:ascii="Garamond" w:hAnsi="Garamond"/>
          <w:bCs/>
          <w:iCs/>
          <w:sz w:val="32"/>
          <w:szCs w:val="32"/>
        </w:rPr>
        <w:t xml:space="preserve"> ed abb.);</w:t>
      </w:r>
      <w:r w:rsidR="00295538">
        <w:rPr>
          <w:rFonts w:ascii="Garamond" w:hAnsi="Garamond"/>
          <w:bCs/>
          <w:iCs/>
          <w:sz w:val="32"/>
          <w:szCs w:val="32"/>
        </w:rPr>
        <w:t xml:space="preserve"> il riordino del sistema nazionale</w:t>
      </w:r>
      <w:r w:rsidR="004743EA" w:rsidRPr="00295538">
        <w:rPr>
          <w:rFonts w:ascii="Garamond" w:hAnsi="Garamond"/>
          <w:bCs/>
          <w:iCs/>
          <w:sz w:val="32"/>
          <w:szCs w:val="32"/>
        </w:rPr>
        <w:t xml:space="preserve"> </w:t>
      </w:r>
      <w:r w:rsidR="00295538">
        <w:rPr>
          <w:rFonts w:ascii="Garamond" w:hAnsi="Garamond"/>
          <w:bCs/>
          <w:iCs/>
          <w:sz w:val="32"/>
          <w:szCs w:val="32"/>
        </w:rPr>
        <w:t xml:space="preserve">della </w:t>
      </w:r>
      <w:r w:rsidR="00D35136" w:rsidRPr="00295538">
        <w:rPr>
          <w:rFonts w:ascii="Garamond" w:hAnsi="Garamond"/>
          <w:bCs/>
          <w:iCs/>
          <w:sz w:val="32"/>
          <w:szCs w:val="32"/>
        </w:rPr>
        <w:t xml:space="preserve">protezione civile </w:t>
      </w:r>
      <w:r w:rsidR="004743EA" w:rsidRPr="00295538">
        <w:rPr>
          <w:rFonts w:ascii="Garamond" w:hAnsi="Garamond"/>
          <w:bCs/>
          <w:iCs/>
          <w:sz w:val="32"/>
          <w:szCs w:val="32"/>
        </w:rPr>
        <w:t>(</w:t>
      </w:r>
      <w:r w:rsidR="00D35136" w:rsidRPr="00295538">
        <w:rPr>
          <w:rFonts w:ascii="Garamond" w:hAnsi="Garamond"/>
          <w:bCs/>
          <w:iCs/>
          <w:sz w:val="32"/>
          <w:szCs w:val="32"/>
        </w:rPr>
        <w:t>TU</w:t>
      </w:r>
      <w:r w:rsidR="004743EA" w:rsidRPr="00295538">
        <w:rPr>
          <w:rFonts w:ascii="Garamond" w:hAnsi="Garamond"/>
          <w:bCs/>
          <w:iCs/>
          <w:sz w:val="32"/>
          <w:szCs w:val="32"/>
        </w:rPr>
        <w:t xml:space="preserve"> 2</w:t>
      </w:r>
      <w:r w:rsidR="00D35136" w:rsidRPr="00295538">
        <w:rPr>
          <w:rFonts w:ascii="Garamond" w:hAnsi="Garamond"/>
          <w:bCs/>
          <w:iCs/>
          <w:sz w:val="32"/>
          <w:szCs w:val="32"/>
        </w:rPr>
        <w:t>607</w:t>
      </w:r>
      <w:r w:rsidR="004743EA" w:rsidRPr="00295538">
        <w:rPr>
          <w:rFonts w:ascii="Garamond" w:hAnsi="Garamond"/>
          <w:bCs/>
          <w:iCs/>
          <w:sz w:val="32"/>
          <w:szCs w:val="32"/>
        </w:rPr>
        <w:t xml:space="preserve"> ed abb.);</w:t>
      </w:r>
      <w:r w:rsidR="00465684">
        <w:rPr>
          <w:rFonts w:ascii="Garamond" w:hAnsi="Garamond"/>
          <w:bCs/>
          <w:iCs/>
          <w:sz w:val="32"/>
          <w:szCs w:val="32"/>
        </w:rPr>
        <w:t xml:space="preserve"> </w:t>
      </w:r>
      <w:r w:rsidR="00465684" w:rsidRPr="00465684">
        <w:rPr>
          <w:rFonts w:ascii="Garamond" w:hAnsi="Garamond"/>
          <w:bCs/>
          <w:iCs/>
          <w:sz w:val="32"/>
          <w:szCs w:val="32"/>
        </w:rPr>
        <w:t>l’emersione alla legalità e la tutela dei lavoratori delle aziende sequestrate e confiscate alla criminalità organizzata</w:t>
      </w:r>
      <w:r w:rsidR="004743EA" w:rsidRPr="00295538">
        <w:rPr>
          <w:rFonts w:ascii="Garamond" w:hAnsi="Garamond"/>
          <w:bCs/>
          <w:iCs/>
          <w:sz w:val="32"/>
          <w:szCs w:val="32"/>
        </w:rPr>
        <w:t xml:space="preserve"> </w:t>
      </w:r>
      <w:r w:rsidR="00465684">
        <w:rPr>
          <w:rFonts w:ascii="Garamond" w:hAnsi="Garamond"/>
          <w:bCs/>
          <w:iCs/>
          <w:sz w:val="32"/>
          <w:szCs w:val="32"/>
        </w:rPr>
        <w:t>(TU 1138 ed abb.);</w:t>
      </w:r>
    </w:p>
    <w:p w:rsidR="00465684" w:rsidRPr="00295538" w:rsidRDefault="00465684" w:rsidP="00465684">
      <w:pPr>
        <w:ind w:left="1287" w:firstLine="0"/>
        <w:rPr>
          <w:rFonts w:ascii="Garamond" w:hAnsi="Garamond"/>
          <w:i/>
          <w:iCs/>
          <w:sz w:val="32"/>
          <w:szCs w:val="32"/>
        </w:rPr>
      </w:pPr>
    </w:p>
    <w:p w:rsidR="00465684" w:rsidRDefault="00465684" w:rsidP="00E10E3E">
      <w:pPr>
        <w:numPr>
          <w:ilvl w:val="0"/>
          <w:numId w:val="15"/>
        </w:numPr>
        <w:rPr>
          <w:rFonts w:ascii="Garamond" w:hAnsi="Garamond"/>
          <w:bCs/>
          <w:iCs/>
          <w:sz w:val="32"/>
          <w:szCs w:val="32"/>
        </w:rPr>
      </w:pPr>
      <w:r w:rsidRPr="000C4AA8">
        <w:rPr>
          <w:rFonts w:ascii="Garamond" w:hAnsi="Garamond"/>
          <w:b/>
          <w:bCs/>
          <w:iCs/>
          <w:color w:val="800000"/>
          <w:sz w:val="32"/>
          <w:szCs w:val="32"/>
        </w:rPr>
        <w:lastRenderedPageBreak/>
        <w:t xml:space="preserve">1 </w:t>
      </w:r>
      <w:r w:rsidRPr="00063D88">
        <w:rPr>
          <w:rFonts w:ascii="Garamond" w:hAnsi="Garamond"/>
          <w:iCs/>
          <w:sz w:val="32"/>
          <w:szCs w:val="32"/>
        </w:rPr>
        <w:t>disegn</w:t>
      </w:r>
      <w:r>
        <w:rPr>
          <w:rFonts w:ascii="Garamond" w:hAnsi="Garamond"/>
          <w:iCs/>
          <w:sz w:val="32"/>
          <w:szCs w:val="32"/>
        </w:rPr>
        <w:t>o</w:t>
      </w:r>
      <w:r w:rsidRPr="00063D88">
        <w:rPr>
          <w:rFonts w:ascii="Garamond" w:hAnsi="Garamond"/>
          <w:iCs/>
          <w:sz w:val="32"/>
          <w:szCs w:val="32"/>
        </w:rPr>
        <w:t xml:space="preserve"> di legge</w:t>
      </w:r>
      <w:r>
        <w:rPr>
          <w:rFonts w:ascii="Garamond" w:hAnsi="Garamond"/>
          <w:iCs/>
          <w:sz w:val="32"/>
          <w:szCs w:val="32"/>
        </w:rPr>
        <w:t xml:space="preserve"> riguardante la riforma della Parte II della Costituzione (C. 2613-B), sottoposto al parere del Comitato (che già si era espresso in prima lettura) a norma dell’articolo 16-</w:t>
      </w:r>
      <w:r w:rsidRPr="00342791">
        <w:rPr>
          <w:rFonts w:ascii="Garamond" w:hAnsi="Garamond"/>
          <w:i/>
          <w:iCs/>
          <w:sz w:val="32"/>
          <w:szCs w:val="32"/>
        </w:rPr>
        <w:t>bis</w:t>
      </w:r>
      <w:r>
        <w:rPr>
          <w:rFonts w:ascii="Garamond" w:hAnsi="Garamond"/>
          <w:iCs/>
          <w:sz w:val="32"/>
          <w:szCs w:val="32"/>
        </w:rPr>
        <w:t>, comma 4 del regolamento, su richiesta di almeno un quinto dei componenti la Commissione Affari costituzionali. Il titolo esatto del disegno di legge reca “</w:t>
      </w:r>
      <w:r w:rsidRPr="0042065B">
        <w:rPr>
          <w:rFonts w:ascii="Garamond" w:hAnsi="Garamond"/>
          <w:iCs/>
          <w:sz w:val="32"/>
          <w:szCs w:val="32"/>
        </w:rPr>
        <w:t>Disposizioni per il superamento del bicameralismo paritario, la riduzione del numero dei parlamentari, il contenimento dei costi di funzionamento delle istituzioni, la soppressione del CNEL e la revisione del titolo V della parte II della Costituzione</w:t>
      </w:r>
      <w:r>
        <w:rPr>
          <w:rFonts w:ascii="Garamond" w:hAnsi="Garamond"/>
          <w:iCs/>
          <w:sz w:val="32"/>
          <w:szCs w:val="32"/>
        </w:rPr>
        <w:t>”.</w:t>
      </w:r>
    </w:p>
    <w:p w:rsidR="00742C46" w:rsidRDefault="00742C46" w:rsidP="005535C4">
      <w:pPr>
        <w:ind w:left="1004" w:firstLine="0"/>
        <w:rPr>
          <w:rFonts w:ascii="Garamond" w:hAnsi="Garamond"/>
          <w:bCs/>
          <w:iCs/>
          <w:sz w:val="32"/>
          <w:szCs w:val="32"/>
        </w:rPr>
      </w:pPr>
    </w:p>
    <w:p w:rsidR="009D6BA7" w:rsidRDefault="009D6BA7" w:rsidP="00670EB5">
      <w:pPr>
        <w:rPr>
          <w:rFonts w:ascii="Garamond" w:hAnsi="Garamond"/>
          <w:bCs/>
          <w:iCs/>
          <w:sz w:val="32"/>
          <w:szCs w:val="32"/>
        </w:rPr>
      </w:pPr>
    </w:p>
    <w:tbl>
      <w:tblPr>
        <w:tblW w:w="8560" w:type="dxa"/>
        <w:tblInd w:w="55" w:type="dxa"/>
        <w:tblCellMar>
          <w:left w:w="70" w:type="dxa"/>
          <w:right w:w="70" w:type="dxa"/>
        </w:tblCellMar>
        <w:tblLook w:val="0000" w:firstRow="0" w:lastRow="0" w:firstColumn="0" w:lastColumn="0" w:noHBand="0" w:noVBand="0"/>
      </w:tblPr>
      <w:tblGrid>
        <w:gridCol w:w="2140"/>
        <w:gridCol w:w="2140"/>
        <w:gridCol w:w="2140"/>
        <w:gridCol w:w="2140"/>
      </w:tblGrid>
      <w:tr w:rsidR="00E61845" w:rsidRPr="009D6BA7" w:rsidTr="002D19DE">
        <w:trPr>
          <w:trHeight w:val="765"/>
        </w:trPr>
        <w:tc>
          <w:tcPr>
            <w:tcW w:w="2140" w:type="dxa"/>
            <w:tcBorders>
              <w:top w:val="single" w:sz="8" w:space="0" w:color="000000"/>
              <w:left w:val="single" w:sz="8" w:space="0" w:color="000000"/>
              <w:bottom w:val="single" w:sz="8" w:space="0" w:color="000000"/>
              <w:right w:val="single" w:sz="8" w:space="0" w:color="000000"/>
            </w:tcBorders>
            <w:shd w:val="clear" w:color="auto" w:fill="99CCFF"/>
            <w:vAlign w:val="bottom"/>
          </w:tcPr>
          <w:p w:rsidR="00E61845" w:rsidRPr="009D6BA7" w:rsidRDefault="00E61845" w:rsidP="00602C7D">
            <w:pPr>
              <w:keepNext/>
              <w:spacing w:line="240" w:lineRule="auto"/>
              <w:ind w:firstLine="0"/>
              <w:jc w:val="center"/>
              <w:rPr>
                <w:rFonts w:ascii="Garamond" w:hAnsi="Garamond" w:cs="Arial"/>
                <w:b/>
                <w:bCs/>
                <w:i/>
                <w:iCs/>
                <w:sz w:val="28"/>
                <w:szCs w:val="28"/>
              </w:rPr>
            </w:pPr>
            <w:r w:rsidRPr="009D6BA7">
              <w:rPr>
                <w:rFonts w:ascii="Garamond" w:hAnsi="Garamond" w:cs="Arial"/>
                <w:b/>
                <w:bCs/>
                <w:i/>
                <w:iCs/>
                <w:sz w:val="28"/>
                <w:szCs w:val="28"/>
              </w:rPr>
              <w:t>Tipologia pareri</w:t>
            </w:r>
          </w:p>
        </w:tc>
        <w:tc>
          <w:tcPr>
            <w:tcW w:w="2140" w:type="dxa"/>
            <w:tcBorders>
              <w:top w:val="single" w:sz="8" w:space="0" w:color="000000"/>
              <w:left w:val="nil"/>
              <w:bottom w:val="single" w:sz="8" w:space="0" w:color="000000"/>
              <w:right w:val="single" w:sz="8" w:space="0" w:color="000000"/>
            </w:tcBorders>
            <w:shd w:val="clear" w:color="auto" w:fill="99CCFF"/>
            <w:vAlign w:val="bottom"/>
          </w:tcPr>
          <w:p w:rsidR="00E61845" w:rsidRPr="009D6BA7" w:rsidRDefault="00E61845" w:rsidP="00602C7D">
            <w:pPr>
              <w:keepNext/>
              <w:spacing w:line="240" w:lineRule="auto"/>
              <w:ind w:firstLine="0"/>
              <w:jc w:val="center"/>
              <w:rPr>
                <w:rFonts w:ascii="Garamond" w:hAnsi="Garamond" w:cs="Arial"/>
                <w:b/>
                <w:bCs/>
                <w:i/>
                <w:iCs/>
                <w:sz w:val="28"/>
                <w:szCs w:val="28"/>
              </w:rPr>
            </w:pPr>
            <w:r w:rsidRPr="009D6BA7">
              <w:rPr>
                <w:rFonts w:ascii="Garamond" w:hAnsi="Garamond" w:cs="Arial"/>
                <w:b/>
                <w:bCs/>
                <w:i/>
                <w:iCs/>
                <w:sz w:val="28"/>
                <w:szCs w:val="28"/>
              </w:rPr>
              <w:t>Numero</w:t>
            </w:r>
          </w:p>
        </w:tc>
        <w:tc>
          <w:tcPr>
            <w:tcW w:w="2140" w:type="dxa"/>
            <w:tcBorders>
              <w:top w:val="single" w:sz="8" w:space="0" w:color="000000"/>
              <w:left w:val="nil"/>
              <w:bottom w:val="single" w:sz="8" w:space="0" w:color="000000"/>
              <w:right w:val="single" w:sz="8" w:space="0" w:color="000000"/>
            </w:tcBorders>
            <w:shd w:val="clear" w:color="auto" w:fill="99CCFF"/>
            <w:vAlign w:val="bottom"/>
          </w:tcPr>
          <w:p w:rsidR="00E61845" w:rsidRPr="009D6BA7" w:rsidRDefault="00E61845" w:rsidP="00602C7D">
            <w:pPr>
              <w:keepNext/>
              <w:spacing w:line="240" w:lineRule="auto"/>
              <w:ind w:firstLine="0"/>
              <w:jc w:val="center"/>
              <w:rPr>
                <w:rFonts w:ascii="Garamond" w:hAnsi="Garamond" w:cs="Arial"/>
                <w:b/>
                <w:bCs/>
                <w:i/>
                <w:iCs/>
                <w:sz w:val="28"/>
                <w:szCs w:val="28"/>
              </w:rPr>
            </w:pPr>
            <w:r w:rsidRPr="009D6BA7">
              <w:rPr>
                <w:rFonts w:ascii="Garamond" w:hAnsi="Garamond" w:cs="Arial"/>
                <w:b/>
                <w:bCs/>
                <w:i/>
                <w:iCs/>
                <w:sz w:val="28"/>
                <w:szCs w:val="28"/>
              </w:rPr>
              <w:t>%</w:t>
            </w:r>
          </w:p>
        </w:tc>
        <w:tc>
          <w:tcPr>
            <w:tcW w:w="2140" w:type="dxa"/>
            <w:tcBorders>
              <w:top w:val="single" w:sz="8" w:space="0" w:color="000000"/>
              <w:left w:val="nil"/>
              <w:bottom w:val="single" w:sz="8" w:space="0" w:color="000000"/>
              <w:right w:val="single" w:sz="8" w:space="0" w:color="000000"/>
            </w:tcBorders>
            <w:shd w:val="clear" w:color="auto" w:fill="99CCFF"/>
            <w:vAlign w:val="bottom"/>
          </w:tcPr>
          <w:p w:rsidR="00E61845" w:rsidRPr="009D6BA7" w:rsidRDefault="00E61845" w:rsidP="00602C7D">
            <w:pPr>
              <w:keepNext/>
              <w:spacing w:line="240" w:lineRule="auto"/>
              <w:ind w:firstLine="0"/>
              <w:jc w:val="center"/>
              <w:rPr>
                <w:rFonts w:ascii="Garamond" w:hAnsi="Garamond" w:cs="Arial"/>
                <w:b/>
                <w:bCs/>
                <w:i/>
                <w:iCs/>
                <w:sz w:val="28"/>
                <w:szCs w:val="28"/>
              </w:rPr>
            </w:pPr>
            <w:r w:rsidRPr="009D6BA7">
              <w:rPr>
                <w:rFonts w:ascii="Garamond" w:hAnsi="Garamond" w:cs="Arial"/>
                <w:b/>
                <w:bCs/>
                <w:i/>
                <w:iCs/>
                <w:sz w:val="28"/>
                <w:szCs w:val="28"/>
              </w:rPr>
              <w:t>Tipologia provvedimenti</w:t>
            </w:r>
          </w:p>
        </w:tc>
      </w:tr>
      <w:tr w:rsidR="00E61845" w:rsidRPr="009D6BA7" w:rsidTr="002D19DE">
        <w:trPr>
          <w:trHeight w:val="1140"/>
        </w:trPr>
        <w:tc>
          <w:tcPr>
            <w:tcW w:w="2140" w:type="dxa"/>
            <w:tcBorders>
              <w:top w:val="nil"/>
              <w:left w:val="single" w:sz="8" w:space="0" w:color="000000"/>
              <w:bottom w:val="single" w:sz="8" w:space="0" w:color="000000"/>
              <w:right w:val="single" w:sz="8" w:space="0" w:color="000000"/>
            </w:tcBorders>
            <w:shd w:val="clear" w:color="auto" w:fill="auto"/>
            <w:vAlign w:val="center"/>
          </w:tcPr>
          <w:p w:rsidR="00E61845" w:rsidRPr="009D6BA7" w:rsidRDefault="00E61845" w:rsidP="002D19DE">
            <w:pPr>
              <w:keepNext/>
              <w:spacing w:line="240" w:lineRule="auto"/>
              <w:ind w:firstLine="0"/>
              <w:jc w:val="center"/>
              <w:rPr>
                <w:rFonts w:ascii="Garamond" w:hAnsi="Garamond" w:cs="Arial"/>
                <w:i/>
                <w:iCs/>
                <w:sz w:val="28"/>
                <w:szCs w:val="28"/>
              </w:rPr>
            </w:pPr>
            <w:r w:rsidRPr="009D6BA7">
              <w:rPr>
                <w:rFonts w:ascii="Garamond" w:hAnsi="Garamond" w:cs="Arial"/>
                <w:i/>
                <w:iCs/>
                <w:sz w:val="28"/>
                <w:szCs w:val="28"/>
              </w:rPr>
              <w:t>Pareri espressi ai sensi dell'articolo</w:t>
            </w:r>
            <w:r w:rsidRPr="009D6BA7">
              <w:rPr>
                <w:rFonts w:ascii="Garamond" w:hAnsi="Garamond" w:cs="Arial"/>
                <w:b/>
                <w:bCs/>
                <w:i/>
                <w:iCs/>
                <w:color w:val="FF0000"/>
                <w:sz w:val="28"/>
                <w:szCs w:val="28"/>
              </w:rPr>
              <w:t xml:space="preserve"> </w:t>
            </w:r>
            <w:r w:rsidRPr="009D6BA7">
              <w:rPr>
                <w:rFonts w:ascii="Garamond" w:hAnsi="Garamond" w:cs="Arial"/>
                <w:b/>
                <w:bCs/>
                <w:i/>
                <w:iCs/>
                <w:color w:val="800000"/>
                <w:sz w:val="28"/>
                <w:szCs w:val="28"/>
              </w:rPr>
              <w:t>96-</w:t>
            </w:r>
            <w:r w:rsidRPr="00CA7E6E">
              <w:rPr>
                <w:rFonts w:ascii="Garamond" w:hAnsi="Garamond" w:cs="Arial"/>
                <w:b/>
                <w:bCs/>
                <w:color w:val="800000"/>
                <w:sz w:val="28"/>
                <w:szCs w:val="28"/>
              </w:rPr>
              <w:t>bis</w:t>
            </w:r>
            <w:r w:rsidRPr="009D6BA7">
              <w:rPr>
                <w:rFonts w:ascii="Garamond" w:hAnsi="Garamond" w:cs="Arial"/>
                <w:b/>
                <w:bCs/>
                <w:i/>
                <w:iCs/>
                <w:color w:val="800000"/>
                <w:sz w:val="28"/>
                <w:szCs w:val="28"/>
              </w:rPr>
              <w:t>, co. 1</w:t>
            </w:r>
          </w:p>
        </w:tc>
        <w:tc>
          <w:tcPr>
            <w:tcW w:w="2140" w:type="dxa"/>
            <w:tcBorders>
              <w:top w:val="nil"/>
              <w:left w:val="nil"/>
              <w:bottom w:val="single" w:sz="8" w:space="0" w:color="000000"/>
              <w:right w:val="single" w:sz="8" w:space="0" w:color="000000"/>
            </w:tcBorders>
            <w:shd w:val="clear" w:color="auto" w:fill="auto"/>
            <w:vAlign w:val="center"/>
          </w:tcPr>
          <w:p w:rsidR="00E61845" w:rsidRPr="009D6BA7" w:rsidRDefault="00E61845" w:rsidP="002D19DE">
            <w:pPr>
              <w:keepNext/>
              <w:spacing w:line="240" w:lineRule="auto"/>
              <w:ind w:firstLine="0"/>
              <w:jc w:val="center"/>
              <w:rPr>
                <w:rFonts w:ascii="Garamond" w:hAnsi="Garamond" w:cs="Arial"/>
                <w:b/>
                <w:bCs/>
                <w:i/>
                <w:iCs/>
                <w:sz w:val="28"/>
                <w:szCs w:val="28"/>
              </w:rPr>
            </w:pPr>
            <w:r>
              <w:rPr>
                <w:rFonts w:ascii="Garamond" w:hAnsi="Garamond" w:cs="Arial"/>
                <w:b/>
                <w:bCs/>
                <w:i/>
                <w:iCs/>
                <w:sz w:val="28"/>
                <w:szCs w:val="28"/>
              </w:rPr>
              <w:t>15</w:t>
            </w:r>
          </w:p>
        </w:tc>
        <w:tc>
          <w:tcPr>
            <w:tcW w:w="2140" w:type="dxa"/>
            <w:tcBorders>
              <w:top w:val="nil"/>
              <w:left w:val="nil"/>
              <w:bottom w:val="single" w:sz="8" w:space="0" w:color="000000"/>
              <w:right w:val="single" w:sz="8" w:space="0" w:color="000000"/>
            </w:tcBorders>
            <w:shd w:val="clear" w:color="auto" w:fill="auto"/>
            <w:vAlign w:val="center"/>
          </w:tcPr>
          <w:p w:rsidR="00E61845" w:rsidRPr="009D6BA7" w:rsidRDefault="009A382F" w:rsidP="002D19DE">
            <w:pPr>
              <w:keepNext/>
              <w:spacing w:line="240" w:lineRule="auto"/>
              <w:ind w:firstLine="0"/>
              <w:jc w:val="center"/>
              <w:rPr>
                <w:rFonts w:ascii="Garamond" w:hAnsi="Garamond" w:cs="Arial"/>
                <w:b/>
                <w:bCs/>
                <w:i/>
                <w:iCs/>
                <w:sz w:val="28"/>
                <w:szCs w:val="28"/>
              </w:rPr>
            </w:pPr>
            <w:r>
              <w:rPr>
                <w:rFonts w:ascii="Garamond" w:hAnsi="Garamond" w:cs="Arial"/>
                <w:b/>
                <w:bCs/>
                <w:i/>
                <w:iCs/>
                <w:sz w:val="28"/>
                <w:szCs w:val="28"/>
              </w:rPr>
              <w:t>5</w:t>
            </w:r>
            <w:r w:rsidR="00E61845">
              <w:rPr>
                <w:rFonts w:ascii="Garamond" w:hAnsi="Garamond" w:cs="Arial"/>
                <w:b/>
                <w:bCs/>
                <w:i/>
                <w:iCs/>
                <w:sz w:val="28"/>
                <w:szCs w:val="28"/>
              </w:rPr>
              <w:t>5</w:t>
            </w:r>
            <w:r>
              <w:rPr>
                <w:rFonts w:ascii="Garamond" w:hAnsi="Garamond" w:cs="Arial"/>
                <w:b/>
                <w:bCs/>
                <w:i/>
                <w:iCs/>
                <w:sz w:val="28"/>
                <w:szCs w:val="28"/>
              </w:rPr>
              <w:t>,5</w:t>
            </w:r>
            <w:r w:rsidR="00E61845" w:rsidRPr="009D6BA7">
              <w:rPr>
                <w:rFonts w:ascii="Garamond" w:hAnsi="Garamond" w:cs="Arial"/>
                <w:b/>
                <w:bCs/>
                <w:i/>
                <w:iCs/>
                <w:sz w:val="28"/>
                <w:szCs w:val="28"/>
              </w:rPr>
              <w:t>%</w:t>
            </w:r>
          </w:p>
        </w:tc>
        <w:tc>
          <w:tcPr>
            <w:tcW w:w="2140" w:type="dxa"/>
            <w:tcBorders>
              <w:top w:val="nil"/>
              <w:left w:val="nil"/>
              <w:bottom w:val="single" w:sz="8" w:space="0" w:color="000000"/>
              <w:right w:val="single" w:sz="8" w:space="0" w:color="000000"/>
            </w:tcBorders>
            <w:shd w:val="clear" w:color="auto" w:fill="auto"/>
            <w:vAlign w:val="center"/>
          </w:tcPr>
          <w:p w:rsidR="00E61845" w:rsidRPr="009D6BA7" w:rsidRDefault="00E61845" w:rsidP="002D19DE">
            <w:pPr>
              <w:keepNext/>
              <w:spacing w:line="240" w:lineRule="auto"/>
              <w:ind w:firstLine="0"/>
              <w:jc w:val="center"/>
              <w:rPr>
                <w:rFonts w:ascii="Garamond" w:hAnsi="Garamond" w:cs="Arial"/>
                <w:b/>
                <w:bCs/>
                <w:i/>
                <w:iCs/>
                <w:color w:val="800000"/>
                <w:sz w:val="28"/>
                <w:szCs w:val="28"/>
              </w:rPr>
            </w:pPr>
            <w:r>
              <w:rPr>
                <w:rFonts w:ascii="Garamond" w:hAnsi="Garamond" w:cs="Arial"/>
                <w:b/>
                <w:bCs/>
                <w:i/>
                <w:iCs/>
                <w:color w:val="800000"/>
                <w:sz w:val="28"/>
                <w:szCs w:val="28"/>
              </w:rPr>
              <w:t>15</w:t>
            </w:r>
            <w:r w:rsidRPr="009D6BA7">
              <w:rPr>
                <w:rFonts w:ascii="Garamond" w:hAnsi="Garamond" w:cs="Arial"/>
                <w:i/>
                <w:iCs/>
                <w:color w:val="800000"/>
                <w:sz w:val="28"/>
                <w:szCs w:val="28"/>
              </w:rPr>
              <w:t xml:space="preserve"> </w:t>
            </w:r>
            <w:r w:rsidRPr="009D6BA7">
              <w:rPr>
                <w:rFonts w:ascii="Garamond" w:hAnsi="Garamond" w:cs="Arial"/>
                <w:i/>
                <w:iCs/>
                <w:sz w:val="28"/>
                <w:szCs w:val="28"/>
              </w:rPr>
              <w:t>disegni di legge di conversione</w:t>
            </w:r>
          </w:p>
        </w:tc>
      </w:tr>
      <w:tr w:rsidR="00E61845" w:rsidRPr="009D6BA7" w:rsidTr="002D19DE">
        <w:trPr>
          <w:trHeight w:val="1134"/>
        </w:trPr>
        <w:tc>
          <w:tcPr>
            <w:tcW w:w="2140" w:type="dxa"/>
            <w:tcBorders>
              <w:top w:val="single" w:sz="8" w:space="0" w:color="000000"/>
              <w:left w:val="single" w:sz="8" w:space="0" w:color="000000"/>
              <w:bottom w:val="single" w:sz="4" w:space="0" w:color="auto"/>
              <w:right w:val="single" w:sz="8" w:space="0" w:color="000000"/>
            </w:tcBorders>
            <w:shd w:val="clear" w:color="auto" w:fill="auto"/>
            <w:vAlign w:val="center"/>
          </w:tcPr>
          <w:p w:rsidR="00E61845" w:rsidRPr="009D6BA7" w:rsidRDefault="00E61845" w:rsidP="002D19DE">
            <w:pPr>
              <w:keepNext/>
              <w:spacing w:line="240" w:lineRule="auto"/>
              <w:ind w:firstLine="0"/>
              <w:jc w:val="center"/>
              <w:rPr>
                <w:rFonts w:ascii="Garamond" w:hAnsi="Garamond" w:cs="Arial"/>
                <w:i/>
                <w:iCs/>
                <w:sz w:val="28"/>
                <w:szCs w:val="28"/>
              </w:rPr>
            </w:pPr>
            <w:r w:rsidRPr="009D6BA7">
              <w:rPr>
                <w:rFonts w:ascii="Garamond" w:hAnsi="Garamond" w:cs="Arial"/>
                <w:i/>
                <w:iCs/>
                <w:sz w:val="28"/>
                <w:szCs w:val="28"/>
              </w:rPr>
              <w:t xml:space="preserve">Pareri espressi ai sensi dell'articolo </w:t>
            </w:r>
            <w:r w:rsidRPr="009D6BA7">
              <w:rPr>
                <w:rFonts w:ascii="Garamond" w:hAnsi="Garamond" w:cs="Arial"/>
                <w:b/>
                <w:bCs/>
                <w:i/>
                <w:iCs/>
                <w:color w:val="800000"/>
                <w:sz w:val="28"/>
                <w:szCs w:val="28"/>
              </w:rPr>
              <w:t>16-</w:t>
            </w:r>
            <w:r w:rsidRPr="0042065B">
              <w:rPr>
                <w:rFonts w:ascii="Garamond" w:hAnsi="Garamond" w:cs="Arial"/>
                <w:b/>
                <w:bCs/>
                <w:i/>
                <w:color w:val="800000"/>
                <w:sz w:val="28"/>
                <w:szCs w:val="28"/>
              </w:rPr>
              <w:t>bis</w:t>
            </w:r>
            <w:r w:rsidRPr="009D6BA7">
              <w:rPr>
                <w:rFonts w:ascii="Garamond" w:hAnsi="Garamond" w:cs="Arial"/>
                <w:b/>
                <w:bCs/>
                <w:i/>
                <w:iCs/>
                <w:color w:val="800000"/>
                <w:sz w:val="28"/>
                <w:szCs w:val="28"/>
              </w:rPr>
              <w:t>, co. 6-</w:t>
            </w:r>
            <w:r w:rsidRPr="009D6BA7">
              <w:rPr>
                <w:rFonts w:ascii="Garamond" w:hAnsi="Garamond" w:cs="Arial"/>
                <w:b/>
                <w:bCs/>
                <w:color w:val="800000"/>
                <w:sz w:val="28"/>
                <w:szCs w:val="28"/>
              </w:rPr>
              <w:t>bis</w:t>
            </w:r>
          </w:p>
        </w:tc>
        <w:tc>
          <w:tcPr>
            <w:tcW w:w="2140" w:type="dxa"/>
            <w:tcBorders>
              <w:top w:val="single" w:sz="8" w:space="0" w:color="000000"/>
              <w:left w:val="nil"/>
              <w:bottom w:val="single" w:sz="4" w:space="0" w:color="auto"/>
              <w:right w:val="single" w:sz="8" w:space="0" w:color="000000"/>
            </w:tcBorders>
            <w:shd w:val="clear" w:color="auto" w:fill="auto"/>
            <w:vAlign w:val="center"/>
          </w:tcPr>
          <w:p w:rsidR="00E61845" w:rsidRPr="009D6BA7" w:rsidRDefault="00E61845" w:rsidP="002D19DE">
            <w:pPr>
              <w:keepNext/>
              <w:spacing w:line="240" w:lineRule="auto"/>
              <w:ind w:firstLine="0"/>
              <w:jc w:val="center"/>
              <w:rPr>
                <w:rFonts w:ascii="Garamond" w:hAnsi="Garamond" w:cs="Arial"/>
                <w:b/>
                <w:bCs/>
                <w:i/>
                <w:iCs/>
                <w:sz w:val="28"/>
                <w:szCs w:val="28"/>
              </w:rPr>
            </w:pPr>
            <w:r>
              <w:rPr>
                <w:rFonts w:ascii="Garamond" w:hAnsi="Garamond" w:cs="Arial"/>
                <w:b/>
                <w:bCs/>
                <w:i/>
                <w:iCs/>
                <w:sz w:val="28"/>
                <w:szCs w:val="28"/>
              </w:rPr>
              <w:t>11</w:t>
            </w:r>
          </w:p>
        </w:tc>
        <w:tc>
          <w:tcPr>
            <w:tcW w:w="2140" w:type="dxa"/>
            <w:tcBorders>
              <w:top w:val="single" w:sz="8" w:space="0" w:color="000000"/>
              <w:left w:val="nil"/>
              <w:bottom w:val="single" w:sz="4" w:space="0" w:color="auto"/>
              <w:right w:val="single" w:sz="8" w:space="0" w:color="000000"/>
            </w:tcBorders>
            <w:shd w:val="clear" w:color="auto" w:fill="auto"/>
            <w:vAlign w:val="center"/>
          </w:tcPr>
          <w:p w:rsidR="00E61845" w:rsidRPr="009D6BA7" w:rsidRDefault="009A382F" w:rsidP="002D19DE">
            <w:pPr>
              <w:keepNext/>
              <w:spacing w:line="240" w:lineRule="auto"/>
              <w:ind w:firstLine="0"/>
              <w:jc w:val="center"/>
              <w:rPr>
                <w:rFonts w:ascii="Garamond" w:hAnsi="Garamond" w:cs="Arial"/>
                <w:b/>
                <w:bCs/>
                <w:i/>
                <w:iCs/>
                <w:sz w:val="28"/>
                <w:szCs w:val="28"/>
              </w:rPr>
            </w:pPr>
            <w:r>
              <w:rPr>
                <w:rFonts w:ascii="Garamond" w:hAnsi="Garamond" w:cs="Arial"/>
                <w:b/>
                <w:bCs/>
                <w:i/>
                <w:iCs/>
                <w:sz w:val="28"/>
                <w:szCs w:val="28"/>
              </w:rPr>
              <w:t>40,8</w:t>
            </w:r>
            <w:r w:rsidR="00E61845" w:rsidRPr="009D6BA7">
              <w:rPr>
                <w:rFonts w:ascii="Garamond" w:hAnsi="Garamond" w:cs="Arial"/>
                <w:b/>
                <w:bCs/>
                <w:i/>
                <w:iCs/>
                <w:sz w:val="28"/>
                <w:szCs w:val="28"/>
              </w:rPr>
              <w:t>%</w:t>
            </w:r>
          </w:p>
        </w:tc>
        <w:tc>
          <w:tcPr>
            <w:tcW w:w="2140" w:type="dxa"/>
            <w:tcBorders>
              <w:top w:val="single" w:sz="8" w:space="0" w:color="000000"/>
              <w:left w:val="nil"/>
              <w:bottom w:val="single" w:sz="4" w:space="0" w:color="auto"/>
              <w:right w:val="single" w:sz="8" w:space="0" w:color="000000"/>
            </w:tcBorders>
            <w:shd w:val="clear" w:color="auto" w:fill="auto"/>
            <w:vAlign w:val="center"/>
          </w:tcPr>
          <w:p w:rsidR="00E61845" w:rsidRPr="009D6BA7" w:rsidRDefault="00E61845" w:rsidP="00E61845">
            <w:pPr>
              <w:keepNext/>
              <w:spacing w:line="240" w:lineRule="auto"/>
              <w:ind w:firstLine="0"/>
              <w:jc w:val="center"/>
              <w:rPr>
                <w:rFonts w:ascii="Garamond" w:hAnsi="Garamond" w:cs="Arial"/>
                <w:b/>
                <w:bCs/>
                <w:i/>
                <w:iCs/>
                <w:color w:val="800000"/>
                <w:sz w:val="28"/>
                <w:szCs w:val="28"/>
              </w:rPr>
            </w:pPr>
            <w:r>
              <w:rPr>
                <w:rFonts w:ascii="Garamond" w:hAnsi="Garamond" w:cs="Arial"/>
                <w:b/>
                <w:bCs/>
                <w:i/>
                <w:iCs/>
                <w:color w:val="800000"/>
                <w:sz w:val="28"/>
                <w:szCs w:val="28"/>
              </w:rPr>
              <w:t xml:space="preserve">10 </w:t>
            </w:r>
            <w:r>
              <w:rPr>
                <w:rFonts w:ascii="Garamond" w:hAnsi="Garamond" w:cs="Arial"/>
                <w:i/>
                <w:iCs/>
                <w:sz w:val="28"/>
                <w:szCs w:val="28"/>
              </w:rPr>
              <w:t>progetti di legge contenenti d</w:t>
            </w:r>
            <w:r w:rsidRPr="009D6BA7">
              <w:rPr>
                <w:rFonts w:ascii="Garamond" w:hAnsi="Garamond" w:cs="Arial"/>
                <w:i/>
                <w:iCs/>
                <w:sz w:val="28"/>
                <w:szCs w:val="28"/>
              </w:rPr>
              <w:t xml:space="preserve">isposizioni di delega </w:t>
            </w:r>
          </w:p>
        </w:tc>
      </w:tr>
      <w:tr w:rsidR="00E61845" w:rsidRPr="009D6BA7" w:rsidTr="002D19DE">
        <w:trPr>
          <w:trHeight w:val="1134"/>
        </w:trPr>
        <w:tc>
          <w:tcPr>
            <w:tcW w:w="2140" w:type="dxa"/>
            <w:tcBorders>
              <w:top w:val="single" w:sz="4" w:space="0" w:color="auto"/>
              <w:left w:val="single" w:sz="8" w:space="0" w:color="000000"/>
              <w:bottom w:val="single" w:sz="8" w:space="0" w:color="000000"/>
              <w:right w:val="single" w:sz="8" w:space="0" w:color="000000"/>
            </w:tcBorders>
            <w:shd w:val="clear" w:color="auto" w:fill="auto"/>
            <w:vAlign w:val="center"/>
          </w:tcPr>
          <w:p w:rsidR="00E61845" w:rsidRPr="009D6BA7" w:rsidRDefault="00E61845" w:rsidP="002D19DE">
            <w:pPr>
              <w:keepNext/>
              <w:spacing w:line="240" w:lineRule="auto"/>
              <w:ind w:firstLine="0"/>
              <w:jc w:val="center"/>
              <w:rPr>
                <w:rFonts w:ascii="Garamond" w:hAnsi="Garamond" w:cs="Arial"/>
                <w:i/>
                <w:iCs/>
                <w:sz w:val="28"/>
                <w:szCs w:val="28"/>
              </w:rPr>
            </w:pPr>
            <w:r w:rsidRPr="009D6BA7">
              <w:rPr>
                <w:rFonts w:ascii="Garamond" w:hAnsi="Garamond" w:cs="Arial"/>
                <w:i/>
                <w:iCs/>
                <w:sz w:val="28"/>
                <w:szCs w:val="28"/>
              </w:rPr>
              <w:t xml:space="preserve">Pareri espressi ai sensi dell'articolo </w:t>
            </w:r>
            <w:r w:rsidRPr="009D6BA7">
              <w:rPr>
                <w:rFonts w:ascii="Garamond" w:hAnsi="Garamond" w:cs="Arial"/>
                <w:b/>
                <w:bCs/>
                <w:i/>
                <w:iCs/>
                <w:color w:val="800000"/>
                <w:sz w:val="28"/>
                <w:szCs w:val="28"/>
              </w:rPr>
              <w:t>16-</w:t>
            </w:r>
            <w:r w:rsidRPr="00CA7E6E">
              <w:rPr>
                <w:rFonts w:ascii="Garamond" w:hAnsi="Garamond" w:cs="Arial"/>
                <w:b/>
                <w:bCs/>
                <w:color w:val="800000"/>
                <w:sz w:val="28"/>
                <w:szCs w:val="28"/>
              </w:rPr>
              <w:t>bis</w:t>
            </w:r>
            <w:r w:rsidRPr="009D6BA7">
              <w:rPr>
                <w:rFonts w:ascii="Garamond" w:hAnsi="Garamond" w:cs="Arial"/>
                <w:b/>
                <w:bCs/>
                <w:i/>
                <w:iCs/>
                <w:color w:val="800000"/>
                <w:sz w:val="28"/>
                <w:szCs w:val="28"/>
              </w:rPr>
              <w:t xml:space="preserve">, co. </w:t>
            </w:r>
            <w:r>
              <w:rPr>
                <w:rFonts w:ascii="Garamond" w:hAnsi="Garamond" w:cs="Arial"/>
                <w:b/>
                <w:bCs/>
                <w:i/>
                <w:iCs/>
                <w:color w:val="800000"/>
                <w:sz w:val="28"/>
                <w:szCs w:val="28"/>
              </w:rPr>
              <w:t>4</w:t>
            </w:r>
          </w:p>
        </w:tc>
        <w:tc>
          <w:tcPr>
            <w:tcW w:w="2140" w:type="dxa"/>
            <w:tcBorders>
              <w:top w:val="single" w:sz="4" w:space="0" w:color="auto"/>
              <w:left w:val="nil"/>
              <w:bottom w:val="single" w:sz="8" w:space="0" w:color="000000"/>
              <w:right w:val="single" w:sz="8" w:space="0" w:color="000000"/>
            </w:tcBorders>
            <w:shd w:val="clear" w:color="auto" w:fill="auto"/>
            <w:vAlign w:val="center"/>
          </w:tcPr>
          <w:p w:rsidR="00E61845" w:rsidRDefault="00E61845" w:rsidP="002D19DE">
            <w:pPr>
              <w:keepNext/>
              <w:spacing w:line="240" w:lineRule="auto"/>
              <w:ind w:firstLine="0"/>
              <w:jc w:val="center"/>
              <w:rPr>
                <w:rFonts w:ascii="Garamond" w:hAnsi="Garamond" w:cs="Arial"/>
                <w:b/>
                <w:bCs/>
                <w:i/>
                <w:iCs/>
                <w:sz w:val="28"/>
                <w:szCs w:val="28"/>
              </w:rPr>
            </w:pPr>
            <w:r>
              <w:rPr>
                <w:rFonts w:ascii="Garamond" w:hAnsi="Garamond" w:cs="Arial"/>
                <w:b/>
                <w:bCs/>
                <w:i/>
                <w:iCs/>
                <w:sz w:val="28"/>
                <w:szCs w:val="28"/>
              </w:rPr>
              <w:t>1</w:t>
            </w:r>
          </w:p>
        </w:tc>
        <w:tc>
          <w:tcPr>
            <w:tcW w:w="2140" w:type="dxa"/>
            <w:tcBorders>
              <w:top w:val="single" w:sz="4" w:space="0" w:color="auto"/>
              <w:left w:val="nil"/>
              <w:bottom w:val="single" w:sz="8" w:space="0" w:color="000000"/>
              <w:right w:val="single" w:sz="8" w:space="0" w:color="000000"/>
            </w:tcBorders>
            <w:shd w:val="clear" w:color="auto" w:fill="auto"/>
            <w:vAlign w:val="center"/>
          </w:tcPr>
          <w:p w:rsidR="00E61845" w:rsidRPr="009D6BA7" w:rsidRDefault="009A382F" w:rsidP="002D19DE">
            <w:pPr>
              <w:keepNext/>
              <w:spacing w:line="240" w:lineRule="auto"/>
              <w:ind w:firstLine="0"/>
              <w:jc w:val="center"/>
              <w:rPr>
                <w:rFonts w:ascii="Garamond" w:hAnsi="Garamond" w:cs="Arial"/>
                <w:b/>
                <w:bCs/>
                <w:i/>
                <w:iCs/>
                <w:sz w:val="28"/>
                <w:szCs w:val="28"/>
              </w:rPr>
            </w:pPr>
            <w:r>
              <w:rPr>
                <w:rFonts w:ascii="Garamond" w:hAnsi="Garamond" w:cs="Arial"/>
                <w:b/>
                <w:bCs/>
                <w:i/>
                <w:iCs/>
                <w:sz w:val="28"/>
                <w:szCs w:val="28"/>
              </w:rPr>
              <w:t>3,7</w:t>
            </w:r>
            <w:r w:rsidR="00E61845">
              <w:rPr>
                <w:rFonts w:ascii="Garamond" w:hAnsi="Garamond" w:cs="Arial"/>
                <w:b/>
                <w:bCs/>
                <w:i/>
                <w:iCs/>
                <w:sz w:val="28"/>
                <w:szCs w:val="28"/>
              </w:rPr>
              <w:t>%</w:t>
            </w:r>
          </w:p>
        </w:tc>
        <w:tc>
          <w:tcPr>
            <w:tcW w:w="2140" w:type="dxa"/>
            <w:tcBorders>
              <w:top w:val="single" w:sz="4" w:space="0" w:color="auto"/>
              <w:left w:val="nil"/>
              <w:bottom w:val="single" w:sz="8" w:space="0" w:color="000000"/>
              <w:right w:val="single" w:sz="8" w:space="0" w:color="000000"/>
            </w:tcBorders>
            <w:shd w:val="clear" w:color="auto" w:fill="auto"/>
            <w:vAlign w:val="center"/>
          </w:tcPr>
          <w:p w:rsidR="00E61845" w:rsidRPr="009D6BA7" w:rsidRDefault="00E61845" w:rsidP="00E61845">
            <w:pPr>
              <w:keepNext/>
              <w:spacing w:line="240" w:lineRule="auto"/>
              <w:ind w:firstLine="0"/>
              <w:jc w:val="center"/>
              <w:rPr>
                <w:rFonts w:ascii="Garamond" w:hAnsi="Garamond" w:cs="Arial"/>
                <w:b/>
                <w:bCs/>
                <w:i/>
                <w:iCs/>
                <w:color w:val="800000"/>
                <w:sz w:val="28"/>
                <w:szCs w:val="28"/>
              </w:rPr>
            </w:pPr>
            <w:r>
              <w:rPr>
                <w:rFonts w:ascii="Garamond" w:hAnsi="Garamond" w:cs="Arial"/>
                <w:b/>
                <w:bCs/>
                <w:i/>
                <w:iCs/>
                <w:color w:val="800000"/>
                <w:sz w:val="28"/>
                <w:szCs w:val="28"/>
              </w:rPr>
              <w:t>1</w:t>
            </w:r>
            <w:r>
              <w:rPr>
                <w:rFonts w:ascii="Garamond" w:hAnsi="Garamond" w:cs="Arial"/>
                <w:i/>
                <w:iCs/>
                <w:sz w:val="28"/>
                <w:szCs w:val="28"/>
              </w:rPr>
              <w:t xml:space="preserve"> disegno di legge costituzionale</w:t>
            </w:r>
          </w:p>
        </w:tc>
      </w:tr>
    </w:tbl>
    <w:p w:rsidR="00E92AA7" w:rsidRPr="00063D88" w:rsidRDefault="00E92AA7" w:rsidP="00670EB5">
      <w:pPr>
        <w:rPr>
          <w:rFonts w:ascii="Garamond" w:hAnsi="Garamond"/>
          <w:i/>
          <w:iCs/>
          <w:sz w:val="28"/>
          <w:szCs w:val="28"/>
        </w:rPr>
      </w:pPr>
    </w:p>
    <w:p w:rsidR="00670EB5" w:rsidRPr="00063D88" w:rsidRDefault="00670EB5" w:rsidP="00670EB5">
      <w:pPr>
        <w:rPr>
          <w:rFonts w:ascii="Garamond" w:hAnsi="Garamond"/>
          <w:i/>
          <w:iCs/>
          <w:sz w:val="28"/>
          <w:szCs w:val="28"/>
        </w:rPr>
      </w:pPr>
    </w:p>
    <w:p w:rsidR="00C45450" w:rsidRPr="00063D88" w:rsidRDefault="00C45450" w:rsidP="00670EB5">
      <w:pPr>
        <w:pStyle w:val="Titolo1"/>
        <w:rPr>
          <w:rFonts w:ascii="Garamond" w:hAnsi="Garamond"/>
          <w:iCs/>
          <w:sz w:val="32"/>
          <w:szCs w:val="32"/>
        </w:rPr>
        <w:sectPr w:rsidR="00C45450" w:rsidRPr="00063D88" w:rsidSect="00876071">
          <w:type w:val="continuous"/>
          <w:pgSz w:w="11906" w:h="16838" w:code="9"/>
          <w:pgMar w:top="1985" w:right="1985" w:bottom="1985" w:left="1985" w:header="1134" w:footer="1134" w:gutter="0"/>
          <w:cols w:space="720"/>
          <w:formProt w:val="0"/>
        </w:sectPr>
      </w:pPr>
    </w:p>
    <w:p w:rsidR="00BB134D" w:rsidRPr="00063D88" w:rsidRDefault="00C45450" w:rsidP="00B85DDC">
      <w:pPr>
        <w:pStyle w:val="Titolo1"/>
        <w:rPr>
          <w:rFonts w:ascii="Garamond" w:hAnsi="Garamond"/>
          <w:i/>
          <w:color w:val="0000FF"/>
          <w:sz w:val="44"/>
          <w:szCs w:val="44"/>
        </w:rPr>
      </w:pPr>
      <w:bookmarkStart w:id="37" w:name="_Toc337653467"/>
      <w:bookmarkStart w:id="38" w:name="_Toc342035924"/>
      <w:bookmarkStart w:id="39" w:name="_Toc439082234"/>
      <w:bookmarkStart w:id="40" w:name="_Toc439953650"/>
      <w:bookmarkStart w:id="41" w:name="_Toc440030364"/>
      <w:r w:rsidRPr="00063D88">
        <w:rPr>
          <w:rFonts w:ascii="Garamond" w:hAnsi="Garamond"/>
          <w:i/>
          <w:color w:val="0000FF"/>
          <w:sz w:val="44"/>
          <w:szCs w:val="44"/>
        </w:rPr>
        <w:lastRenderedPageBreak/>
        <w:t>I</w:t>
      </w:r>
      <w:r w:rsidR="005523E2">
        <w:rPr>
          <w:rFonts w:ascii="Garamond" w:hAnsi="Garamond"/>
          <w:i/>
          <w:color w:val="0000FF"/>
          <w:sz w:val="44"/>
          <w:szCs w:val="44"/>
        </w:rPr>
        <w:t>II</w:t>
      </w:r>
      <w:r w:rsidRPr="00063D88">
        <w:rPr>
          <w:rFonts w:ascii="Garamond" w:hAnsi="Garamond"/>
          <w:i/>
          <w:color w:val="0000FF"/>
          <w:sz w:val="44"/>
          <w:szCs w:val="44"/>
        </w:rPr>
        <w:t>.</w:t>
      </w:r>
      <w:r w:rsidRPr="00063D88">
        <w:rPr>
          <w:rFonts w:ascii="Garamond" w:hAnsi="Garamond"/>
          <w:i/>
          <w:color w:val="0000FF"/>
          <w:sz w:val="44"/>
          <w:szCs w:val="44"/>
        </w:rPr>
        <w:br/>
      </w:r>
      <w:r w:rsidR="002515D2" w:rsidRPr="00063D88">
        <w:rPr>
          <w:rFonts w:ascii="Garamond" w:hAnsi="Garamond"/>
          <w:i/>
          <w:color w:val="0000FF"/>
          <w:sz w:val="44"/>
          <w:szCs w:val="44"/>
        </w:rPr>
        <w:t>CARAT</w:t>
      </w:r>
      <w:r w:rsidR="001F5A2E" w:rsidRPr="00063D88">
        <w:rPr>
          <w:rFonts w:ascii="Garamond" w:hAnsi="Garamond"/>
          <w:i/>
          <w:color w:val="0000FF"/>
          <w:sz w:val="44"/>
          <w:szCs w:val="44"/>
        </w:rPr>
        <w:t>TERISTICHE DELLA PRODUZIONE LEGISL</w:t>
      </w:r>
      <w:r w:rsidR="002515D2" w:rsidRPr="00063D88">
        <w:rPr>
          <w:rFonts w:ascii="Garamond" w:hAnsi="Garamond"/>
          <w:i/>
          <w:color w:val="0000FF"/>
          <w:sz w:val="44"/>
          <w:szCs w:val="44"/>
        </w:rPr>
        <w:t>ATIVA</w:t>
      </w:r>
      <w:bookmarkEnd w:id="37"/>
      <w:bookmarkEnd w:id="38"/>
      <w:bookmarkEnd w:id="39"/>
      <w:bookmarkEnd w:id="40"/>
      <w:bookmarkEnd w:id="41"/>
    </w:p>
    <w:p w:rsidR="00C45450" w:rsidRPr="00063D88" w:rsidRDefault="00C45450" w:rsidP="00C45450">
      <w:pPr>
        <w:rPr>
          <w:rFonts w:ascii="Garamond" w:hAnsi="Garamond"/>
        </w:rPr>
      </w:pPr>
    </w:p>
    <w:p w:rsidR="00A65C5B" w:rsidRDefault="00A65C5B" w:rsidP="00C45450">
      <w:pPr>
        <w:rPr>
          <w:rFonts w:ascii="Garamond" w:hAnsi="Garamond"/>
          <w:sz w:val="32"/>
          <w:szCs w:val="32"/>
        </w:rPr>
      </w:pPr>
      <w:r>
        <w:rPr>
          <w:rFonts w:ascii="Garamond" w:hAnsi="Garamond"/>
          <w:sz w:val="32"/>
          <w:szCs w:val="32"/>
        </w:rPr>
        <w:t xml:space="preserve">I dati sull’attivazione del Comitato denotano caratteristiche della produzione legislativa che si differenziano da quelle della parte iniziale della legislatura, entrata ora in una fase più matura. </w:t>
      </w:r>
    </w:p>
    <w:p w:rsidR="009D0420" w:rsidRDefault="009D0420" w:rsidP="00C45450">
      <w:pPr>
        <w:rPr>
          <w:rFonts w:ascii="Garamond" w:hAnsi="Garamond"/>
          <w:sz w:val="32"/>
          <w:szCs w:val="32"/>
        </w:rPr>
      </w:pPr>
      <w:r>
        <w:rPr>
          <w:rFonts w:ascii="Garamond" w:hAnsi="Garamond"/>
          <w:sz w:val="32"/>
          <w:szCs w:val="32"/>
        </w:rPr>
        <w:t xml:space="preserve">Una prima annotazione: il numero dei pareri espressi dal Comitato è gradualmente </w:t>
      </w:r>
      <w:r w:rsidR="006769E4">
        <w:rPr>
          <w:rFonts w:ascii="Garamond" w:hAnsi="Garamond"/>
          <w:sz w:val="32"/>
          <w:szCs w:val="32"/>
        </w:rPr>
        <w:t xml:space="preserve">e fisiologicamente </w:t>
      </w:r>
      <w:r>
        <w:rPr>
          <w:rFonts w:ascii="Garamond" w:hAnsi="Garamond"/>
          <w:sz w:val="32"/>
          <w:szCs w:val="32"/>
        </w:rPr>
        <w:t>diminuito ne</w:t>
      </w:r>
      <w:r w:rsidR="00D82CF1">
        <w:rPr>
          <w:rFonts w:ascii="Garamond" w:hAnsi="Garamond"/>
          <w:sz w:val="32"/>
          <w:szCs w:val="32"/>
        </w:rPr>
        <w:t>gli anni</w:t>
      </w:r>
      <w:r>
        <w:rPr>
          <w:rFonts w:ascii="Garamond" w:hAnsi="Garamond"/>
          <w:sz w:val="32"/>
          <w:szCs w:val="32"/>
        </w:rPr>
        <w:t xml:space="preserve">, passando dai 39 del primo turno ai 32 del secondo e ai </w:t>
      </w:r>
      <w:r w:rsidRPr="00981927">
        <w:rPr>
          <w:rFonts w:ascii="Garamond" w:hAnsi="Garamond"/>
          <w:sz w:val="32"/>
          <w:szCs w:val="32"/>
        </w:rPr>
        <w:t>2</w:t>
      </w:r>
      <w:r w:rsidR="00981927">
        <w:rPr>
          <w:rFonts w:ascii="Garamond" w:hAnsi="Garamond"/>
          <w:sz w:val="32"/>
          <w:szCs w:val="32"/>
        </w:rPr>
        <w:t>7</w:t>
      </w:r>
      <w:r w:rsidR="00D82CF1">
        <w:rPr>
          <w:rFonts w:ascii="Garamond" w:hAnsi="Garamond"/>
          <w:sz w:val="32"/>
          <w:szCs w:val="32"/>
        </w:rPr>
        <w:t xml:space="preserve"> </w:t>
      </w:r>
      <w:r>
        <w:rPr>
          <w:rFonts w:ascii="Garamond" w:hAnsi="Garamond"/>
          <w:sz w:val="32"/>
          <w:szCs w:val="32"/>
        </w:rPr>
        <w:t xml:space="preserve">del terzo. </w:t>
      </w:r>
    </w:p>
    <w:p w:rsidR="00FF3F17" w:rsidRDefault="00FF3F17" w:rsidP="00C45450">
      <w:pPr>
        <w:rPr>
          <w:rFonts w:ascii="Garamond" w:hAnsi="Garamond"/>
          <w:sz w:val="32"/>
          <w:szCs w:val="32"/>
        </w:rPr>
      </w:pPr>
      <w:r>
        <w:rPr>
          <w:rFonts w:ascii="Garamond" w:hAnsi="Garamond"/>
          <w:sz w:val="32"/>
          <w:szCs w:val="32"/>
        </w:rPr>
        <w:t>Nel corso del primo turno, 29 pareri hanno riguardato disegni di legge di conversione e 10 pareri hanno riguardato progetti di legge contenenti disposizioni di delega o autorizzazioni alla delegificazione.</w:t>
      </w:r>
    </w:p>
    <w:p w:rsidR="009D0420" w:rsidRDefault="00FF3F17" w:rsidP="00C45450">
      <w:pPr>
        <w:rPr>
          <w:rFonts w:ascii="Garamond" w:hAnsi="Garamond"/>
          <w:sz w:val="32"/>
          <w:szCs w:val="32"/>
        </w:rPr>
      </w:pPr>
      <w:r>
        <w:rPr>
          <w:rFonts w:ascii="Garamond" w:hAnsi="Garamond"/>
          <w:sz w:val="32"/>
          <w:szCs w:val="32"/>
        </w:rPr>
        <w:t>Durante il secondo turno, i pareri son</w:t>
      </w:r>
      <w:r w:rsidR="00B64AA2">
        <w:rPr>
          <w:rFonts w:ascii="Garamond" w:hAnsi="Garamond"/>
          <w:sz w:val="32"/>
          <w:szCs w:val="32"/>
        </w:rPr>
        <w:t xml:space="preserve">o stati rispettivamente 24 e 7; il Comitato si è pronunciato anche </w:t>
      </w:r>
      <w:r>
        <w:rPr>
          <w:rFonts w:ascii="Garamond" w:hAnsi="Garamond"/>
          <w:sz w:val="32"/>
          <w:szCs w:val="32"/>
        </w:rPr>
        <w:t>su</w:t>
      </w:r>
      <w:r w:rsidR="00B64AA2">
        <w:rPr>
          <w:rFonts w:ascii="Garamond" w:hAnsi="Garamond"/>
          <w:sz w:val="32"/>
          <w:szCs w:val="32"/>
        </w:rPr>
        <w:t xml:space="preserve">l disegno di legge di riforma costituzionale, </w:t>
      </w:r>
      <w:r>
        <w:rPr>
          <w:rFonts w:ascii="Garamond" w:hAnsi="Garamond"/>
          <w:sz w:val="32"/>
          <w:szCs w:val="32"/>
        </w:rPr>
        <w:t>su richiesta di almeno un quinto dei componenti la Commissione.</w:t>
      </w:r>
    </w:p>
    <w:p w:rsidR="00FF3F17" w:rsidRDefault="00FF3F17" w:rsidP="00C45450">
      <w:pPr>
        <w:rPr>
          <w:rFonts w:ascii="Garamond" w:hAnsi="Garamond"/>
          <w:sz w:val="32"/>
          <w:szCs w:val="32"/>
        </w:rPr>
      </w:pPr>
      <w:r>
        <w:rPr>
          <w:rFonts w:ascii="Garamond" w:hAnsi="Garamond"/>
          <w:sz w:val="32"/>
          <w:szCs w:val="32"/>
        </w:rPr>
        <w:t>Nel terzo turno, come già segnalato, i pare</w:t>
      </w:r>
      <w:r w:rsidR="00295538">
        <w:rPr>
          <w:rFonts w:ascii="Garamond" w:hAnsi="Garamond"/>
          <w:sz w:val="32"/>
          <w:szCs w:val="32"/>
        </w:rPr>
        <w:t xml:space="preserve">ri sono stati rispettivamente </w:t>
      </w:r>
      <w:r w:rsidR="00295538" w:rsidRPr="00981927">
        <w:rPr>
          <w:rFonts w:ascii="Garamond" w:hAnsi="Garamond"/>
          <w:sz w:val="32"/>
          <w:szCs w:val="32"/>
        </w:rPr>
        <w:t>1</w:t>
      </w:r>
      <w:r w:rsidR="00981927" w:rsidRPr="00981927">
        <w:rPr>
          <w:rFonts w:ascii="Garamond" w:hAnsi="Garamond"/>
          <w:sz w:val="32"/>
          <w:szCs w:val="32"/>
        </w:rPr>
        <w:t>5</w:t>
      </w:r>
      <w:r w:rsidRPr="00981927">
        <w:rPr>
          <w:rFonts w:ascii="Garamond" w:hAnsi="Garamond"/>
          <w:sz w:val="32"/>
          <w:szCs w:val="32"/>
        </w:rPr>
        <w:t xml:space="preserve"> e 1</w:t>
      </w:r>
      <w:r w:rsidR="00981927" w:rsidRPr="00981927">
        <w:rPr>
          <w:rFonts w:ascii="Garamond" w:hAnsi="Garamond"/>
          <w:sz w:val="32"/>
          <w:szCs w:val="32"/>
        </w:rPr>
        <w:t>1</w:t>
      </w:r>
      <w:r w:rsidR="00D82CF1">
        <w:rPr>
          <w:rFonts w:ascii="Garamond" w:hAnsi="Garamond"/>
          <w:sz w:val="32"/>
          <w:szCs w:val="32"/>
        </w:rPr>
        <w:t xml:space="preserve"> (anche in questo caso, </w:t>
      </w:r>
      <w:r w:rsidR="00B64AA2">
        <w:rPr>
          <w:rFonts w:ascii="Garamond" w:hAnsi="Garamond"/>
          <w:sz w:val="32"/>
          <w:szCs w:val="32"/>
        </w:rPr>
        <w:t>occorre aggiungere il parere sul disegno di legge di riforma costituzionale</w:t>
      </w:r>
      <w:r w:rsidR="00D82CF1">
        <w:rPr>
          <w:rFonts w:ascii="Garamond" w:hAnsi="Garamond"/>
          <w:sz w:val="32"/>
          <w:szCs w:val="32"/>
        </w:rPr>
        <w:t>)</w:t>
      </w:r>
      <w:r>
        <w:rPr>
          <w:rFonts w:ascii="Garamond" w:hAnsi="Garamond"/>
          <w:sz w:val="32"/>
          <w:szCs w:val="32"/>
        </w:rPr>
        <w:t>.</w:t>
      </w:r>
    </w:p>
    <w:p w:rsidR="00FF3F17" w:rsidRDefault="00FF3F17" w:rsidP="00C45450">
      <w:pPr>
        <w:rPr>
          <w:rFonts w:ascii="Garamond" w:hAnsi="Garamond"/>
          <w:sz w:val="32"/>
          <w:szCs w:val="32"/>
        </w:rPr>
      </w:pPr>
      <w:r>
        <w:rPr>
          <w:rFonts w:ascii="Garamond" w:hAnsi="Garamond"/>
          <w:sz w:val="32"/>
          <w:szCs w:val="32"/>
        </w:rPr>
        <w:t xml:space="preserve">Quindi, nei primi 20 mesi di attività i pareri sui disegni di legge di conversione hanno rappresentato circa il 75 per cento dei pareri espressi dal Comitato; negli ultimi 10 mesi tale percentuale è scesa al </w:t>
      </w:r>
      <w:r w:rsidR="00981927">
        <w:rPr>
          <w:rFonts w:ascii="Garamond" w:hAnsi="Garamond"/>
          <w:sz w:val="32"/>
          <w:szCs w:val="32"/>
        </w:rPr>
        <w:t>55</w:t>
      </w:r>
      <w:r>
        <w:rPr>
          <w:rFonts w:ascii="Garamond" w:hAnsi="Garamond"/>
          <w:sz w:val="32"/>
          <w:szCs w:val="32"/>
        </w:rPr>
        <w:t xml:space="preserve"> per cento. Specularmente, è aumentato il peso dei progetti di legge recanti deleghe al Governo.</w:t>
      </w:r>
    </w:p>
    <w:p w:rsidR="00C8777C" w:rsidRDefault="00C8777C" w:rsidP="00C45450">
      <w:pPr>
        <w:rPr>
          <w:rFonts w:ascii="Garamond" w:hAnsi="Garamond"/>
          <w:sz w:val="32"/>
          <w:szCs w:val="32"/>
        </w:rPr>
      </w:pPr>
    </w:p>
    <w:p w:rsidR="00FF3F17" w:rsidRDefault="004C1F98" w:rsidP="00C45450">
      <w:pPr>
        <w:rPr>
          <w:rFonts w:ascii="Garamond" w:hAnsi="Garamond"/>
          <w:sz w:val="32"/>
          <w:szCs w:val="32"/>
        </w:rPr>
      </w:pPr>
      <w:r>
        <w:rPr>
          <w:rFonts w:ascii="Garamond" w:hAnsi="Garamond"/>
          <w:sz w:val="32"/>
          <w:szCs w:val="32"/>
        </w:rPr>
        <w:t>Al termine del secondo turno di presidenza del Comitato,</w:t>
      </w:r>
      <w:r w:rsidR="001B5C3D">
        <w:rPr>
          <w:rFonts w:ascii="Garamond" w:hAnsi="Garamond"/>
          <w:sz w:val="32"/>
          <w:szCs w:val="32"/>
        </w:rPr>
        <w:t xml:space="preserve"> a quasi 22 </w:t>
      </w:r>
      <w:r>
        <w:rPr>
          <w:rFonts w:ascii="Garamond" w:hAnsi="Garamond"/>
          <w:sz w:val="32"/>
          <w:szCs w:val="32"/>
        </w:rPr>
        <w:t>mesi dall’inizio della legislatura, erano state approvate 103 leg</w:t>
      </w:r>
      <w:r w:rsidR="001B5C3D">
        <w:rPr>
          <w:rFonts w:ascii="Garamond" w:hAnsi="Garamond"/>
          <w:sz w:val="32"/>
          <w:szCs w:val="32"/>
        </w:rPr>
        <w:t>g</w:t>
      </w:r>
      <w:r>
        <w:rPr>
          <w:rFonts w:ascii="Garamond" w:hAnsi="Garamond"/>
          <w:sz w:val="32"/>
          <w:szCs w:val="32"/>
        </w:rPr>
        <w:t>i</w:t>
      </w:r>
      <w:r w:rsidR="00C87D9C">
        <w:rPr>
          <w:rFonts w:ascii="Garamond" w:hAnsi="Garamond"/>
          <w:sz w:val="32"/>
          <w:szCs w:val="32"/>
        </w:rPr>
        <w:t xml:space="preserve"> (tra parentesi è indicata l’incidenza percentuale di ciascuna tipologia)</w:t>
      </w:r>
      <w:r>
        <w:rPr>
          <w:rFonts w:ascii="Garamond" w:hAnsi="Garamond"/>
          <w:sz w:val="32"/>
          <w:szCs w:val="32"/>
        </w:rPr>
        <w:t>:</w:t>
      </w:r>
    </w:p>
    <w:p w:rsidR="004C1F98" w:rsidRDefault="004C1F98" w:rsidP="00C45450">
      <w:pPr>
        <w:rPr>
          <w:rFonts w:ascii="Garamond" w:hAnsi="Garamond"/>
          <w:sz w:val="32"/>
          <w:szCs w:val="32"/>
        </w:rPr>
      </w:pPr>
      <w:r>
        <w:rPr>
          <w:rFonts w:ascii="Garamond" w:hAnsi="Garamond"/>
          <w:sz w:val="32"/>
          <w:szCs w:val="32"/>
        </w:rPr>
        <w:lastRenderedPageBreak/>
        <w:t>43 di conversione</w:t>
      </w:r>
      <w:r w:rsidR="00C87D9C">
        <w:rPr>
          <w:rFonts w:ascii="Garamond" w:hAnsi="Garamond"/>
          <w:sz w:val="32"/>
          <w:szCs w:val="32"/>
        </w:rPr>
        <w:t xml:space="preserve"> (41,75%)</w:t>
      </w:r>
      <w:r>
        <w:rPr>
          <w:rFonts w:ascii="Garamond" w:hAnsi="Garamond"/>
          <w:sz w:val="32"/>
          <w:szCs w:val="32"/>
        </w:rPr>
        <w:t>;</w:t>
      </w:r>
    </w:p>
    <w:p w:rsidR="004C1F98" w:rsidRDefault="004C1F98" w:rsidP="00C45450">
      <w:pPr>
        <w:rPr>
          <w:rFonts w:ascii="Garamond" w:hAnsi="Garamond"/>
          <w:sz w:val="32"/>
          <w:szCs w:val="32"/>
        </w:rPr>
      </w:pPr>
      <w:r>
        <w:rPr>
          <w:rFonts w:ascii="Garamond" w:hAnsi="Garamond"/>
          <w:sz w:val="32"/>
          <w:szCs w:val="32"/>
        </w:rPr>
        <w:t>8 leggi di bilancio e di stabilità</w:t>
      </w:r>
      <w:r w:rsidR="00C87D9C">
        <w:rPr>
          <w:rFonts w:ascii="Garamond" w:hAnsi="Garamond"/>
          <w:sz w:val="32"/>
          <w:szCs w:val="32"/>
        </w:rPr>
        <w:t xml:space="preserve"> (7,77)</w:t>
      </w:r>
      <w:r>
        <w:rPr>
          <w:rFonts w:ascii="Garamond" w:hAnsi="Garamond"/>
          <w:sz w:val="32"/>
          <w:szCs w:val="32"/>
        </w:rPr>
        <w:t>;</w:t>
      </w:r>
    </w:p>
    <w:p w:rsidR="004C1F98" w:rsidRDefault="004C1F98" w:rsidP="00C45450">
      <w:pPr>
        <w:rPr>
          <w:rFonts w:ascii="Garamond" w:hAnsi="Garamond"/>
          <w:sz w:val="32"/>
          <w:szCs w:val="32"/>
        </w:rPr>
      </w:pPr>
      <w:r>
        <w:rPr>
          <w:rFonts w:ascii="Garamond" w:hAnsi="Garamond"/>
          <w:sz w:val="32"/>
          <w:szCs w:val="32"/>
        </w:rPr>
        <w:t>1 collegata alla manovra di finanza pubblica</w:t>
      </w:r>
      <w:r w:rsidR="00C87D9C">
        <w:rPr>
          <w:rFonts w:ascii="Garamond" w:hAnsi="Garamond"/>
          <w:sz w:val="32"/>
          <w:szCs w:val="32"/>
        </w:rPr>
        <w:t xml:space="preserve"> (0,97%)</w:t>
      </w:r>
      <w:r>
        <w:rPr>
          <w:rFonts w:ascii="Garamond" w:hAnsi="Garamond"/>
          <w:sz w:val="32"/>
          <w:szCs w:val="32"/>
        </w:rPr>
        <w:t>;</w:t>
      </w:r>
    </w:p>
    <w:p w:rsidR="004C1F98" w:rsidRDefault="004C1F98" w:rsidP="00C45450">
      <w:pPr>
        <w:rPr>
          <w:rFonts w:ascii="Garamond" w:hAnsi="Garamond"/>
          <w:sz w:val="32"/>
          <w:szCs w:val="32"/>
        </w:rPr>
      </w:pPr>
      <w:r>
        <w:rPr>
          <w:rFonts w:ascii="Garamond" w:hAnsi="Garamond"/>
          <w:sz w:val="32"/>
          <w:szCs w:val="32"/>
        </w:rPr>
        <w:t>30 leggi di ratifica</w:t>
      </w:r>
      <w:r w:rsidR="00C87D9C">
        <w:rPr>
          <w:rFonts w:ascii="Garamond" w:hAnsi="Garamond"/>
          <w:sz w:val="32"/>
          <w:szCs w:val="32"/>
        </w:rPr>
        <w:t xml:space="preserve"> (29,13%)</w:t>
      </w:r>
      <w:r>
        <w:rPr>
          <w:rFonts w:ascii="Garamond" w:hAnsi="Garamond"/>
          <w:sz w:val="32"/>
          <w:szCs w:val="32"/>
        </w:rPr>
        <w:t>;</w:t>
      </w:r>
    </w:p>
    <w:p w:rsidR="004C1F98" w:rsidRDefault="004C1F98" w:rsidP="00C45450">
      <w:pPr>
        <w:rPr>
          <w:rFonts w:ascii="Garamond" w:hAnsi="Garamond"/>
          <w:sz w:val="32"/>
          <w:szCs w:val="32"/>
        </w:rPr>
      </w:pPr>
      <w:r>
        <w:rPr>
          <w:rFonts w:ascii="Garamond" w:hAnsi="Garamond"/>
          <w:sz w:val="32"/>
          <w:szCs w:val="32"/>
        </w:rPr>
        <w:t>4 leggi europee e di delegazione europea</w:t>
      </w:r>
      <w:r w:rsidR="00C87D9C">
        <w:rPr>
          <w:rFonts w:ascii="Garamond" w:hAnsi="Garamond"/>
          <w:sz w:val="32"/>
          <w:szCs w:val="32"/>
        </w:rPr>
        <w:t xml:space="preserve"> (3,88%)</w:t>
      </w:r>
      <w:r>
        <w:rPr>
          <w:rFonts w:ascii="Garamond" w:hAnsi="Garamond"/>
          <w:sz w:val="32"/>
          <w:szCs w:val="32"/>
        </w:rPr>
        <w:t>;</w:t>
      </w:r>
    </w:p>
    <w:p w:rsidR="004C1F98" w:rsidRDefault="004C1F98" w:rsidP="00C45450">
      <w:pPr>
        <w:rPr>
          <w:rFonts w:ascii="Garamond" w:hAnsi="Garamond"/>
          <w:sz w:val="32"/>
          <w:szCs w:val="32"/>
        </w:rPr>
      </w:pPr>
      <w:r>
        <w:rPr>
          <w:rFonts w:ascii="Garamond" w:hAnsi="Garamond"/>
          <w:sz w:val="32"/>
          <w:szCs w:val="32"/>
        </w:rPr>
        <w:t>17 altre leggi</w:t>
      </w:r>
      <w:r w:rsidR="00C87D9C">
        <w:rPr>
          <w:rFonts w:ascii="Garamond" w:hAnsi="Garamond"/>
          <w:sz w:val="32"/>
          <w:szCs w:val="32"/>
        </w:rPr>
        <w:t xml:space="preserve"> (16,50%)</w:t>
      </w:r>
      <w:r>
        <w:rPr>
          <w:rFonts w:ascii="Garamond" w:hAnsi="Garamond"/>
          <w:sz w:val="32"/>
          <w:szCs w:val="32"/>
        </w:rPr>
        <w:t>.</w:t>
      </w:r>
    </w:p>
    <w:p w:rsidR="006769E4" w:rsidRDefault="006769E4" w:rsidP="006769E4">
      <w:pPr>
        <w:ind w:firstLine="0"/>
        <w:rPr>
          <w:rFonts w:ascii="Garamond" w:hAnsi="Garamond"/>
          <w:sz w:val="32"/>
          <w:szCs w:val="32"/>
        </w:rPr>
      </w:pPr>
    </w:p>
    <w:p w:rsidR="004C1F98" w:rsidRDefault="001B5C3D" w:rsidP="006769E4">
      <w:pPr>
        <w:rPr>
          <w:rFonts w:ascii="Garamond" w:hAnsi="Garamond"/>
          <w:sz w:val="32"/>
          <w:szCs w:val="32"/>
        </w:rPr>
      </w:pPr>
      <w:r>
        <w:rPr>
          <w:rFonts w:ascii="Garamond" w:hAnsi="Garamond"/>
          <w:sz w:val="32"/>
          <w:szCs w:val="32"/>
        </w:rPr>
        <w:t>Alla data del 6 novembre 2015 risultano approvate 17</w:t>
      </w:r>
      <w:r w:rsidR="006826A8">
        <w:rPr>
          <w:rFonts w:ascii="Garamond" w:hAnsi="Garamond"/>
          <w:sz w:val="32"/>
          <w:szCs w:val="32"/>
        </w:rPr>
        <w:t>5</w:t>
      </w:r>
      <w:r>
        <w:rPr>
          <w:rFonts w:ascii="Garamond" w:hAnsi="Garamond"/>
          <w:sz w:val="32"/>
          <w:szCs w:val="32"/>
        </w:rPr>
        <w:t xml:space="preserve"> leggi:</w:t>
      </w:r>
    </w:p>
    <w:p w:rsidR="001B5C3D" w:rsidRDefault="00A64CC8" w:rsidP="00C45450">
      <w:pPr>
        <w:rPr>
          <w:rFonts w:ascii="Garamond" w:hAnsi="Garamond"/>
          <w:sz w:val="32"/>
          <w:szCs w:val="32"/>
        </w:rPr>
      </w:pPr>
      <w:r>
        <w:rPr>
          <w:rFonts w:ascii="Garamond" w:hAnsi="Garamond"/>
          <w:sz w:val="32"/>
          <w:szCs w:val="32"/>
        </w:rPr>
        <w:t>55</w:t>
      </w:r>
      <w:r w:rsidR="001B5C3D">
        <w:rPr>
          <w:rFonts w:ascii="Garamond" w:hAnsi="Garamond"/>
          <w:sz w:val="32"/>
          <w:szCs w:val="32"/>
        </w:rPr>
        <w:t xml:space="preserve"> di conversione (31,</w:t>
      </w:r>
      <w:r w:rsidR="006826A8">
        <w:rPr>
          <w:rFonts w:ascii="Garamond" w:hAnsi="Garamond"/>
          <w:sz w:val="32"/>
          <w:szCs w:val="32"/>
        </w:rPr>
        <w:t>43</w:t>
      </w:r>
      <w:r w:rsidR="001B5C3D">
        <w:rPr>
          <w:rFonts w:ascii="Garamond" w:hAnsi="Garamond"/>
          <w:sz w:val="32"/>
          <w:szCs w:val="32"/>
        </w:rPr>
        <w:t>%);</w:t>
      </w:r>
    </w:p>
    <w:p w:rsidR="001B5C3D" w:rsidRDefault="001B5C3D" w:rsidP="00C45450">
      <w:pPr>
        <w:rPr>
          <w:rFonts w:ascii="Garamond" w:hAnsi="Garamond"/>
          <w:sz w:val="32"/>
          <w:szCs w:val="32"/>
        </w:rPr>
      </w:pPr>
      <w:r>
        <w:rPr>
          <w:rFonts w:ascii="Garamond" w:hAnsi="Garamond"/>
          <w:sz w:val="32"/>
          <w:szCs w:val="32"/>
        </w:rPr>
        <w:t>10 leggi di bilancio e di stabilità (5,</w:t>
      </w:r>
      <w:r w:rsidR="006826A8">
        <w:rPr>
          <w:rFonts w:ascii="Garamond" w:hAnsi="Garamond"/>
          <w:sz w:val="32"/>
          <w:szCs w:val="32"/>
        </w:rPr>
        <w:t>71</w:t>
      </w:r>
      <w:r>
        <w:rPr>
          <w:rFonts w:ascii="Garamond" w:hAnsi="Garamond"/>
          <w:sz w:val="32"/>
          <w:szCs w:val="32"/>
        </w:rPr>
        <w:t>%);</w:t>
      </w:r>
    </w:p>
    <w:p w:rsidR="001B5C3D" w:rsidRDefault="006826A8" w:rsidP="00C45450">
      <w:pPr>
        <w:rPr>
          <w:rFonts w:ascii="Garamond" w:hAnsi="Garamond"/>
          <w:sz w:val="32"/>
          <w:szCs w:val="32"/>
        </w:rPr>
      </w:pPr>
      <w:r>
        <w:rPr>
          <w:rFonts w:ascii="Garamond" w:hAnsi="Garamond"/>
          <w:sz w:val="32"/>
          <w:szCs w:val="32"/>
        </w:rPr>
        <w:t>3 leggi collegate (1,71</w:t>
      </w:r>
      <w:r w:rsidR="001B5C3D">
        <w:rPr>
          <w:rFonts w:ascii="Garamond" w:hAnsi="Garamond"/>
          <w:sz w:val="32"/>
          <w:szCs w:val="32"/>
        </w:rPr>
        <w:t>%);</w:t>
      </w:r>
    </w:p>
    <w:p w:rsidR="001B5C3D" w:rsidRDefault="006826A8" w:rsidP="00C45450">
      <w:pPr>
        <w:rPr>
          <w:rFonts w:ascii="Garamond" w:hAnsi="Garamond"/>
          <w:sz w:val="32"/>
          <w:szCs w:val="32"/>
        </w:rPr>
      </w:pPr>
      <w:r>
        <w:rPr>
          <w:rFonts w:ascii="Garamond" w:hAnsi="Garamond"/>
          <w:sz w:val="32"/>
          <w:szCs w:val="32"/>
        </w:rPr>
        <w:t>67 leggi di ratifica (38</w:t>
      </w:r>
      <w:r w:rsidR="001B5C3D">
        <w:rPr>
          <w:rFonts w:ascii="Garamond" w:hAnsi="Garamond"/>
          <w:sz w:val="32"/>
          <w:szCs w:val="32"/>
        </w:rPr>
        <w:t>,</w:t>
      </w:r>
      <w:r>
        <w:rPr>
          <w:rFonts w:ascii="Garamond" w:hAnsi="Garamond"/>
          <w:sz w:val="32"/>
          <w:szCs w:val="32"/>
        </w:rPr>
        <w:t>29</w:t>
      </w:r>
      <w:r w:rsidR="001B5C3D">
        <w:rPr>
          <w:rFonts w:ascii="Garamond" w:hAnsi="Garamond"/>
          <w:sz w:val="32"/>
          <w:szCs w:val="32"/>
        </w:rPr>
        <w:t>%);</w:t>
      </w:r>
    </w:p>
    <w:p w:rsidR="001B5C3D" w:rsidRDefault="001B5C3D" w:rsidP="00C45450">
      <w:pPr>
        <w:rPr>
          <w:rFonts w:ascii="Garamond" w:hAnsi="Garamond"/>
          <w:sz w:val="32"/>
          <w:szCs w:val="32"/>
        </w:rPr>
      </w:pPr>
      <w:r>
        <w:rPr>
          <w:rFonts w:ascii="Garamond" w:hAnsi="Garamond"/>
          <w:sz w:val="32"/>
          <w:szCs w:val="32"/>
        </w:rPr>
        <w:t>6 leggi europee e di delegazione europea (3,</w:t>
      </w:r>
      <w:r w:rsidR="006826A8">
        <w:rPr>
          <w:rFonts w:ascii="Garamond" w:hAnsi="Garamond"/>
          <w:sz w:val="32"/>
          <w:szCs w:val="32"/>
        </w:rPr>
        <w:t>43</w:t>
      </w:r>
      <w:r>
        <w:rPr>
          <w:rFonts w:ascii="Garamond" w:hAnsi="Garamond"/>
          <w:sz w:val="32"/>
          <w:szCs w:val="32"/>
        </w:rPr>
        <w:t>%);</w:t>
      </w:r>
    </w:p>
    <w:p w:rsidR="001B5C3D" w:rsidRDefault="001B5C3D" w:rsidP="00C45450">
      <w:pPr>
        <w:rPr>
          <w:rFonts w:ascii="Garamond" w:hAnsi="Garamond"/>
          <w:sz w:val="32"/>
          <w:szCs w:val="32"/>
        </w:rPr>
      </w:pPr>
      <w:r>
        <w:rPr>
          <w:rFonts w:ascii="Garamond" w:hAnsi="Garamond"/>
          <w:sz w:val="32"/>
          <w:szCs w:val="32"/>
        </w:rPr>
        <w:t>34 altre leggi (</w:t>
      </w:r>
      <w:r w:rsidR="006826A8">
        <w:rPr>
          <w:rFonts w:ascii="Garamond" w:hAnsi="Garamond"/>
          <w:sz w:val="32"/>
          <w:szCs w:val="32"/>
        </w:rPr>
        <w:t>19,43</w:t>
      </w:r>
      <w:r>
        <w:rPr>
          <w:rFonts w:ascii="Garamond" w:hAnsi="Garamond"/>
          <w:sz w:val="32"/>
          <w:szCs w:val="32"/>
        </w:rPr>
        <w:t>%).</w:t>
      </w:r>
    </w:p>
    <w:p w:rsidR="008C248C" w:rsidRDefault="008C248C" w:rsidP="00C45450">
      <w:pPr>
        <w:rPr>
          <w:rFonts w:ascii="Garamond" w:hAnsi="Garamond"/>
          <w:sz w:val="32"/>
          <w:szCs w:val="32"/>
        </w:rPr>
      </w:pPr>
    </w:p>
    <w:p w:rsidR="001B5C3D" w:rsidRDefault="001B5C3D" w:rsidP="00C45450">
      <w:pPr>
        <w:rPr>
          <w:rFonts w:ascii="Garamond" w:hAnsi="Garamond"/>
          <w:sz w:val="32"/>
          <w:szCs w:val="32"/>
        </w:rPr>
      </w:pPr>
      <w:r>
        <w:rPr>
          <w:rFonts w:ascii="Garamond" w:hAnsi="Garamond"/>
          <w:sz w:val="32"/>
          <w:szCs w:val="32"/>
        </w:rPr>
        <w:t xml:space="preserve">In questi dieci mesi, quindi, sono state approvate </w:t>
      </w:r>
      <w:r w:rsidR="00D96B71">
        <w:rPr>
          <w:rFonts w:ascii="Garamond" w:hAnsi="Garamond"/>
          <w:sz w:val="32"/>
          <w:szCs w:val="32"/>
        </w:rPr>
        <w:t>7</w:t>
      </w:r>
      <w:r w:rsidR="006826A8">
        <w:rPr>
          <w:rFonts w:ascii="Garamond" w:hAnsi="Garamond"/>
          <w:sz w:val="32"/>
          <w:szCs w:val="32"/>
        </w:rPr>
        <w:t>2</w:t>
      </w:r>
      <w:r>
        <w:rPr>
          <w:rFonts w:ascii="Garamond" w:hAnsi="Garamond"/>
          <w:sz w:val="32"/>
          <w:szCs w:val="32"/>
        </w:rPr>
        <w:t xml:space="preserve"> leggi, delle quali:</w:t>
      </w:r>
    </w:p>
    <w:p w:rsidR="001B5C3D" w:rsidRDefault="00A64CC8" w:rsidP="00C45450">
      <w:pPr>
        <w:rPr>
          <w:rFonts w:ascii="Garamond" w:hAnsi="Garamond"/>
          <w:sz w:val="32"/>
          <w:szCs w:val="32"/>
        </w:rPr>
      </w:pPr>
      <w:r>
        <w:rPr>
          <w:rFonts w:ascii="Garamond" w:hAnsi="Garamond"/>
          <w:sz w:val="32"/>
          <w:szCs w:val="32"/>
        </w:rPr>
        <w:t>12</w:t>
      </w:r>
      <w:r w:rsidR="001B5C3D">
        <w:rPr>
          <w:rFonts w:ascii="Garamond" w:hAnsi="Garamond"/>
          <w:sz w:val="32"/>
          <w:szCs w:val="32"/>
        </w:rPr>
        <w:t xml:space="preserve"> di conversione (pari al 1</w:t>
      </w:r>
      <w:r>
        <w:rPr>
          <w:rFonts w:ascii="Garamond" w:hAnsi="Garamond"/>
          <w:sz w:val="32"/>
          <w:szCs w:val="32"/>
        </w:rPr>
        <w:t>6</w:t>
      </w:r>
      <w:r w:rsidR="001B5C3D">
        <w:rPr>
          <w:rFonts w:ascii="Garamond" w:hAnsi="Garamond"/>
          <w:sz w:val="32"/>
          <w:szCs w:val="32"/>
        </w:rPr>
        <w:t>,</w:t>
      </w:r>
      <w:r w:rsidR="00C87D9C">
        <w:rPr>
          <w:rFonts w:ascii="Garamond" w:hAnsi="Garamond"/>
          <w:sz w:val="32"/>
          <w:szCs w:val="32"/>
        </w:rPr>
        <w:t>67</w:t>
      </w:r>
      <w:r w:rsidR="001B5C3D">
        <w:rPr>
          <w:rFonts w:ascii="Garamond" w:hAnsi="Garamond"/>
          <w:sz w:val="32"/>
          <w:szCs w:val="32"/>
        </w:rPr>
        <w:t xml:space="preserve"> per cento delle leggi approvate nel periodo);</w:t>
      </w:r>
    </w:p>
    <w:p w:rsidR="001B5C3D" w:rsidRDefault="001B5C3D" w:rsidP="00C45450">
      <w:pPr>
        <w:rPr>
          <w:rFonts w:ascii="Garamond" w:hAnsi="Garamond"/>
          <w:sz w:val="32"/>
          <w:szCs w:val="32"/>
        </w:rPr>
      </w:pPr>
      <w:r>
        <w:rPr>
          <w:rFonts w:ascii="Garamond" w:hAnsi="Garamond"/>
          <w:sz w:val="32"/>
          <w:szCs w:val="32"/>
        </w:rPr>
        <w:t xml:space="preserve">2 leggi </w:t>
      </w:r>
      <w:r w:rsidR="006826A8">
        <w:rPr>
          <w:rFonts w:ascii="Garamond" w:hAnsi="Garamond"/>
          <w:sz w:val="32"/>
          <w:szCs w:val="32"/>
        </w:rPr>
        <w:t>di bilancio e di stabilità (2,</w:t>
      </w:r>
      <w:r w:rsidR="00C87D9C">
        <w:rPr>
          <w:rFonts w:ascii="Garamond" w:hAnsi="Garamond"/>
          <w:sz w:val="32"/>
          <w:szCs w:val="32"/>
        </w:rPr>
        <w:t>78</w:t>
      </w:r>
      <w:r>
        <w:rPr>
          <w:rFonts w:ascii="Garamond" w:hAnsi="Garamond"/>
          <w:sz w:val="32"/>
          <w:szCs w:val="32"/>
        </w:rPr>
        <w:t>%);</w:t>
      </w:r>
    </w:p>
    <w:p w:rsidR="001B5C3D" w:rsidRDefault="001B5C3D" w:rsidP="00C45450">
      <w:pPr>
        <w:rPr>
          <w:rFonts w:ascii="Garamond" w:hAnsi="Garamond"/>
          <w:sz w:val="32"/>
          <w:szCs w:val="32"/>
        </w:rPr>
      </w:pPr>
      <w:r>
        <w:rPr>
          <w:rFonts w:ascii="Garamond" w:hAnsi="Garamond"/>
          <w:sz w:val="32"/>
          <w:szCs w:val="32"/>
        </w:rPr>
        <w:t>2 leggi collegate (2,</w:t>
      </w:r>
      <w:r w:rsidR="006826A8">
        <w:rPr>
          <w:rFonts w:ascii="Garamond" w:hAnsi="Garamond"/>
          <w:sz w:val="32"/>
          <w:szCs w:val="32"/>
        </w:rPr>
        <w:t>7</w:t>
      </w:r>
      <w:r w:rsidR="00C87D9C">
        <w:rPr>
          <w:rFonts w:ascii="Garamond" w:hAnsi="Garamond"/>
          <w:sz w:val="32"/>
          <w:szCs w:val="32"/>
        </w:rPr>
        <w:t>8</w:t>
      </w:r>
      <w:r>
        <w:rPr>
          <w:rFonts w:ascii="Garamond" w:hAnsi="Garamond"/>
          <w:sz w:val="32"/>
          <w:szCs w:val="32"/>
        </w:rPr>
        <w:t>%);</w:t>
      </w:r>
    </w:p>
    <w:p w:rsidR="001B5C3D" w:rsidRDefault="006826A8" w:rsidP="00C45450">
      <w:pPr>
        <w:rPr>
          <w:rFonts w:ascii="Garamond" w:hAnsi="Garamond"/>
          <w:sz w:val="32"/>
          <w:szCs w:val="32"/>
        </w:rPr>
      </w:pPr>
      <w:r>
        <w:rPr>
          <w:rFonts w:ascii="Garamond" w:hAnsi="Garamond"/>
          <w:sz w:val="32"/>
          <w:szCs w:val="32"/>
        </w:rPr>
        <w:t>37</w:t>
      </w:r>
      <w:r w:rsidR="001B5C3D">
        <w:rPr>
          <w:rFonts w:ascii="Garamond" w:hAnsi="Garamond"/>
          <w:sz w:val="32"/>
          <w:szCs w:val="32"/>
        </w:rPr>
        <w:t xml:space="preserve"> leggi di </w:t>
      </w:r>
      <w:r w:rsidR="00D96B71">
        <w:rPr>
          <w:rFonts w:ascii="Garamond" w:hAnsi="Garamond"/>
          <w:sz w:val="32"/>
          <w:szCs w:val="32"/>
        </w:rPr>
        <w:t>ratifica (5</w:t>
      </w:r>
      <w:r w:rsidR="00C12382">
        <w:rPr>
          <w:rFonts w:ascii="Garamond" w:hAnsi="Garamond"/>
          <w:sz w:val="32"/>
          <w:szCs w:val="32"/>
        </w:rPr>
        <w:t>1</w:t>
      </w:r>
      <w:r w:rsidR="001B5C3D">
        <w:rPr>
          <w:rFonts w:ascii="Garamond" w:hAnsi="Garamond"/>
          <w:sz w:val="32"/>
          <w:szCs w:val="32"/>
        </w:rPr>
        <w:t>,</w:t>
      </w:r>
      <w:r w:rsidR="00C12382">
        <w:rPr>
          <w:rFonts w:ascii="Garamond" w:hAnsi="Garamond"/>
          <w:sz w:val="32"/>
          <w:szCs w:val="32"/>
        </w:rPr>
        <w:t>38</w:t>
      </w:r>
      <w:r w:rsidR="001B5C3D">
        <w:rPr>
          <w:rFonts w:ascii="Garamond" w:hAnsi="Garamond"/>
          <w:sz w:val="32"/>
          <w:szCs w:val="32"/>
        </w:rPr>
        <w:t>%);</w:t>
      </w:r>
    </w:p>
    <w:p w:rsidR="001B5C3D" w:rsidRDefault="001B5C3D" w:rsidP="00C45450">
      <w:pPr>
        <w:rPr>
          <w:rFonts w:ascii="Garamond" w:hAnsi="Garamond"/>
          <w:sz w:val="32"/>
          <w:szCs w:val="32"/>
        </w:rPr>
      </w:pPr>
      <w:r>
        <w:rPr>
          <w:rFonts w:ascii="Garamond" w:hAnsi="Garamond"/>
          <w:sz w:val="32"/>
          <w:szCs w:val="32"/>
        </w:rPr>
        <w:t>2 leggi europee e di delegazione europea (2,</w:t>
      </w:r>
      <w:r w:rsidR="00C87D9C">
        <w:rPr>
          <w:rFonts w:ascii="Garamond" w:hAnsi="Garamond"/>
          <w:sz w:val="32"/>
          <w:szCs w:val="32"/>
        </w:rPr>
        <w:t>78</w:t>
      </w:r>
      <w:r>
        <w:rPr>
          <w:rFonts w:ascii="Garamond" w:hAnsi="Garamond"/>
          <w:sz w:val="32"/>
          <w:szCs w:val="32"/>
        </w:rPr>
        <w:t>%);</w:t>
      </w:r>
    </w:p>
    <w:p w:rsidR="001B5C3D" w:rsidRDefault="001B5C3D" w:rsidP="00C45450">
      <w:pPr>
        <w:rPr>
          <w:rFonts w:ascii="Garamond" w:hAnsi="Garamond"/>
          <w:sz w:val="32"/>
          <w:szCs w:val="32"/>
        </w:rPr>
      </w:pPr>
      <w:r>
        <w:rPr>
          <w:rFonts w:ascii="Garamond" w:hAnsi="Garamond"/>
          <w:sz w:val="32"/>
          <w:szCs w:val="32"/>
        </w:rPr>
        <w:t>17 altre leggi (2</w:t>
      </w:r>
      <w:r w:rsidR="00D96B71">
        <w:rPr>
          <w:rFonts w:ascii="Garamond" w:hAnsi="Garamond"/>
          <w:sz w:val="32"/>
          <w:szCs w:val="32"/>
        </w:rPr>
        <w:t>3</w:t>
      </w:r>
      <w:r>
        <w:rPr>
          <w:rFonts w:ascii="Garamond" w:hAnsi="Garamond"/>
          <w:sz w:val="32"/>
          <w:szCs w:val="32"/>
        </w:rPr>
        <w:t>,</w:t>
      </w:r>
      <w:r w:rsidR="00C87D9C">
        <w:rPr>
          <w:rFonts w:ascii="Garamond" w:hAnsi="Garamond"/>
          <w:sz w:val="32"/>
          <w:szCs w:val="32"/>
        </w:rPr>
        <w:t>61</w:t>
      </w:r>
      <w:r>
        <w:rPr>
          <w:rFonts w:ascii="Garamond" w:hAnsi="Garamond"/>
          <w:sz w:val="32"/>
          <w:szCs w:val="32"/>
        </w:rPr>
        <w:t>%)</w:t>
      </w:r>
      <w:r w:rsidR="008C248C">
        <w:rPr>
          <w:rFonts w:ascii="Garamond" w:hAnsi="Garamond"/>
          <w:sz w:val="32"/>
          <w:szCs w:val="32"/>
        </w:rPr>
        <w:t>.</w:t>
      </w:r>
    </w:p>
    <w:p w:rsidR="00F06C1E" w:rsidRDefault="00F06C1E" w:rsidP="00F06C1E">
      <w:pPr>
        <w:ind w:firstLine="0"/>
        <w:rPr>
          <w:rFonts w:ascii="Garamond" w:hAnsi="Garamond"/>
          <w:sz w:val="32"/>
          <w:szCs w:val="32"/>
        </w:rPr>
      </w:pPr>
    </w:p>
    <w:p w:rsidR="008C248C" w:rsidRDefault="008C248C" w:rsidP="00C45450">
      <w:pPr>
        <w:rPr>
          <w:rFonts w:ascii="Garamond" w:hAnsi="Garamond"/>
          <w:sz w:val="32"/>
          <w:szCs w:val="32"/>
        </w:rPr>
      </w:pPr>
      <w:r>
        <w:rPr>
          <w:rFonts w:ascii="Garamond" w:hAnsi="Garamond"/>
          <w:sz w:val="32"/>
          <w:szCs w:val="32"/>
        </w:rPr>
        <w:t xml:space="preserve">In questo periodo, dunque: le leggi di conversione </w:t>
      </w:r>
      <w:r w:rsidR="00D96B71">
        <w:rPr>
          <w:rFonts w:ascii="Garamond" w:hAnsi="Garamond"/>
          <w:sz w:val="32"/>
          <w:szCs w:val="32"/>
        </w:rPr>
        <w:t>rappresentano un sesto della produzione legislativa</w:t>
      </w:r>
      <w:r>
        <w:rPr>
          <w:rFonts w:ascii="Garamond" w:hAnsi="Garamond"/>
          <w:sz w:val="32"/>
          <w:szCs w:val="32"/>
        </w:rPr>
        <w:t>; aumentano molto le leggi di ratifica, che</w:t>
      </w:r>
      <w:r w:rsidR="00C87D9C">
        <w:rPr>
          <w:rFonts w:ascii="Garamond" w:hAnsi="Garamond"/>
          <w:sz w:val="32"/>
          <w:szCs w:val="32"/>
        </w:rPr>
        <w:t xml:space="preserve"> da sole valgono </w:t>
      </w:r>
      <w:r w:rsidR="003D64F3">
        <w:rPr>
          <w:rFonts w:ascii="Garamond" w:hAnsi="Garamond"/>
          <w:sz w:val="32"/>
          <w:szCs w:val="32"/>
        </w:rPr>
        <w:t xml:space="preserve">oltre </w:t>
      </w:r>
      <w:r w:rsidR="00C87D9C">
        <w:rPr>
          <w:rFonts w:ascii="Garamond" w:hAnsi="Garamond"/>
          <w:sz w:val="32"/>
          <w:szCs w:val="32"/>
        </w:rPr>
        <w:t>la metà delle</w:t>
      </w:r>
      <w:r>
        <w:rPr>
          <w:rFonts w:ascii="Garamond" w:hAnsi="Garamond"/>
          <w:sz w:val="32"/>
          <w:szCs w:val="32"/>
        </w:rPr>
        <w:t xml:space="preserve"> leg</w:t>
      </w:r>
      <w:r w:rsidR="00C87D9C">
        <w:rPr>
          <w:rFonts w:ascii="Garamond" w:hAnsi="Garamond"/>
          <w:sz w:val="32"/>
          <w:szCs w:val="32"/>
        </w:rPr>
        <w:t>g</w:t>
      </w:r>
      <w:r>
        <w:rPr>
          <w:rFonts w:ascii="Garamond" w:hAnsi="Garamond"/>
          <w:sz w:val="32"/>
          <w:szCs w:val="32"/>
        </w:rPr>
        <w:t>i</w:t>
      </w:r>
      <w:r w:rsidR="00C87D9C">
        <w:rPr>
          <w:rFonts w:ascii="Garamond" w:hAnsi="Garamond"/>
          <w:sz w:val="32"/>
          <w:szCs w:val="32"/>
        </w:rPr>
        <w:t xml:space="preserve"> approvate</w:t>
      </w:r>
      <w:r>
        <w:rPr>
          <w:rFonts w:ascii="Garamond" w:hAnsi="Garamond"/>
          <w:sz w:val="32"/>
          <w:szCs w:val="32"/>
        </w:rPr>
        <w:t>; aumenta la produzione legislativa ordinaria etichettata come “altre leggi”</w:t>
      </w:r>
      <w:r w:rsidR="00053217">
        <w:rPr>
          <w:rFonts w:ascii="Garamond" w:hAnsi="Garamond"/>
          <w:sz w:val="32"/>
          <w:szCs w:val="32"/>
        </w:rPr>
        <w:t>, che rappresenta quasi un quarto del totale</w:t>
      </w:r>
      <w:r>
        <w:rPr>
          <w:rFonts w:ascii="Garamond" w:hAnsi="Garamond"/>
          <w:sz w:val="32"/>
          <w:szCs w:val="32"/>
        </w:rPr>
        <w:t>.</w:t>
      </w:r>
    </w:p>
    <w:p w:rsidR="00F06C1E" w:rsidRDefault="00F06C1E" w:rsidP="00C45450">
      <w:pPr>
        <w:rPr>
          <w:rFonts w:ascii="Garamond" w:hAnsi="Garamond"/>
          <w:sz w:val="32"/>
          <w:szCs w:val="32"/>
        </w:rPr>
      </w:pPr>
      <w:r>
        <w:rPr>
          <w:rFonts w:ascii="Garamond" w:hAnsi="Garamond"/>
          <w:sz w:val="32"/>
          <w:szCs w:val="32"/>
        </w:rPr>
        <w:t xml:space="preserve">Il confronto con l’intero anno 2014 è illuminante: in 12 mesi (rispetto ai 10 del 2015 presi in considerazione) sono state approvate ugualmente 72 leggi, delle quali: </w:t>
      </w:r>
    </w:p>
    <w:p w:rsidR="00F06C1E" w:rsidRDefault="00F06C1E" w:rsidP="00C45450">
      <w:pPr>
        <w:rPr>
          <w:rFonts w:ascii="Garamond" w:hAnsi="Garamond"/>
          <w:sz w:val="32"/>
          <w:szCs w:val="32"/>
        </w:rPr>
      </w:pPr>
      <w:r>
        <w:rPr>
          <w:rFonts w:ascii="Garamond" w:hAnsi="Garamond"/>
          <w:sz w:val="32"/>
          <w:szCs w:val="32"/>
        </w:rPr>
        <w:t xml:space="preserve">27 (il (37,50 per cento) sono di conversione; </w:t>
      </w:r>
    </w:p>
    <w:p w:rsidR="00F06C1E" w:rsidRDefault="00F06C1E" w:rsidP="00C45450">
      <w:pPr>
        <w:rPr>
          <w:rFonts w:ascii="Garamond" w:hAnsi="Garamond"/>
          <w:sz w:val="32"/>
          <w:szCs w:val="32"/>
        </w:rPr>
      </w:pPr>
      <w:r>
        <w:rPr>
          <w:rFonts w:ascii="Garamond" w:hAnsi="Garamond"/>
          <w:sz w:val="32"/>
          <w:szCs w:val="32"/>
        </w:rPr>
        <w:lastRenderedPageBreak/>
        <w:t xml:space="preserve">4 sono di bilancio </w:t>
      </w:r>
      <w:r w:rsidR="0068762B">
        <w:rPr>
          <w:rFonts w:ascii="Garamond" w:hAnsi="Garamond"/>
          <w:sz w:val="32"/>
          <w:szCs w:val="32"/>
        </w:rPr>
        <w:t>(5,56</w:t>
      </w:r>
      <w:r>
        <w:rPr>
          <w:rFonts w:ascii="Garamond" w:hAnsi="Garamond"/>
          <w:sz w:val="32"/>
          <w:szCs w:val="32"/>
        </w:rPr>
        <w:t xml:space="preserve">%); </w:t>
      </w:r>
    </w:p>
    <w:p w:rsidR="00F06C1E" w:rsidRDefault="00F06C1E" w:rsidP="00C45450">
      <w:pPr>
        <w:rPr>
          <w:rFonts w:ascii="Garamond" w:hAnsi="Garamond"/>
          <w:sz w:val="32"/>
          <w:szCs w:val="32"/>
        </w:rPr>
      </w:pPr>
      <w:r>
        <w:rPr>
          <w:rFonts w:ascii="Garamond" w:hAnsi="Garamond"/>
          <w:sz w:val="32"/>
          <w:szCs w:val="32"/>
        </w:rPr>
        <w:t xml:space="preserve">1 è collegata alla manovra di finanza pubblica (1,39%); </w:t>
      </w:r>
    </w:p>
    <w:p w:rsidR="00F06C1E" w:rsidRDefault="00F06C1E" w:rsidP="00C45450">
      <w:pPr>
        <w:rPr>
          <w:rFonts w:ascii="Garamond" w:hAnsi="Garamond"/>
          <w:sz w:val="32"/>
          <w:szCs w:val="32"/>
        </w:rPr>
      </w:pPr>
      <w:r>
        <w:rPr>
          <w:rFonts w:ascii="Garamond" w:hAnsi="Garamond"/>
          <w:sz w:val="32"/>
          <w:szCs w:val="32"/>
        </w:rPr>
        <w:t>23 sono di ratifica (31,9</w:t>
      </w:r>
      <w:r w:rsidR="0068762B">
        <w:rPr>
          <w:rFonts w:ascii="Garamond" w:hAnsi="Garamond"/>
          <w:sz w:val="32"/>
          <w:szCs w:val="32"/>
        </w:rPr>
        <w:t>4</w:t>
      </w:r>
      <w:r>
        <w:rPr>
          <w:rFonts w:ascii="Garamond" w:hAnsi="Garamond"/>
          <w:sz w:val="32"/>
          <w:szCs w:val="32"/>
        </w:rPr>
        <w:t xml:space="preserve">%); </w:t>
      </w:r>
    </w:p>
    <w:p w:rsidR="00F06C1E" w:rsidRDefault="00F06C1E" w:rsidP="00C45450">
      <w:pPr>
        <w:rPr>
          <w:rFonts w:ascii="Garamond" w:hAnsi="Garamond"/>
          <w:sz w:val="32"/>
          <w:szCs w:val="32"/>
        </w:rPr>
      </w:pPr>
      <w:r>
        <w:rPr>
          <w:rFonts w:ascii="Garamond" w:hAnsi="Garamond"/>
          <w:sz w:val="32"/>
          <w:szCs w:val="32"/>
        </w:rPr>
        <w:t xml:space="preserve">2 sono leggi europee (2,78%); </w:t>
      </w:r>
    </w:p>
    <w:p w:rsidR="00F06C1E" w:rsidRDefault="00F06C1E" w:rsidP="00C45450">
      <w:pPr>
        <w:rPr>
          <w:rFonts w:ascii="Garamond" w:hAnsi="Garamond"/>
          <w:sz w:val="32"/>
          <w:szCs w:val="32"/>
        </w:rPr>
      </w:pPr>
      <w:r>
        <w:rPr>
          <w:rFonts w:ascii="Garamond" w:hAnsi="Garamond"/>
          <w:sz w:val="32"/>
          <w:szCs w:val="32"/>
        </w:rPr>
        <w:t>15 sono altre leggi (20,83%).</w:t>
      </w:r>
    </w:p>
    <w:p w:rsidR="008C248C" w:rsidRDefault="0008616F" w:rsidP="00C45450">
      <w:pPr>
        <w:rPr>
          <w:rFonts w:ascii="Garamond" w:hAnsi="Garamond"/>
          <w:sz w:val="32"/>
          <w:szCs w:val="32"/>
        </w:rPr>
      </w:pPr>
      <w:r>
        <w:rPr>
          <w:rFonts w:ascii="Garamond" w:hAnsi="Garamond"/>
          <w:sz w:val="32"/>
          <w:szCs w:val="32"/>
        </w:rPr>
        <w:t xml:space="preserve">Inoltre, </w:t>
      </w:r>
      <w:r w:rsidR="00022AC3">
        <w:rPr>
          <w:rFonts w:ascii="Garamond" w:hAnsi="Garamond"/>
          <w:sz w:val="32"/>
          <w:szCs w:val="32"/>
        </w:rPr>
        <w:t xml:space="preserve">negli ultimi dieci mesi, </w:t>
      </w:r>
      <w:r>
        <w:rPr>
          <w:rFonts w:ascii="Garamond" w:hAnsi="Garamond"/>
          <w:sz w:val="32"/>
          <w:szCs w:val="32"/>
        </w:rPr>
        <w:t>i decreti-legge presentano generalmente un contenuto pi</w:t>
      </w:r>
      <w:r w:rsidR="00D96B71">
        <w:rPr>
          <w:rFonts w:ascii="Garamond" w:hAnsi="Garamond"/>
          <w:sz w:val="32"/>
          <w:szCs w:val="32"/>
        </w:rPr>
        <w:t>ù omogeneo,</w:t>
      </w:r>
      <w:r w:rsidR="00F21255">
        <w:rPr>
          <w:rFonts w:ascii="Garamond" w:hAnsi="Garamond"/>
          <w:sz w:val="32"/>
          <w:szCs w:val="32"/>
        </w:rPr>
        <w:t xml:space="preserve"> dimensioni più modeste e</w:t>
      </w:r>
      <w:r w:rsidR="00D96B71">
        <w:rPr>
          <w:rFonts w:ascii="Garamond" w:hAnsi="Garamond"/>
          <w:sz w:val="32"/>
          <w:szCs w:val="32"/>
        </w:rPr>
        <w:t>d</w:t>
      </w:r>
      <w:r w:rsidR="00F21255">
        <w:rPr>
          <w:rFonts w:ascii="Garamond" w:hAnsi="Garamond"/>
          <w:sz w:val="32"/>
          <w:szCs w:val="32"/>
        </w:rPr>
        <w:t xml:space="preserve"> altri elementi di discontinuità rispetto al passato (c</w:t>
      </w:r>
      <w:r w:rsidR="00B64AA2">
        <w:rPr>
          <w:rFonts w:ascii="Garamond" w:hAnsi="Garamond"/>
          <w:sz w:val="32"/>
          <w:szCs w:val="32"/>
        </w:rPr>
        <w:t>f</w:t>
      </w:r>
      <w:r w:rsidR="00F21255">
        <w:rPr>
          <w:rFonts w:ascii="Garamond" w:hAnsi="Garamond"/>
          <w:sz w:val="32"/>
          <w:szCs w:val="32"/>
        </w:rPr>
        <w:t xml:space="preserve">r. </w:t>
      </w:r>
      <w:r w:rsidR="00F21255" w:rsidRPr="00C8777C">
        <w:rPr>
          <w:rFonts w:ascii="Garamond" w:hAnsi="Garamond"/>
          <w:i/>
          <w:sz w:val="32"/>
          <w:szCs w:val="32"/>
        </w:rPr>
        <w:t>infra</w:t>
      </w:r>
      <w:r w:rsidR="00F21255">
        <w:rPr>
          <w:rFonts w:ascii="Garamond" w:hAnsi="Garamond"/>
          <w:sz w:val="32"/>
          <w:szCs w:val="32"/>
        </w:rPr>
        <w:t xml:space="preserve">). </w:t>
      </w:r>
    </w:p>
    <w:p w:rsidR="000F7A58" w:rsidRPr="00063D88" w:rsidRDefault="000F7A58" w:rsidP="00F8090F">
      <w:pPr>
        <w:ind w:firstLine="0"/>
        <w:rPr>
          <w:rFonts w:ascii="Garamond" w:hAnsi="Garamond"/>
          <w:sz w:val="32"/>
          <w:szCs w:val="32"/>
        </w:rPr>
      </w:pPr>
    </w:p>
    <w:p w:rsidR="00163930" w:rsidRPr="002B3509" w:rsidRDefault="00163930" w:rsidP="00EF7AD5">
      <w:pPr>
        <w:rPr>
          <w:rFonts w:ascii="Garamond" w:hAnsi="Garamond"/>
          <w:highlight w:val="yellow"/>
        </w:rPr>
      </w:pPr>
    </w:p>
    <w:p w:rsidR="009F049E" w:rsidRPr="002B3509" w:rsidRDefault="009F049E" w:rsidP="00EF7AD5">
      <w:pPr>
        <w:rPr>
          <w:rFonts w:ascii="Garamond" w:hAnsi="Garamond"/>
          <w:highlight w:val="yellow"/>
        </w:rPr>
        <w:sectPr w:rsidR="009F049E" w:rsidRPr="002B3509" w:rsidSect="0003257F">
          <w:footerReference w:type="even" r:id="rId16"/>
          <w:footerReference w:type="default" r:id="rId17"/>
          <w:pgSz w:w="11906" w:h="16838" w:code="9"/>
          <w:pgMar w:top="1985" w:right="1985" w:bottom="1985" w:left="1985" w:header="1134" w:footer="1134" w:gutter="0"/>
          <w:cols w:space="720"/>
          <w:formProt w:val="0"/>
        </w:sectPr>
      </w:pPr>
    </w:p>
    <w:p w:rsidR="00670EB5" w:rsidRPr="00063D88" w:rsidRDefault="005523E2" w:rsidP="00670EB5">
      <w:pPr>
        <w:pStyle w:val="Titolo1"/>
        <w:rPr>
          <w:rFonts w:ascii="Garamond" w:hAnsi="Garamond"/>
          <w:i/>
          <w:color w:val="0000FF"/>
          <w:sz w:val="44"/>
          <w:szCs w:val="44"/>
        </w:rPr>
      </w:pPr>
      <w:bookmarkStart w:id="42" w:name="_Toc337653468"/>
      <w:bookmarkStart w:id="43" w:name="_Toc342035925"/>
      <w:bookmarkStart w:id="44" w:name="_Toc439082235"/>
      <w:bookmarkStart w:id="45" w:name="_Toc439953651"/>
      <w:bookmarkStart w:id="46" w:name="_Toc440030365"/>
      <w:r>
        <w:rPr>
          <w:rFonts w:ascii="Garamond" w:hAnsi="Garamond"/>
          <w:i/>
          <w:color w:val="0000FF"/>
          <w:sz w:val="44"/>
          <w:szCs w:val="44"/>
        </w:rPr>
        <w:lastRenderedPageBreak/>
        <w:t>I</w:t>
      </w:r>
      <w:r w:rsidR="00EC4792" w:rsidRPr="00063D88">
        <w:rPr>
          <w:rFonts w:ascii="Garamond" w:hAnsi="Garamond"/>
          <w:i/>
          <w:color w:val="0000FF"/>
          <w:sz w:val="44"/>
          <w:szCs w:val="44"/>
        </w:rPr>
        <w:t>V</w:t>
      </w:r>
      <w:r w:rsidR="00670EB5" w:rsidRPr="00063D88">
        <w:rPr>
          <w:rFonts w:ascii="Garamond" w:hAnsi="Garamond"/>
          <w:i/>
          <w:color w:val="0000FF"/>
          <w:sz w:val="44"/>
          <w:szCs w:val="44"/>
        </w:rPr>
        <w:t>.</w:t>
      </w:r>
      <w:r w:rsidR="00670EB5" w:rsidRPr="00063D88">
        <w:rPr>
          <w:rFonts w:ascii="Garamond" w:hAnsi="Garamond"/>
          <w:i/>
          <w:color w:val="0000FF"/>
          <w:sz w:val="44"/>
          <w:szCs w:val="44"/>
        </w:rPr>
        <w:br/>
        <w:t>L’ATTIVIT</w:t>
      </w:r>
      <w:r w:rsidR="00266315" w:rsidRPr="00063D88">
        <w:rPr>
          <w:rFonts w:ascii="Garamond" w:hAnsi="Garamond"/>
          <w:i/>
          <w:color w:val="0000FF"/>
          <w:sz w:val="44"/>
          <w:szCs w:val="44"/>
        </w:rPr>
        <w:t>À</w:t>
      </w:r>
      <w:r w:rsidR="00670EB5" w:rsidRPr="00063D88">
        <w:rPr>
          <w:rFonts w:ascii="Garamond" w:hAnsi="Garamond"/>
          <w:i/>
          <w:color w:val="0000FF"/>
          <w:sz w:val="44"/>
          <w:szCs w:val="44"/>
        </w:rPr>
        <w:t xml:space="preserve"> CONSULTIVA</w:t>
      </w:r>
      <w:r w:rsidR="00345240">
        <w:rPr>
          <w:rFonts w:ascii="Garamond" w:hAnsi="Garamond"/>
          <w:i/>
          <w:color w:val="0000FF"/>
          <w:sz w:val="44"/>
          <w:szCs w:val="44"/>
        </w:rPr>
        <w:br/>
      </w:r>
      <w:r w:rsidR="00670EB5" w:rsidRPr="00063D88">
        <w:rPr>
          <w:rFonts w:ascii="Garamond" w:hAnsi="Garamond"/>
          <w:i/>
          <w:color w:val="0000FF"/>
          <w:sz w:val="44"/>
          <w:szCs w:val="44"/>
        </w:rPr>
        <w:t>DEL COMITATO</w:t>
      </w:r>
      <w:bookmarkEnd w:id="42"/>
      <w:bookmarkEnd w:id="43"/>
      <w:bookmarkEnd w:id="44"/>
      <w:bookmarkEnd w:id="45"/>
      <w:bookmarkEnd w:id="46"/>
    </w:p>
    <w:p w:rsidR="00670EB5" w:rsidRPr="00063D88" w:rsidRDefault="00670EB5" w:rsidP="0068394A">
      <w:pPr>
        <w:rPr>
          <w:rFonts w:ascii="Garamond" w:hAnsi="Garamond"/>
          <w:sz w:val="32"/>
          <w:szCs w:val="32"/>
        </w:rPr>
      </w:pPr>
      <w:r w:rsidRPr="00063D88">
        <w:rPr>
          <w:rFonts w:ascii="Garamond" w:hAnsi="Garamond"/>
          <w:sz w:val="32"/>
          <w:szCs w:val="32"/>
        </w:rPr>
        <w:t>Il Comitato esprime pareri “</w:t>
      </w:r>
      <w:r w:rsidRPr="00063D88">
        <w:rPr>
          <w:rFonts w:ascii="Garamond" w:hAnsi="Garamond"/>
          <w:i/>
          <w:iCs/>
          <w:sz w:val="32"/>
          <w:szCs w:val="32"/>
        </w:rPr>
        <w:t>sulla qualità dei testi, con riguardo alla loro omogeneità, alla semplicità, chiarezza e proprietà della loro formulazione, nonché all’efficacia per la semplificazione e il riordinamento della legislazione vigente</w:t>
      </w:r>
      <w:r w:rsidRPr="00063D88">
        <w:rPr>
          <w:rFonts w:ascii="Garamond" w:hAnsi="Garamond"/>
          <w:sz w:val="32"/>
          <w:szCs w:val="32"/>
        </w:rPr>
        <w:t>” (art. 16-</w:t>
      </w:r>
      <w:r w:rsidRPr="00063D88">
        <w:rPr>
          <w:rFonts w:ascii="Garamond" w:hAnsi="Garamond"/>
          <w:i/>
          <w:iCs/>
          <w:sz w:val="32"/>
          <w:szCs w:val="32"/>
        </w:rPr>
        <w:t>bis</w:t>
      </w:r>
      <w:r w:rsidR="006F15AB" w:rsidRPr="00063D88">
        <w:rPr>
          <w:rFonts w:ascii="Garamond" w:hAnsi="Garamond"/>
          <w:sz w:val="32"/>
          <w:szCs w:val="32"/>
        </w:rPr>
        <w:t>, comma 4</w:t>
      </w:r>
      <w:r w:rsidR="0055293F" w:rsidRPr="00063D88">
        <w:rPr>
          <w:rFonts w:ascii="Garamond" w:hAnsi="Garamond"/>
          <w:sz w:val="32"/>
          <w:szCs w:val="32"/>
        </w:rPr>
        <w:t xml:space="preserve"> del regolamento della Camera</w:t>
      </w:r>
      <w:r w:rsidRPr="00063D88">
        <w:rPr>
          <w:rFonts w:ascii="Garamond" w:hAnsi="Garamond"/>
          <w:sz w:val="32"/>
          <w:szCs w:val="32"/>
        </w:rPr>
        <w:t>).</w:t>
      </w:r>
    </w:p>
    <w:p w:rsidR="00670EB5" w:rsidRPr="00063D88" w:rsidRDefault="00EC4792" w:rsidP="004D780B">
      <w:pPr>
        <w:pStyle w:val="Titolo2"/>
        <w:ind w:left="0" w:firstLine="0"/>
        <w:rPr>
          <w:rFonts w:ascii="Garamond" w:hAnsi="Garamond"/>
          <w:i/>
          <w:color w:val="0000FF"/>
          <w:sz w:val="40"/>
          <w:szCs w:val="40"/>
        </w:rPr>
      </w:pPr>
      <w:bookmarkStart w:id="47" w:name="_Toc337653469"/>
      <w:bookmarkStart w:id="48" w:name="_Toc342035926"/>
      <w:bookmarkStart w:id="49" w:name="_Toc439082236"/>
      <w:bookmarkStart w:id="50" w:name="_Toc439953652"/>
      <w:bookmarkStart w:id="51" w:name="_Toc440030366"/>
      <w:r w:rsidRPr="00063D88">
        <w:rPr>
          <w:rFonts w:ascii="Garamond" w:hAnsi="Garamond"/>
          <w:i/>
          <w:color w:val="0000FF"/>
          <w:sz w:val="40"/>
          <w:szCs w:val="40"/>
        </w:rPr>
        <w:t>4</w:t>
      </w:r>
      <w:r w:rsidR="00670EB5" w:rsidRPr="00063D88">
        <w:rPr>
          <w:rFonts w:ascii="Garamond" w:hAnsi="Garamond"/>
          <w:i/>
          <w:color w:val="0000FF"/>
          <w:sz w:val="40"/>
          <w:szCs w:val="40"/>
        </w:rPr>
        <w:t>.1. La struttura dei pareri</w:t>
      </w:r>
      <w:bookmarkEnd w:id="47"/>
      <w:bookmarkEnd w:id="48"/>
      <w:bookmarkEnd w:id="49"/>
      <w:bookmarkEnd w:id="50"/>
      <w:bookmarkEnd w:id="51"/>
    </w:p>
    <w:p w:rsidR="00670EB5" w:rsidRPr="00063D88" w:rsidRDefault="00670EB5" w:rsidP="0068394A">
      <w:pPr>
        <w:rPr>
          <w:rFonts w:ascii="Garamond" w:hAnsi="Garamond"/>
          <w:sz w:val="32"/>
          <w:szCs w:val="32"/>
        </w:rPr>
      </w:pPr>
      <w:r w:rsidRPr="00063D88">
        <w:rPr>
          <w:rFonts w:ascii="Garamond" w:hAnsi="Garamond"/>
          <w:sz w:val="32"/>
          <w:szCs w:val="32"/>
        </w:rPr>
        <w:t>I pareri in genere si compongono di:</w:t>
      </w:r>
    </w:p>
    <w:p w:rsidR="00670EB5" w:rsidRPr="00063D88" w:rsidRDefault="00670EB5" w:rsidP="00E10E3E">
      <w:pPr>
        <w:numPr>
          <w:ilvl w:val="0"/>
          <w:numId w:val="9"/>
        </w:numPr>
        <w:spacing w:before="120" w:after="120"/>
        <w:rPr>
          <w:rFonts w:ascii="Garamond" w:hAnsi="Garamond"/>
          <w:sz w:val="32"/>
          <w:szCs w:val="32"/>
        </w:rPr>
      </w:pPr>
      <w:r w:rsidRPr="00063D88">
        <w:rPr>
          <w:rFonts w:ascii="Garamond" w:hAnsi="Garamond"/>
          <w:sz w:val="32"/>
          <w:szCs w:val="32"/>
        </w:rPr>
        <w:t xml:space="preserve">una </w:t>
      </w:r>
      <w:r w:rsidRPr="00063D88">
        <w:rPr>
          <w:rFonts w:ascii="Garamond" w:hAnsi="Garamond"/>
          <w:b/>
          <w:bCs/>
          <w:i/>
          <w:iCs/>
          <w:color w:val="0000FF"/>
          <w:sz w:val="32"/>
          <w:szCs w:val="32"/>
        </w:rPr>
        <w:t>PREMESSA</w:t>
      </w:r>
      <w:r w:rsidRPr="00063D88">
        <w:rPr>
          <w:rFonts w:ascii="Garamond" w:hAnsi="Garamond"/>
          <w:sz w:val="32"/>
          <w:szCs w:val="32"/>
        </w:rPr>
        <w:t xml:space="preserve"> in cui vengono presi in considerazione la struttura e lo stato dell’</w:t>
      </w:r>
      <w:r w:rsidRPr="00063D88">
        <w:rPr>
          <w:rFonts w:ascii="Garamond" w:hAnsi="Garamond"/>
          <w:i/>
          <w:sz w:val="32"/>
          <w:szCs w:val="32"/>
        </w:rPr>
        <w:t>iter</w:t>
      </w:r>
      <w:r w:rsidRPr="00063D88">
        <w:rPr>
          <w:rFonts w:ascii="Garamond" w:hAnsi="Garamond"/>
          <w:sz w:val="32"/>
          <w:szCs w:val="32"/>
        </w:rPr>
        <w:t xml:space="preserve"> del provvedimento, la presenza o meno dell’analisi tecnico-normativa e dell’analisi di impatto della regolamentazione, il rispetto della circolare sulla formulazione</w:t>
      </w:r>
      <w:r w:rsidR="00E80CC6" w:rsidRPr="00063D88">
        <w:rPr>
          <w:rFonts w:ascii="Garamond" w:hAnsi="Garamond"/>
          <w:sz w:val="32"/>
          <w:szCs w:val="32"/>
        </w:rPr>
        <w:t xml:space="preserve"> tecnica dei testi legislativi;</w:t>
      </w:r>
    </w:p>
    <w:p w:rsidR="00670EB5" w:rsidRPr="00063D88" w:rsidRDefault="00670EB5" w:rsidP="00E10E3E">
      <w:pPr>
        <w:numPr>
          <w:ilvl w:val="0"/>
          <w:numId w:val="9"/>
        </w:numPr>
        <w:spacing w:before="120" w:after="120"/>
        <w:rPr>
          <w:rFonts w:ascii="Garamond" w:hAnsi="Garamond"/>
          <w:sz w:val="32"/>
          <w:szCs w:val="32"/>
        </w:rPr>
      </w:pPr>
      <w:r w:rsidRPr="00063D88">
        <w:rPr>
          <w:rFonts w:ascii="Garamond" w:hAnsi="Garamond"/>
          <w:sz w:val="32"/>
          <w:szCs w:val="32"/>
        </w:rPr>
        <w:t xml:space="preserve">eventuali </w:t>
      </w:r>
      <w:r w:rsidRPr="00063D88">
        <w:rPr>
          <w:rFonts w:ascii="Garamond" w:hAnsi="Garamond"/>
          <w:b/>
          <w:bCs/>
          <w:i/>
          <w:iCs/>
          <w:color w:val="0000FF"/>
          <w:sz w:val="32"/>
          <w:szCs w:val="32"/>
        </w:rPr>
        <w:t>OSSERVAZIONI</w:t>
      </w:r>
      <w:r w:rsidRPr="00063D88">
        <w:rPr>
          <w:rFonts w:ascii="Garamond" w:hAnsi="Garamond"/>
          <w:b/>
          <w:bCs/>
          <w:i/>
          <w:iCs/>
          <w:sz w:val="32"/>
          <w:szCs w:val="32"/>
        </w:rPr>
        <w:t xml:space="preserve"> </w:t>
      </w:r>
      <w:r w:rsidRPr="00063D88">
        <w:rPr>
          <w:rFonts w:ascii="Garamond" w:hAnsi="Garamond"/>
          <w:sz w:val="32"/>
          <w:szCs w:val="32"/>
        </w:rPr>
        <w:t xml:space="preserve">e </w:t>
      </w:r>
      <w:r w:rsidRPr="00063D88">
        <w:rPr>
          <w:rFonts w:ascii="Garamond" w:hAnsi="Garamond"/>
          <w:b/>
          <w:bCs/>
          <w:i/>
          <w:iCs/>
          <w:color w:val="0000FF"/>
          <w:sz w:val="32"/>
          <w:szCs w:val="32"/>
        </w:rPr>
        <w:t>CONDIZIONI</w:t>
      </w:r>
      <w:r w:rsidRPr="00063D88">
        <w:rPr>
          <w:rFonts w:ascii="Garamond" w:hAnsi="Garamond"/>
          <w:sz w:val="32"/>
          <w:szCs w:val="32"/>
        </w:rPr>
        <w:t xml:space="preserve"> distinte in base ai seguenti profili: l’efficacia del testo per la semplificazione e il riordino della legislazione vigente, la chiarezza e la proprietà della formulazione, l’omogeneità e i limiti di contenuto (solo per i decreti-legge);</w:t>
      </w:r>
    </w:p>
    <w:p w:rsidR="00670EB5" w:rsidRPr="00063D88" w:rsidRDefault="00670EB5" w:rsidP="00E10E3E">
      <w:pPr>
        <w:numPr>
          <w:ilvl w:val="0"/>
          <w:numId w:val="9"/>
        </w:numPr>
        <w:spacing w:before="120" w:after="120"/>
        <w:rPr>
          <w:rFonts w:ascii="Garamond" w:hAnsi="Garamond"/>
          <w:sz w:val="32"/>
          <w:szCs w:val="32"/>
        </w:rPr>
      </w:pPr>
      <w:r w:rsidRPr="00063D88">
        <w:rPr>
          <w:rFonts w:ascii="Garamond" w:hAnsi="Garamond"/>
          <w:sz w:val="32"/>
          <w:szCs w:val="32"/>
        </w:rPr>
        <w:t xml:space="preserve">eventuali </w:t>
      </w:r>
      <w:r w:rsidRPr="00063D88">
        <w:rPr>
          <w:rFonts w:ascii="Garamond" w:hAnsi="Garamond"/>
          <w:b/>
          <w:bCs/>
          <w:i/>
          <w:iCs/>
          <w:color w:val="0000FF"/>
          <w:sz w:val="32"/>
          <w:szCs w:val="32"/>
        </w:rPr>
        <w:t>RACCOMANDAZIONI</w:t>
      </w:r>
      <w:r w:rsidRPr="00063D88">
        <w:rPr>
          <w:rFonts w:ascii="Garamond" w:hAnsi="Garamond"/>
          <w:sz w:val="32"/>
          <w:szCs w:val="32"/>
        </w:rPr>
        <w:t xml:space="preserve"> al legislatore affinché utilizzi correttamente gli strumenti normativi a sua disposizione.</w:t>
      </w:r>
    </w:p>
    <w:p w:rsidR="00670EB5" w:rsidRPr="00063D88" w:rsidRDefault="00670EB5" w:rsidP="00670EB5">
      <w:pPr>
        <w:ind w:left="360" w:firstLine="0"/>
        <w:rPr>
          <w:rFonts w:ascii="Garamond" w:hAnsi="Garamond"/>
          <w:sz w:val="32"/>
          <w:szCs w:val="32"/>
        </w:rPr>
      </w:pPr>
    </w:p>
    <w:p w:rsidR="001A7D6D" w:rsidRDefault="007F7B70" w:rsidP="0068394A">
      <w:pPr>
        <w:rPr>
          <w:rFonts w:ascii="Garamond" w:hAnsi="Garamond"/>
          <w:sz w:val="32"/>
          <w:szCs w:val="32"/>
        </w:rPr>
      </w:pPr>
      <w:r w:rsidRPr="00063D88">
        <w:rPr>
          <w:rFonts w:ascii="Garamond" w:hAnsi="Garamond"/>
          <w:sz w:val="32"/>
          <w:szCs w:val="32"/>
        </w:rPr>
        <w:t xml:space="preserve">Sui </w:t>
      </w:r>
      <w:r w:rsidR="00366AD6" w:rsidRPr="00CA6AA1">
        <w:rPr>
          <w:rFonts w:ascii="Garamond" w:hAnsi="Garamond"/>
          <w:b/>
          <w:color w:val="800000"/>
          <w:sz w:val="32"/>
          <w:szCs w:val="32"/>
        </w:rPr>
        <w:t>2</w:t>
      </w:r>
      <w:r w:rsidR="00CA6AA1" w:rsidRPr="00CA6AA1">
        <w:rPr>
          <w:rFonts w:ascii="Garamond" w:hAnsi="Garamond"/>
          <w:b/>
          <w:color w:val="800000"/>
          <w:sz w:val="32"/>
          <w:szCs w:val="32"/>
        </w:rPr>
        <w:t>7</w:t>
      </w:r>
      <w:r w:rsidRPr="00063D88">
        <w:rPr>
          <w:rFonts w:ascii="Garamond" w:hAnsi="Garamond"/>
          <w:sz w:val="32"/>
          <w:szCs w:val="32"/>
        </w:rPr>
        <w:t xml:space="preserve"> pareri espressi dal Comitato nel periodo di riferimento del presente Rapporto, </w:t>
      </w:r>
      <w:r w:rsidR="00CA6AA1" w:rsidRPr="00CA6AA1">
        <w:rPr>
          <w:rFonts w:ascii="Garamond" w:hAnsi="Garamond"/>
          <w:b/>
          <w:color w:val="800000"/>
          <w:sz w:val="32"/>
          <w:szCs w:val="32"/>
        </w:rPr>
        <w:t>4</w:t>
      </w:r>
      <w:r w:rsidR="001A49B9" w:rsidRPr="00063D88">
        <w:rPr>
          <w:rFonts w:ascii="Garamond" w:hAnsi="Garamond"/>
          <w:sz w:val="32"/>
          <w:szCs w:val="32"/>
        </w:rPr>
        <w:t xml:space="preserve"> </w:t>
      </w:r>
      <w:r w:rsidR="00F303BB">
        <w:rPr>
          <w:rFonts w:ascii="Garamond" w:hAnsi="Garamond"/>
          <w:sz w:val="32"/>
          <w:szCs w:val="32"/>
        </w:rPr>
        <w:t xml:space="preserve">(pari quasi al 15 per cento) </w:t>
      </w:r>
      <w:r w:rsidR="00E62586">
        <w:rPr>
          <w:rFonts w:ascii="Garamond" w:hAnsi="Garamond"/>
          <w:sz w:val="32"/>
          <w:szCs w:val="32"/>
        </w:rPr>
        <w:t>sono</w:t>
      </w:r>
      <w:r w:rsidR="00877534">
        <w:rPr>
          <w:rFonts w:ascii="Garamond" w:hAnsi="Garamond"/>
          <w:sz w:val="32"/>
          <w:szCs w:val="32"/>
        </w:rPr>
        <w:t xml:space="preserve"> </w:t>
      </w:r>
      <w:r w:rsidR="00E62586">
        <w:rPr>
          <w:rFonts w:ascii="Garamond" w:hAnsi="Garamond"/>
          <w:sz w:val="32"/>
          <w:szCs w:val="32"/>
        </w:rPr>
        <w:t>privi</w:t>
      </w:r>
      <w:r w:rsidR="00877534">
        <w:rPr>
          <w:rFonts w:ascii="Garamond" w:hAnsi="Garamond"/>
          <w:sz w:val="32"/>
          <w:szCs w:val="32"/>
        </w:rPr>
        <w:t xml:space="preserve"> </w:t>
      </w:r>
      <w:r w:rsidR="00877534">
        <w:rPr>
          <w:rFonts w:ascii="Garamond" w:hAnsi="Garamond"/>
          <w:sz w:val="32"/>
          <w:szCs w:val="32"/>
        </w:rPr>
        <w:lastRenderedPageBreak/>
        <w:t>di rilievi.</w:t>
      </w:r>
      <w:r w:rsidR="00607A31" w:rsidRPr="00063D88">
        <w:rPr>
          <w:rFonts w:ascii="Garamond" w:hAnsi="Garamond"/>
          <w:sz w:val="32"/>
          <w:szCs w:val="32"/>
        </w:rPr>
        <w:t xml:space="preserve"> Si tratta de</w:t>
      </w:r>
      <w:r w:rsidR="00E62586">
        <w:rPr>
          <w:rFonts w:ascii="Garamond" w:hAnsi="Garamond"/>
          <w:sz w:val="32"/>
          <w:szCs w:val="32"/>
        </w:rPr>
        <w:t>i pareri</w:t>
      </w:r>
      <w:r w:rsidR="00A0443C" w:rsidRPr="00063D88">
        <w:rPr>
          <w:rFonts w:ascii="Garamond" w:hAnsi="Garamond"/>
          <w:sz w:val="32"/>
          <w:szCs w:val="32"/>
        </w:rPr>
        <w:t xml:space="preserve"> </w:t>
      </w:r>
      <w:r w:rsidR="00E62586">
        <w:rPr>
          <w:rFonts w:ascii="Garamond" w:hAnsi="Garamond"/>
          <w:sz w:val="32"/>
          <w:szCs w:val="32"/>
        </w:rPr>
        <w:t>riferiti</w:t>
      </w:r>
      <w:r w:rsidR="00CA6AA1">
        <w:rPr>
          <w:rFonts w:ascii="Garamond" w:hAnsi="Garamond"/>
          <w:sz w:val="32"/>
          <w:szCs w:val="32"/>
        </w:rPr>
        <w:t>:</w:t>
      </w:r>
      <w:r w:rsidR="00E62586">
        <w:rPr>
          <w:rFonts w:ascii="Garamond" w:hAnsi="Garamond"/>
          <w:sz w:val="32"/>
          <w:szCs w:val="32"/>
        </w:rPr>
        <w:t xml:space="preserve"> ai</w:t>
      </w:r>
      <w:r w:rsidR="00877534">
        <w:rPr>
          <w:rFonts w:ascii="Garamond" w:hAnsi="Garamond"/>
          <w:sz w:val="32"/>
          <w:szCs w:val="32"/>
        </w:rPr>
        <w:t xml:space="preserve"> </w:t>
      </w:r>
      <w:r w:rsidR="00E62586">
        <w:rPr>
          <w:rFonts w:ascii="Garamond" w:hAnsi="Garamond"/>
          <w:sz w:val="32"/>
          <w:szCs w:val="32"/>
        </w:rPr>
        <w:t>decreti</w:t>
      </w:r>
      <w:r w:rsidR="00877534">
        <w:rPr>
          <w:rFonts w:ascii="Garamond" w:hAnsi="Garamond"/>
          <w:sz w:val="32"/>
          <w:szCs w:val="32"/>
        </w:rPr>
        <w:t xml:space="preserve">-legge </w:t>
      </w:r>
      <w:r w:rsidR="00366AD6">
        <w:rPr>
          <w:rFonts w:ascii="Garamond" w:hAnsi="Garamond"/>
          <w:sz w:val="32"/>
          <w:szCs w:val="32"/>
        </w:rPr>
        <w:t>27</w:t>
      </w:r>
      <w:r w:rsidR="00E62586">
        <w:rPr>
          <w:rFonts w:ascii="Garamond" w:hAnsi="Garamond"/>
          <w:sz w:val="32"/>
          <w:szCs w:val="32"/>
        </w:rPr>
        <w:t>/201</w:t>
      </w:r>
      <w:r w:rsidR="00366AD6">
        <w:rPr>
          <w:rFonts w:ascii="Garamond" w:hAnsi="Garamond"/>
          <w:sz w:val="32"/>
          <w:szCs w:val="32"/>
        </w:rPr>
        <w:t>5</w:t>
      </w:r>
      <w:r w:rsidR="00E62586">
        <w:rPr>
          <w:rFonts w:ascii="Garamond" w:hAnsi="Garamond"/>
          <w:sz w:val="32"/>
          <w:szCs w:val="32"/>
        </w:rPr>
        <w:t xml:space="preserve"> (C. </w:t>
      </w:r>
      <w:r w:rsidR="00366AD6">
        <w:rPr>
          <w:rFonts w:ascii="Garamond" w:hAnsi="Garamond"/>
          <w:sz w:val="32"/>
          <w:szCs w:val="32"/>
        </w:rPr>
        <w:t>3059</w:t>
      </w:r>
      <w:r w:rsidR="00E62586">
        <w:rPr>
          <w:rFonts w:ascii="Garamond" w:hAnsi="Garamond"/>
          <w:sz w:val="32"/>
          <w:szCs w:val="32"/>
        </w:rPr>
        <w:t xml:space="preserve"> – </w:t>
      </w:r>
      <w:r w:rsidR="00366AD6">
        <w:rPr>
          <w:rFonts w:ascii="Garamond" w:hAnsi="Garamond"/>
          <w:sz w:val="32"/>
          <w:szCs w:val="32"/>
        </w:rPr>
        <w:t>elezioni regionali e amministrative 2015</w:t>
      </w:r>
      <w:r w:rsidR="00E62586">
        <w:rPr>
          <w:rFonts w:ascii="Garamond" w:hAnsi="Garamond"/>
          <w:sz w:val="32"/>
          <w:szCs w:val="32"/>
        </w:rPr>
        <w:t xml:space="preserve">), </w:t>
      </w:r>
      <w:r w:rsidR="00366AD6">
        <w:rPr>
          <w:rFonts w:ascii="Garamond" w:hAnsi="Garamond"/>
          <w:sz w:val="32"/>
          <w:szCs w:val="32"/>
        </w:rPr>
        <w:t>99</w:t>
      </w:r>
      <w:r w:rsidR="00E62586">
        <w:rPr>
          <w:rFonts w:ascii="Garamond" w:hAnsi="Garamond"/>
          <w:sz w:val="32"/>
          <w:szCs w:val="32"/>
        </w:rPr>
        <w:t>/201</w:t>
      </w:r>
      <w:r w:rsidR="00366AD6">
        <w:rPr>
          <w:rFonts w:ascii="Garamond" w:hAnsi="Garamond"/>
          <w:sz w:val="32"/>
          <w:szCs w:val="32"/>
        </w:rPr>
        <w:t>5</w:t>
      </w:r>
      <w:r w:rsidR="00E62586">
        <w:rPr>
          <w:rFonts w:ascii="Garamond" w:hAnsi="Garamond"/>
          <w:sz w:val="32"/>
          <w:szCs w:val="32"/>
        </w:rPr>
        <w:t xml:space="preserve"> (C. </w:t>
      </w:r>
      <w:r w:rsidR="00366AD6">
        <w:rPr>
          <w:rFonts w:ascii="Garamond" w:hAnsi="Garamond"/>
          <w:sz w:val="32"/>
          <w:szCs w:val="32"/>
        </w:rPr>
        <w:t>3249</w:t>
      </w:r>
      <w:r w:rsidR="00E62586">
        <w:rPr>
          <w:rFonts w:ascii="Garamond" w:hAnsi="Garamond"/>
          <w:sz w:val="32"/>
          <w:szCs w:val="32"/>
        </w:rPr>
        <w:t xml:space="preserve"> – </w:t>
      </w:r>
      <w:r w:rsidR="00366AD6">
        <w:rPr>
          <w:rFonts w:ascii="Garamond" w:hAnsi="Garamond"/>
          <w:sz w:val="32"/>
          <w:szCs w:val="32"/>
        </w:rPr>
        <w:t>Missione EUNAVFOR MED</w:t>
      </w:r>
      <w:r w:rsidR="00E62586">
        <w:rPr>
          <w:rFonts w:ascii="Garamond" w:hAnsi="Garamond"/>
          <w:sz w:val="32"/>
          <w:szCs w:val="32"/>
        </w:rPr>
        <w:t xml:space="preserve">) e </w:t>
      </w:r>
      <w:r w:rsidR="00366AD6">
        <w:rPr>
          <w:rFonts w:ascii="Garamond" w:hAnsi="Garamond"/>
          <w:sz w:val="32"/>
          <w:szCs w:val="32"/>
        </w:rPr>
        <w:t>154</w:t>
      </w:r>
      <w:r w:rsidR="00E62586">
        <w:rPr>
          <w:rFonts w:ascii="Garamond" w:hAnsi="Garamond"/>
          <w:sz w:val="32"/>
          <w:szCs w:val="32"/>
        </w:rPr>
        <w:t>/201</w:t>
      </w:r>
      <w:r w:rsidR="00366AD6">
        <w:rPr>
          <w:rFonts w:ascii="Garamond" w:hAnsi="Garamond"/>
          <w:sz w:val="32"/>
          <w:szCs w:val="32"/>
        </w:rPr>
        <w:t>5</w:t>
      </w:r>
      <w:r w:rsidR="00E62586">
        <w:rPr>
          <w:rFonts w:ascii="Garamond" w:hAnsi="Garamond"/>
          <w:sz w:val="32"/>
          <w:szCs w:val="32"/>
        </w:rPr>
        <w:t xml:space="preserve">, </w:t>
      </w:r>
      <w:r w:rsidR="00366AD6">
        <w:rPr>
          <w:rFonts w:ascii="Garamond" w:hAnsi="Garamond"/>
          <w:sz w:val="32"/>
          <w:szCs w:val="32"/>
        </w:rPr>
        <w:t>in materia economico-sociale</w:t>
      </w:r>
      <w:r w:rsidR="00E62586">
        <w:rPr>
          <w:rFonts w:ascii="Garamond" w:hAnsi="Garamond"/>
          <w:sz w:val="32"/>
          <w:szCs w:val="32"/>
        </w:rPr>
        <w:t xml:space="preserve"> (C. </w:t>
      </w:r>
      <w:r w:rsidR="00366AD6">
        <w:rPr>
          <w:rFonts w:ascii="Garamond" w:hAnsi="Garamond"/>
          <w:sz w:val="32"/>
          <w:szCs w:val="32"/>
        </w:rPr>
        <w:t>3340</w:t>
      </w:r>
      <w:r w:rsidR="00E62586">
        <w:rPr>
          <w:rFonts w:ascii="Garamond" w:hAnsi="Garamond"/>
          <w:sz w:val="32"/>
          <w:szCs w:val="32"/>
        </w:rPr>
        <w:t>)</w:t>
      </w:r>
      <w:r w:rsidR="00CA6AA1">
        <w:rPr>
          <w:rFonts w:ascii="Garamond" w:hAnsi="Garamond"/>
          <w:sz w:val="32"/>
          <w:szCs w:val="32"/>
        </w:rPr>
        <w:t>; al disegno di legge di riforma costituzionale esaminato in seconda lettura (C. 2613-B).</w:t>
      </w:r>
    </w:p>
    <w:p w:rsidR="005847F5" w:rsidRPr="00063D88" w:rsidRDefault="005847F5" w:rsidP="0068394A">
      <w:pPr>
        <w:rPr>
          <w:rFonts w:ascii="Garamond" w:hAnsi="Garamond"/>
          <w:sz w:val="32"/>
          <w:szCs w:val="32"/>
        </w:rPr>
      </w:pPr>
    </w:p>
    <w:p w:rsidR="00670EB5" w:rsidRPr="00063D88" w:rsidRDefault="00670EB5" w:rsidP="0068394A">
      <w:pPr>
        <w:rPr>
          <w:rFonts w:ascii="Garamond" w:hAnsi="Garamond"/>
          <w:sz w:val="32"/>
          <w:szCs w:val="32"/>
        </w:rPr>
      </w:pPr>
      <w:r w:rsidRPr="00063D88">
        <w:rPr>
          <w:rFonts w:ascii="Garamond" w:hAnsi="Garamond"/>
          <w:sz w:val="32"/>
          <w:szCs w:val="32"/>
        </w:rPr>
        <w:t xml:space="preserve">La struttura dei </w:t>
      </w:r>
      <w:r w:rsidR="00494C47">
        <w:rPr>
          <w:rFonts w:ascii="Garamond" w:hAnsi="Garamond"/>
          <w:b/>
          <w:color w:val="800000"/>
          <w:sz w:val="32"/>
          <w:szCs w:val="32"/>
        </w:rPr>
        <w:t>2</w:t>
      </w:r>
      <w:r w:rsidR="00CA6AA1">
        <w:rPr>
          <w:rFonts w:ascii="Garamond" w:hAnsi="Garamond"/>
          <w:b/>
          <w:color w:val="800000"/>
          <w:sz w:val="32"/>
          <w:szCs w:val="32"/>
        </w:rPr>
        <w:t>3</w:t>
      </w:r>
      <w:r w:rsidRPr="00063D88">
        <w:rPr>
          <w:rFonts w:ascii="Garamond" w:hAnsi="Garamond"/>
          <w:sz w:val="32"/>
          <w:szCs w:val="32"/>
        </w:rPr>
        <w:t xml:space="preserve"> pareri </w:t>
      </w:r>
      <w:r w:rsidRPr="00063D88">
        <w:rPr>
          <w:rStyle w:val="StileGrassetto"/>
          <w:rFonts w:ascii="Garamond" w:hAnsi="Garamond"/>
          <w:sz w:val="32"/>
          <w:szCs w:val="32"/>
        </w:rPr>
        <w:t>contenenti rilievi</w:t>
      </w:r>
      <w:r w:rsidRPr="00063D88">
        <w:rPr>
          <w:rFonts w:ascii="Garamond" w:hAnsi="Garamond"/>
          <w:sz w:val="32"/>
          <w:szCs w:val="32"/>
        </w:rPr>
        <w:t xml:space="preserve"> è quella riportata nella tabella che segue:</w:t>
      </w:r>
    </w:p>
    <w:p w:rsidR="00974D05" w:rsidRPr="00063D88" w:rsidRDefault="00974D05" w:rsidP="00670EB5">
      <w:pPr>
        <w:spacing w:line="240" w:lineRule="auto"/>
        <w:ind w:firstLine="0"/>
        <w:jc w:val="left"/>
        <w:rPr>
          <w:rFonts w:ascii="Garamond" w:hAnsi="Garamond"/>
          <w:sz w:val="32"/>
          <w:szCs w:val="32"/>
        </w:rPr>
      </w:pPr>
    </w:p>
    <w:tbl>
      <w:tblPr>
        <w:tblW w:w="5000" w:type="pct"/>
        <w:jc w:val="center"/>
        <w:tblCellMar>
          <w:left w:w="70" w:type="dxa"/>
          <w:right w:w="70" w:type="dxa"/>
        </w:tblCellMar>
        <w:tblLook w:val="0000" w:firstRow="0" w:lastRow="0" w:firstColumn="0" w:lastColumn="0" w:noHBand="0" w:noVBand="0"/>
      </w:tblPr>
      <w:tblGrid>
        <w:gridCol w:w="4326"/>
        <w:gridCol w:w="3750"/>
      </w:tblGrid>
      <w:tr w:rsidR="00A414EE" w:rsidRPr="00A414EE" w:rsidTr="00675E6E">
        <w:trPr>
          <w:trHeight w:val="750"/>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FFFF99"/>
            <w:vAlign w:val="center"/>
          </w:tcPr>
          <w:p w:rsidR="00A414EE" w:rsidRPr="00A414EE" w:rsidRDefault="00A414EE" w:rsidP="00A414EE">
            <w:pPr>
              <w:spacing w:line="240" w:lineRule="auto"/>
              <w:ind w:firstLine="0"/>
              <w:jc w:val="center"/>
              <w:rPr>
                <w:rFonts w:ascii="Garamond" w:hAnsi="Garamond" w:cs="Arial"/>
                <w:b/>
                <w:bCs/>
                <w:color w:val="0000FF"/>
                <w:sz w:val="28"/>
                <w:szCs w:val="28"/>
              </w:rPr>
            </w:pPr>
            <w:r w:rsidRPr="00A414EE">
              <w:rPr>
                <w:rFonts w:ascii="Garamond" w:hAnsi="Garamond" w:cs="Arial"/>
                <w:b/>
                <w:bCs/>
                <w:color w:val="0000FF"/>
                <w:sz w:val="28"/>
                <w:szCs w:val="28"/>
              </w:rPr>
              <w:t>Pareri contenenti rilievi</w:t>
            </w:r>
          </w:p>
        </w:tc>
      </w:tr>
      <w:tr w:rsidR="00D82CF1" w:rsidRPr="00A414EE" w:rsidTr="00D82CF1">
        <w:trPr>
          <w:cantSplit/>
          <w:trHeight w:val="645"/>
          <w:jc w:val="center"/>
        </w:trPr>
        <w:tc>
          <w:tcPr>
            <w:tcW w:w="2678" w:type="pct"/>
            <w:tcBorders>
              <w:top w:val="nil"/>
              <w:left w:val="single" w:sz="8" w:space="0" w:color="auto"/>
              <w:bottom w:val="nil"/>
              <w:right w:val="single" w:sz="4" w:space="0" w:color="auto"/>
            </w:tcBorders>
            <w:shd w:val="clear" w:color="auto" w:fill="FFFF99"/>
            <w:vAlign w:val="center"/>
          </w:tcPr>
          <w:p w:rsidR="00D82CF1" w:rsidRPr="00A414EE" w:rsidRDefault="00D82CF1" w:rsidP="00A414EE">
            <w:pPr>
              <w:spacing w:line="240" w:lineRule="auto"/>
              <w:ind w:firstLine="0"/>
              <w:jc w:val="center"/>
              <w:rPr>
                <w:rFonts w:ascii="Garamond" w:hAnsi="Garamond" w:cs="Arial"/>
                <w:b/>
                <w:bCs/>
                <w:color w:val="0000FF"/>
                <w:sz w:val="24"/>
                <w:szCs w:val="24"/>
              </w:rPr>
            </w:pPr>
            <w:r>
              <w:rPr>
                <w:rFonts w:ascii="Garamond" w:hAnsi="Garamond" w:cs="Arial"/>
                <w:b/>
                <w:bCs/>
                <w:color w:val="0000FF"/>
                <w:sz w:val="24"/>
                <w:szCs w:val="24"/>
              </w:rPr>
              <w:t>Tipologia di rilievi</w:t>
            </w:r>
          </w:p>
        </w:tc>
        <w:tc>
          <w:tcPr>
            <w:tcW w:w="2322" w:type="pct"/>
            <w:tcBorders>
              <w:top w:val="nil"/>
              <w:left w:val="nil"/>
              <w:bottom w:val="nil"/>
              <w:right w:val="single" w:sz="8" w:space="0" w:color="auto"/>
            </w:tcBorders>
            <w:shd w:val="clear" w:color="auto" w:fill="FFFF99"/>
            <w:vAlign w:val="center"/>
          </w:tcPr>
          <w:p w:rsidR="00D82CF1" w:rsidRPr="00A414EE" w:rsidRDefault="00D82CF1" w:rsidP="00A414EE">
            <w:pPr>
              <w:spacing w:line="240" w:lineRule="auto"/>
              <w:ind w:firstLine="0"/>
              <w:jc w:val="center"/>
              <w:rPr>
                <w:rFonts w:ascii="Garamond" w:hAnsi="Garamond" w:cs="Arial"/>
                <w:b/>
                <w:bCs/>
                <w:color w:val="0000FF"/>
                <w:sz w:val="24"/>
                <w:szCs w:val="24"/>
              </w:rPr>
            </w:pPr>
            <w:r w:rsidRPr="00A414EE">
              <w:rPr>
                <w:rFonts w:ascii="Garamond" w:hAnsi="Garamond" w:cs="Arial"/>
                <w:b/>
                <w:bCs/>
                <w:color w:val="0000FF"/>
                <w:sz w:val="24"/>
                <w:szCs w:val="24"/>
              </w:rPr>
              <w:t>Pareri</w:t>
            </w:r>
          </w:p>
          <w:p w:rsidR="00D82CF1" w:rsidRPr="00A414EE" w:rsidRDefault="00D82CF1" w:rsidP="00A414EE">
            <w:pPr>
              <w:spacing w:line="240" w:lineRule="auto"/>
              <w:ind w:firstLine="0"/>
              <w:jc w:val="center"/>
              <w:rPr>
                <w:rFonts w:ascii="Garamond" w:hAnsi="Garamond" w:cs="Arial"/>
                <w:color w:val="0000FF"/>
                <w:sz w:val="24"/>
                <w:szCs w:val="24"/>
              </w:rPr>
            </w:pPr>
          </w:p>
        </w:tc>
      </w:tr>
      <w:tr w:rsidR="00D82CF1" w:rsidRPr="00A414EE" w:rsidTr="00D82CF1">
        <w:trPr>
          <w:trHeight w:val="851"/>
          <w:jc w:val="center"/>
        </w:trPr>
        <w:tc>
          <w:tcPr>
            <w:tcW w:w="2678" w:type="pct"/>
            <w:tcBorders>
              <w:top w:val="single" w:sz="8" w:space="0" w:color="auto"/>
              <w:left w:val="single" w:sz="8" w:space="0" w:color="auto"/>
              <w:bottom w:val="single" w:sz="4" w:space="0" w:color="auto"/>
              <w:right w:val="single" w:sz="4" w:space="0" w:color="auto"/>
            </w:tcBorders>
            <w:shd w:val="clear" w:color="auto" w:fill="auto"/>
            <w:vAlign w:val="center"/>
          </w:tcPr>
          <w:p w:rsidR="00D82CF1" w:rsidRPr="00A414EE" w:rsidRDefault="00D82CF1" w:rsidP="00FA0958">
            <w:pPr>
              <w:spacing w:line="240" w:lineRule="auto"/>
              <w:ind w:firstLine="0"/>
              <w:jc w:val="left"/>
              <w:rPr>
                <w:rFonts w:ascii="Garamond" w:hAnsi="Garamond" w:cs="Arial"/>
                <w:sz w:val="24"/>
                <w:szCs w:val="24"/>
              </w:rPr>
            </w:pPr>
            <w:r>
              <w:rPr>
                <w:rFonts w:ascii="Garamond" w:hAnsi="Garamond" w:cs="Arial"/>
                <w:sz w:val="24"/>
                <w:szCs w:val="24"/>
              </w:rPr>
              <w:t>Osservazioni</w:t>
            </w:r>
          </w:p>
        </w:tc>
        <w:tc>
          <w:tcPr>
            <w:tcW w:w="2322" w:type="pct"/>
            <w:tcBorders>
              <w:top w:val="single" w:sz="8" w:space="0" w:color="auto"/>
              <w:left w:val="nil"/>
              <w:bottom w:val="single" w:sz="4" w:space="0" w:color="auto"/>
              <w:right w:val="single" w:sz="8" w:space="0" w:color="auto"/>
            </w:tcBorders>
            <w:shd w:val="clear" w:color="auto" w:fill="auto"/>
            <w:vAlign w:val="center"/>
          </w:tcPr>
          <w:p w:rsidR="00D82CF1" w:rsidRPr="003D64F3" w:rsidRDefault="00D82CF1" w:rsidP="00D82CF1">
            <w:pPr>
              <w:jc w:val="center"/>
              <w:rPr>
                <w:rFonts w:ascii="Calibri" w:hAnsi="Calibri"/>
                <w:i/>
                <w:color w:val="000000"/>
                <w:sz w:val="24"/>
                <w:szCs w:val="24"/>
              </w:rPr>
            </w:pPr>
            <w:r w:rsidRPr="003D64F3">
              <w:rPr>
                <w:rFonts w:ascii="Calibri" w:hAnsi="Calibri"/>
                <w:b/>
                <w:color w:val="000000"/>
                <w:sz w:val="24"/>
                <w:szCs w:val="24"/>
              </w:rPr>
              <w:t>3</w:t>
            </w:r>
          </w:p>
        </w:tc>
      </w:tr>
      <w:tr w:rsidR="00D82CF1" w:rsidRPr="00A414EE" w:rsidTr="00D82CF1">
        <w:trPr>
          <w:trHeight w:val="851"/>
          <w:jc w:val="center"/>
        </w:trPr>
        <w:tc>
          <w:tcPr>
            <w:tcW w:w="2678" w:type="pct"/>
            <w:tcBorders>
              <w:top w:val="single" w:sz="4" w:space="0" w:color="auto"/>
              <w:left w:val="single" w:sz="8" w:space="0" w:color="auto"/>
              <w:bottom w:val="single" w:sz="4" w:space="0" w:color="auto"/>
              <w:right w:val="single" w:sz="4" w:space="0" w:color="auto"/>
            </w:tcBorders>
            <w:shd w:val="clear" w:color="auto" w:fill="auto"/>
            <w:vAlign w:val="center"/>
          </w:tcPr>
          <w:p w:rsidR="00D82CF1" w:rsidRPr="00A414EE" w:rsidRDefault="00D82CF1" w:rsidP="00FA0958">
            <w:pPr>
              <w:spacing w:line="240" w:lineRule="auto"/>
              <w:ind w:firstLine="0"/>
              <w:jc w:val="left"/>
              <w:rPr>
                <w:rFonts w:ascii="Garamond" w:hAnsi="Garamond" w:cs="Arial"/>
                <w:sz w:val="24"/>
                <w:szCs w:val="24"/>
              </w:rPr>
            </w:pPr>
            <w:r w:rsidRPr="00A414EE">
              <w:rPr>
                <w:rFonts w:ascii="Garamond" w:hAnsi="Garamond" w:cs="Arial"/>
                <w:sz w:val="24"/>
                <w:szCs w:val="24"/>
              </w:rPr>
              <w:t>Condizioni</w:t>
            </w:r>
          </w:p>
        </w:tc>
        <w:tc>
          <w:tcPr>
            <w:tcW w:w="2322" w:type="pct"/>
            <w:tcBorders>
              <w:top w:val="single" w:sz="4" w:space="0" w:color="auto"/>
              <w:left w:val="nil"/>
              <w:bottom w:val="single" w:sz="4" w:space="0" w:color="auto"/>
              <w:right w:val="single" w:sz="8" w:space="0" w:color="auto"/>
            </w:tcBorders>
            <w:shd w:val="clear" w:color="auto" w:fill="auto"/>
            <w:vAlign w:val="center"/>
          </w:tcPr>
          <w:p w:rsidR="00D82CF1" w:rsidRPr="003D64F3" w:rsidRDefault="00D82CF1" w:rsidP="00D82CF1">
            <w:pPr>
              <w:jc w:val="center"/>
              <w:rPr>
                <w:rFonts w:ascii="Calibri" w:hAnsi="Calibri"/>
                <w:i/>
                <w:color w:val="000000"/>
                <w:sz w:val="24"/>
                <w:szCs w:val="24"/>
              </w:rPr>
            </w:pPr>
            <w:r w:rsidRPr="003D64F3">
              <w:rPr>
                <w:rFonts w:ascii="Calibri" w:hAnsi="Calibri"/>
                <w:b/>
                <w:color w:val="000000"/>
              </w:rPr>
              <w:t>0</w:t>
            </w:r>
          </w:p>
        </w:tc>
      </w:tr>
      <w:tr w:rsidR="00D82CF1" w:rsidRPr="00A414EE" w:rsidTr="00D82CF1">
        <w:trPr>
          <w:trHeight w:val="851"/>
          <w:jc w:val="center"/>
        </w:trPr>
        <w:tc>
          <w:tcPr>
            <w:tcW w:w="2678" w:type="pct"/>
            <w:tcBorders>
              <w:top w:val="single" w:sz="4" w:space="0" w:color="auto"/>
              <w:left w:val="single" w:sz="8" w:space="0" w:color="auto"/>
              <w:bottom w:val="single" w:sz="4" w:space="0" w:color="auto"/>
              <w:right w:val="single" w:sz="4" w:space="0" w:color="auto"/>
            </w:tcBorders>
            <w:shd w:val="clear" w:color="auto" w:fill="auto"/>
            <w:vAlign w:val="center"/>
          </w:tcPr>
          <w:p w:rsidR="00D82CF1" w:rsidRPr="00A414EE" w:rsidRDefault="00D82CF1" w:rsidP="00FA0958">
            <w:pPr>
              <w:spacing w:line="240" w:lineRule="auto"/>
              <w:ind w:firstLine="0"/>
              <w:jc w:val="left"/>
              <w:rPr>
                <w:rFonts w:ascii="Garamond" w:hAnsi="Garamond" w:cs="Arial"/>
                <w:sz w:val="24"/>
                <w:szCs w:val="24"/>
              </w:rPr>
            </w:pPr>
            <w:r>
              <w:rPr>
                <w:rFonts w:ascii="Garamond" w:hAnsi="Garamond" w:cs="Arial"/>
                <w:sz w:val="24"/>
                <w:szCs w:val="24"/>
              </w:rPr>
              <w:t>Osservazioni e condizioni</w:t>
            </w:r>
          </w:p>
        </w:tc>
        <w:tc>
          <w:tcPr>
            <w:tcW w:w="2322" w:type="pct"/>
            <w:tcBorders>
              <w:top w:val="single" w:sz="4" w:space="0" w:color="auto"/>
              <w:left w:val="nil"/>
              <w:bottom w:val="single" w:sz="4" w:space="0" w:color="auto"/>
              <w:right w:val="single" w:sz="8" w:space="0" w:color="auto"/>
            </w:tcBorders>
            <w:shd w:val="clear" w:color="auto" w:fill="auto"/>
            <w:vAlign w:val="center"/>
          </w:tcPr>
          <w:p w:rsidR="00D82CF1" w:rsidRPr="003D64F3" w:rsidRDefault="00D82CF1" w:rsidP="00D82CF1">
            <w:pPr>
              <w:jc w:val="center"/>
              <w:rPr>
                <w:rFonts w:ascii="Calibri" w:hAnsi="Calibri"/>
                <w:i/>
                <w:color w:val="000000"/>
                <w:sz w:val="24"/>
                <w:szCs w:val="24"/>
              </w:rPr>
            </w:pPr>
            <w:r w:rsidRPr="003D64F3">
              <w:rPr>
                <w:rFonts w:ascii="Calibri" w:hAnsi="Calibri"/>
                <w:b/>
                <w:color w:val="000000"/>
              </w:rPr>
              <w:t>16</w:t>
            </w:r>
          </w:p>
        </w:tc>
      </w:tr>
      <w:tr w:rsidR="00D82CF1" w:rsidRPr="00A414EE" w:rsidTr="00D82CF1">
        <w:trPr>
          <w:trHeight w:val="851"/>
          <w:jc w:val="center"/>
        </w:trPr>
        <w:tc>
          <w:tcPr>
            <w:tcW w:w="2678" w:type="pct"/>
            <w:tcBorders>
              <w:top w:val="nil"/>
              <w:left w:val="single" w:sz="8" w:space="0" w:color="auto"/>
              <w:bottom w:val="single" w:sz="4" w:space="0" w:color="auto"/>
              <w:right w:val="single" w:sz="4" w:space="0" w:color="auto"/>
            </w:tcBorders>
            <w:shd w:val="clear" w:color="auto" w:fill="auto"/>
            <w:vAlign w:val="center"/>
          </w:tcPr>
          <w:p w:rsidR="00D82CF1" w:rsidRPr="00A414EE" w:rsidRDefault="00D82CF1" w:rsidP="00FA0958">
            <w:pPr>
              <w:spacing w:line="240" w:lineRule="auto"/>
              <w:ind w:firstLine="0"/>
              <w:jc w:val="left"/>
              <w:rPr>
                <w:rFonts w:ascii="Garamond" w:hAnsi="Garamond" w:cs="Arial"/>
                <w:sz w:val="24"/>
                <w:szCs w:val="24"/>
              </w:rPr>
            </w:pPr>
            <w:r>
              <w:rPr>
                <w:rFonts w:ascii="Garamond" w:hAnsi="Garamond" w:cs="Arial"/>
                <w:sz w:val="24"/>
                <w:szCs w:val="24"/>
              </w:rPr>
              <w:t>Osservazioni e raccomandazioni</w:t>
            </w:r>
          </w:p>
        </w:tc>
        <w:tc>
          <w:tcPr>
            <w:tcW w:w="2322" w:type="pct"/>
            <w:tcBorders>
              <w:top w:val="nil"/>
              <w:left w:val="nil"/>
              <w:bottom w:val="single" w:sz="4" w:space="0" w:color="auto"/>
              <w:right w:val="single" w:sz="8" w:space="0" w:color="auto"/>
            </w:tcBorders>
            <w:shd w:val="clear" w:color="auto" w:fill="auto"/>
            <w:vAlign w:val="center"/>
          </w:tcPr>
          <w:p w:rsidR="00D82CF1" w:rsidRPr="003D64F3" w:rsidRDefault="00D82CF1" w:rsidP="00D82CF1">
            <w:pPr>
              <w:jc w:val="center"/>
              <w:rPr>
                <w:rFonts w:ascii="Calibri" w:hAnsi="Calibri"/>
                <w:i/>
                <w:color w:val="000000"/>
                <w:sz w:val="24"/>
                <w:szCs w:val="24"/>
              </w:rPr>
            </w:pPr>
            <w:r w:rsidRPr="003D64F3">
              <w:rPr>
                <w:rFonts w:ascii="Calibri" w:hAnsi="Calibri"/>
                <w:b/>
                <w:color w:val="000000"/>
              </w:rPr>
              <w:t>1</w:t>
            </w:r>
          </w:p>
        </w:tc>
      </w:tr>
      <w:tr w:rsidR="00D82CF1" w:rsidRPr="00A414EE" w:rsidTr="00D82CF1">
        <w:trPr>
          <w:trHeight w:val="851"/>
          <w:jc w:val="center"/>
        </w:trPr>
        <w:tc>
          <w:tcPr>
            <w:tcW w:w="2678" w:type="pct"/>
            <w:tcBorders>
              <w:top w:val="nil"/>
              <w:left w:val="single" w:sz="8" w:space="0" w:color="auto"/>
              <w:bottom w:val="single" w:sz="8" w:space="0" w:color="auto"/>
              <w:right w:val="single" w:sz="4" w:space="0" w:color="auto"/>
            </w:tcBorders>
            <w:shd w:val="clear" w:color="auto" w:fill="auto"/>
            <w:vAlign w:val="center"/>
          </w:tcPr>
          <w:p w:rsidR="00D82CF1" w:rsidRPr="00A414EE" w:rsidRDefault="00D82CF1" w:rsidP="00FA0958">
            <w:pPr>
              <w:spacing w:line="240" w:lineRule="auto"/>
              <w:ind w:firstLine="0"/>
              <w:jc w:val="left"/>
              <w:rPr>
                <w:rFonts w:ascii="Garamond" w:hAnsi="Garamond" w:cs="Arial"/>
                <w:sz w:val="24"/>
                <w:szCs w:val="24"/>
              </w:rPr>
            </w:pPr>
            <w:r>
              <w:rPr>
                <w:rFonts w:ascii="Garamond" w:hAnsi="Garamond" w:cs="Arial"/>
                <w:sz w:val="24"/>
                <w:szCs w:val="24"/>
              </w:rPr>
              <w:t>Osservazioni, condizioni e r</w:t>
            </w:r>
            <w:r w:rsidRPr="00A414EE">
              <w:rPr>
                <w:rFonts w:ascii="Garamond" w:hAnsi="Garamond" w:cs="Arial"/>
                <w:sz w:val="24"/>
                <w:szCs w:val="24"/>
              </w:rPr>
              <w:t>accomandazioni</w:t>
            </w:r>
          </w:p>
        </w:tc>
        <w:tc>
          <w:tcPr>
            <w:tcW w:w="2322" w:type="pct"/>
            <w:tcBorders>
              <w:top w:val="nil"/>
              <w:left w:val="nil"/>
              <w:bottom w:val="single" w:sz="8" w:space="0" w:color="auto"/>
              <w:right w:val="single" w:sz="8" w:space="0" w:color="auto"/>
            </w:tcBorders>
            <w:shd w:val="clear" w:color="auto" w:fill="auto"/>
            <w:vAlign w:val="center"/>
          </w:tcPr>
          <w:p w:rsidR="00D82CF1" w:rsidRPr="003D64F3" w:rsidRDefault="00D82CF1" w:rsidP="00D82CF1">
            <w:pPr>
              <w:jc w:val="center"/>
              <w:rPr>
                <w:rFonts w:ascii="Calibri" w:hAnsi="Calibri"/>
                <w:i/>
                <w:color w:val="000000"/>
                <w:sz w:val="24"/>
                <w:szCs w:val="24"/>
              </w:rPr>
            </w:pPr>
            <w:r w:rsidRPr="003D64F3">
              <w:rPr>
                <w:rFonts w:ascii="Calibri" w:hAnsi="Calibri"/>
                <w:b/>
                <w:color w:val="000000"/>
              </w:rPr>
              <w:t>3</w:t>
            </w:r>
          </w:p>
        </w:tc>
      </w:tr>
    </w:tbl>
    <w:p w:rsidR="00483928" w:rsidRPr="00063D88" w:rsidRDefault="00483928" w:rsidP="00670EB5">
      <w:pPr>
        <w:spacing w:line="240" w:lineRule="auto"/>
        <w:ind w:firstLine="0"/>
        <w:jc w:val="left"/>
        <w:rPr>
          <w:rFonts w:ascii="Garamond" w:hAnsi="Garamond"/>
          <w:sz w:val="32"/>
          <w:szCs w:val="32"/>
        </w:rPr>
      </w:pPr>
    </w:p>
    <w:p w:rsidR="00877DBD" w:rsidRPr="00063D88" w:rsidRDefault="00877DBD" w:rsidP="00670EB5">
      <w:pPr>
        <w:spacing w:line="240" w:lineRule="auto"/>
        <w:ind w:firstLine="0"/>
        <w:jc w:val="left"/>
        <w:rPr>
          <w:rFonts w:ascii="Garamond" w:hAnsi="Garamond"/>
          <w:sz w:val="32"/>
          <w:szCs w:val="32"/>
        </w:rPr>
      </w:pPr>
    </w:p>
    <w:p w:rsidR="00900DB6" w:rsidRDefault="00900DB6" w:rsidP="00216387">
      <w:pPr>
        <w:ind w:firstLine="142"/>
        <w:rPr>
          <w:rFonts w:ascii="Garamond" w:hAnsi="Garamond"/>
          <w:sz w:val="32"/>
          <w:szCs w:val="32"/>
        </w:rPr>
      </w:pPr>
      <w:r w:rsidRPr="00063D88">
        <w:rPr>
          <w:rFonts w:ascii="Garamond" w:hAnsi="Garamond"/>
          <w:sz w:val="32"/>
          <w:szCs w:val="32"/>
        </w:rPr>
        <w:t xml:space="preserve">Complessivamente, </w:t>
      </w:r>
      <w:r w:rsidR="00F95923" w:rsidRPr="00063D88">
        <w:rPr>
          <w:rFonts w:ascii="Garamond" w:hAnsi="Garamond"/>
          <w:sz w:val="32"/>
          <w:szCs w:val="32"/>
        </w:rPr>
        <w:t xml:space="preserve">il </w:t>
      </w:r>
      <w:r w:rsidR="00235675" w:rsidRPr="00F303BB">
        <w:rPr>
          <w:rFonts w:ascii="Garamond" w:hAnsi="Garamond"/>
          <w:b/>
          <w:color w:val="0000FF"/>
          <w:sz w:val="32"/>
          <w:szCs w:val="32"/>
        </w:rPr>
        <w:t>7</w:t>
      </w:r>
      <w:r w:rsidR="00F303BB" w:rsidRPr="00F303BB">
        <w:rPr>
          <w:rFonts w:ascii="Garamond" w:hAnsi="Garamond"/>
          <w:b/>
          <w:color w:val="0000FF"/>
          <w:sz w:val="32"/>
          <w:szCs w:val="32"/>
        </w:rPr>
        <w:t>0</w:t>
      </w:r>
      <w:r w:rsidR="004F5142" w:rsidRPr="00F303BB">
        <w:rPr>
          <w:rFonts w:ascii="Garamond" w:hAnsi="Garamond"/>
          <w:sz w:val="32"/>
          <w:szCs w:val="32"/>
        </w:rPr>
        <w:t xml:space="preserve"> per cento dei pareri (</w:t>
      </w:r>
      <w:r w:rsidR="00235675" w:rsidRPr="00F303BB">
        <w:rPr>
          <w:rFonts w:ascii="Garamond" w:hAnsi="Garamond"/>
          <w:b/>
          <w:color w:val="800000"/>
          <w:sz w:val="32"/>
          <w:szCs w:val="32"/>
        </w:rPr>
        <w:t>1</w:t>
      </w:r>
      <w:r w:rsidR="00F303BB" w:rsidRPr="00F303BB">
        <w:rPr>
          <w:rFonts w:ascii="Garamond" w:hAnsi="Garamond"/>
          <w:b/>
          <w:color w:val="800000"/>
          <w:sz w:val="32"/>
          <w:szCs w:val="32"/>
        </w:rPr>
        <w:t>9</w:t>
      </w:r>
      <w:r w:rsidRPr="00F303BB">
        <w:rPr>
          <w:rFonts w:ascii="Garamond" w:hAnsi="Garamond"/>
          <w:sz w:val="32"/>
          <w:szCs w:val="32"/>
        </w:rPr>
        <w:t xml:space="preserve"> su </w:t>
      </w:r>
      <w:r w:rsidR="00235675" w:rsidRPr="00F303BB">
        <w:rPr>
          <w:rFonts w:ascii="Garamond" w:hAnsi="Garamond"/>
          <w:b/>
          <w:color w:val="800000"/>
          <w:sz w:val="32"/>
          <w:szCs w:val="32"/>
        </w:rPr>
        <w:t>2</w:t>
      </w:r>
      <w:r w:rsidR="00F303BB" w:rsidRPr="00F303BB">
        <w:rPr>
          <w:rFonts w:ascii="Garamond" w:hAnsi="Garamond"/>
          <w:b/>
          <w:color w:val="800000"/>
          <w:sz w:val="32"/>
          <w:szCs w:val="32"/>
        </w:rPr>
        <w:t>7</w:t>
      </w:r>
      <w:r w:rsidR="004F5142" w:rsidRPr="00F303BB">
        <w:rPr>
          <w:rFonts w:ascii="Garamond" w:hAnsi="Garamond"/>
          <w:sz w:val="32"/>
          <w:szCs w:val="32"/>
        </w:rPr>
        <w:t>) contiene rilievi f</w:t>
      </w:r>
      <w:r w:rsidR="00675E6E" w:rsidRPr="00F303BB">
        <w:rPr>
          <w:rFonts w:ascii="Garamond" w:hAnsi="Garamond"/>
          <w:sz w:val="32"/>
          <w:szCs w:val="32"/>
        </w:rPr>
        <w:t xml:space="preserve">ormulati in forma di condizioni; </w:t>
      </w:r>
      <w:r w:rsidR="00235675" w:rsidRPr="00F303BB">
        <w:rPr>
          <w:rFonts w:ascii="Garamond" w:hAnsi="Garamond"/>
          <w:b/>
          <w:color w:val="0000FF"/>
          <w:sz w:val="32"/>
          <w:szCs w:val="32"/>
        </w:rPr>
        <w:t>3</w:t>
      </w:r>
      <w:r w:rsidR="00675E6E" w:rsidRPr="00F303BB">
        <w:rPr>
          <w:rFonts w:ascii="Garamond" w:hAnsi="Garamond"/>
          <w:sz w:val="32"/>
          <w:szCs w:val="32"/>
        </w:rPr>
        <w:t xml:space="preserve"> pareri (il </w:t>
      </w:r>
      <w:r w:rsidR="003064E5" w:rsidRPr="00F303BB">
        <w:rPr>
          <w:rFonts w:ascii="Garamond" w:hAnsi="Garamond"/>
          <w:sz w:val="32"/>
          <w:szCs w:val="32"/>
        </w:rPr>
        <w:t>1</w:t>
      </w:r>
      <w:r w:rsidR="00F303BB" w:rsidRPr="00F303BB">
        <w:rPr>
          <w:rFonts w:ascii="Garamond" w:hAnsi="Garamond"/>
          <w:sz w:val="32"/>
          <w:szCs w:val="32"/>
        </w:rPr>
        <w:t>3</w:t>
      </w:r>
      <w:r w:rsidR="00675E6E">
        <w:rPr>
          <w:rFonts w:ascii="Garamond" w:hAnsi="Garamond"/>
          <w:sz w:val="32"/>
          <w:szCs w:val="32"/>
        </w:rPr>
        <w:t xml:space="preserve"> per cento) contengono tutte le tre tipologie di rilievi utilizzate dal Comitato.</w:t>
      </w:r>
      <w:r w:rsidR="004F5142" w:rsidRPr="00063D88">
        <w:rPr>
          <w:rFonts w:ascii="Garamond" w:hAnsi="Garamond"/>
          <w:sz w:val="32"/>
          <w:szCs w:val="32"/>
        </w:rPr>
        <w:t xml:space="preserve"> </w:t>
      </w:r>
    </w:p>
    <w:p w:rsidR="00F1239F" w:rsidRPr="00063D88" w:rsidRDefault="00F1239F" w:rsidP="00216387">
      <w:pPr>
        <w:ind w:firstLine="142"/>
        <w:rPr>
          <w:rFonts w:ascii="Garamond" w:hAnsi="Garamond"/>
          <w:sz w:val="32"/>
          <w:szCs w:val="32"/>
        </w:rPr>
      </w:pPr>
      <w:r>
        <w:rPr>
          <w:rFonts w:ascii="Garamond" w:hAnsi="Garamond"/>
          <w:sz w:val="32"/>
          <w:szCs w:val="32"/>
        </w:rPr>
        <w:t xml:space="preserve">La tipologia dei rilievi presenti in ciascun parere è indicata nella </w:t>
      </w:r>
      <w:hyperlink w:anchor="Tab01" w:history="1">
        <w:r w:rsidRPr="0007765B">
          <w:rPr>
            <w:rStyle w:val="Collegamentoipertestuale"/>
            <w:rFonts w:ascii="Garamond" w:hAnsi="Garamond"/>
            <w:sz w:val="32"/>
            <w:szCs w:val="32"/>
          </w:rPr>
          <w:t>tabella 1</w:t>
        </w:r>
      </w:hyperlink>
      <w:r>
        <w:rPr>
          <w:rFonts w:ascii="Garamond" w:hAnsi="Garamond"/>
          <w:sz w:val="32"/>
          <w:szCs w:val="32"/>
        </w:rPr>
        <w:t>.</w:t>
      </w:r>
    </w:p>
    <w:p w:rsidR="00163930" w:rsidRDefault="00163930" w:rsidP="00F8361D">
      <w:pPr>
        <w:ind w:firstLine="0"/>
        <w:rPr>
          <w:rFonts w:ascii="Garamond" w:hAnsi="Garamond"/>
        </w:rPr>
      </w:pPr>
    </w:p>
    <w:p w:rsidR="0086291B" w:rsidRPr="00063D88" w:rsidRDefault="0086291B" w:rsidP="00FA0958">
      <w:pPr>
        <w:spacing w:line="240" w:lineRule="auto"/>
        <w:ind w:firstLine="0"/>
        <w:rPr>
          <w:rFonts w:ascii="Garamond" w:hAnsi="Garamond"/>
        </w:rPr>
      </w:pPr>
    </w:p>
    <w:p w:rsidR="00670EB5" w:rsidRPr="00063D88" w:rsidRDefault="00EC4792" w:rsidP="00FA0958">
      <w:pPr>
        <w:pStyle w:val="Titolo2"/>
        <w:spacing w:before="0"/>
        <w:ind w:left="0" w:firstLine="0"/>
        <w:rPr>
          <w:rFonts w:ascii="Garamond" w:hAnsi="Garamond"/>
          <w:i/>
          <w:color w:val="0000FF"/>
          <w:sz w:val="40"/>
          <w:szCs w:val="40"/>
        </w:rPr>
      </w:pPr>
      <w:bookmarkStart w:id="52" w:name="_Toc337653470"/>
      <w:bookmarkStart w:id="53" w:name="_Toc342035927"/>
      <w:bookmarkStart w:id="54" w:name="_Toc439082237"/>
      <w:bookmarkStart w:id="55" w:name="_Toc439953653"/>
      <w:bookmarkStart w:id="56" w:name="_Toc440030367"/>
      <w:r w:rsidRPr="00063D88">
        <w:rPr>
          <w:rFonts w:ascii="Garamond" w:hAnsi="Garamond"/>
          <w:i/>
          <w:color w:val="0000FF"/>
          <w:sz w:val="40"/>
          <w:szCs w:val="40"/>
        </w:rPr>
        <w:lastRenderedPageBreak/>
        <w:t>4</w:t>
      </w:r>
      <w:r w:rsidR="004D780B" w:rsidRPr="00063D88">
        <w:rPr>
          <w:rFonts w:ascii="Garamond" w:hAnsi="Garamond"/>
          <w:i/>
          <w:color w:val="0000FF"/>
          <w:sz w:val="40"/>
          <w:szCs w:val="40"/>
        </w:rPr>
        <w:t>.</w:t>
      </w:r>
      <w:r w:rsidR="00670EB5" w:rsidRPr="00063D88">
        <w:rPr>
          <w:rFonts w:ascii="Garamond" w:hAnsi="Garamond"/>
          <w:i/>
          <w:color w:val="0000FF"/>
          <w:sz w:val="40"/>
          <w:szCs w:val="40"/>
        </w:rPr>
        <w:t>2. I parametri utilizzati nei pareri</w:t>
      </w:r>
      <w:bookmarkEnd w:id="52"/>
      <w:bookmarkEnd w:id="53"/>
      <w:bookmarkEnd w:id="54"/>
      <w:bookmarkEnd w:id="55"/>
      <w:bookmarkEnd w:id="56"/>
    </w:p>
    <w:p w:rsidR="00670EB5" w:rsidRPr="00063D88" w:rsidRDefault="0041643E" w:rsidP="00BB539E">
      <w:pPr>
        <w:rPr>
          <w:rFonts w:ascii="Garamond" w:hAnsi="Garamond"/>
          <w:sz w:val="32"/>
          <w:szCs w:val="32"/>
        </w:rPr>
      </w:pPr>
      <w:r w:rsidRPr="00063D88">
        <w:rPr>
          <w:rFonts w:ascii="Garamond" w:hAnsi="Garamond"/>
          <w:sz w:val="32"/>
          <w:szCs w:val="32"/>
        </w:rPr>
        <w:t>Il Comitato, nell’esprimere i propri pareri, si basa, e</w:t>
      </w:r>
      <w:r w:rsidR="00670EB5" w:rsidRPr="00063D88">
        <w:rPr>
          <w:rFonts w:ascii="Garamond" w:hAnsi="Garamond"/>
          <w:sz w:val="32"/>
          <w:szCs w:val="32"/>
        </w:rPr>
        <w:t>ssenzialmente</w:t>
      </w:r>
      <w:r w:rsidRPr="00063D88">
        <w:rPr>
          <w:rFonts w:ascii="Garamond" w:hAnsi="Garamond"/>
          <w:sz w:val="32"/>
          <w:szCs w:val="32"/>
        </w:rPr>
        <w:t>,</w:t>
      </w:r>
      <w:r w:rsidR="00670EB5" w:rsidRPr="00063D88">
        <w:rPr>
          <w:rFonts w:ascii="Garamond" w:hAnsi="Garamond"/>
          <w:sz w:val="32"/>
          <w:szCs w:val="32"/>
        </w:rPr>
        <w:t xml:space="preserve"> </w:t>
      </w:r>
      <w:r w:rsidRPr="00063D88">
        <w:rPr>
          <w:rFonts w:ascii="Garamond" w:hAnsi="Garamond"/>
          <w:sz w:val="32"/>
          <w:szCs w:val="32"/>
        </w:rPr>
        <w:t>sui seguenti atti</w:t>
      </w:r>
      <w:r w:rsidR="00670EB5" w:rsidRPr="00063D88">
        <w:rPr>
          <w:rFonts w:ascii="Garamond" w:hAnsi="Garamond"/>
          <w:sz w:val="32"/>
          <w:szCs w:val="32"/>
        </w:rPr>
        <w:t>:</w:t>
      </w:r>
    </w:p>
    <w:p w:rsidR="00670EB5" w:rsidRPr="00063D88" w:rsidRDefault="00670EB5" w:rsidP="00670EB5">
      <w:pPr>
        <w:rPr>
          <w:rFonts w:ascii="Garamond" w:hAnsi="Garamond"/>
          <w:sz w:val="32"/>
          <w:szCs w:val="32"/>
        </w:rPr>
      </w:pPr>
    </w:p>
    <w:p w:rsidR="00B96ACD" w:rsidRPr="00063D88" w:rsidRDefault="00B96ACD" w:rsidP="00E10E3E">
      <w:pPr>
        <w:numPr>
          <w:ilvl w:val="0"/>
          <w:numId w:val="10"/>
        </w:numPr>
        <w:spacing w:after="120"/>
        <w:rPr>
          <w:rFonts w:ascii="Garamond" w:hAnsi="Garamond"/>
          <w:sz w:val="32"/>
          <w:szCs w:val="32"/>
        </w:rPr>
      </w:pPr>
      <w:r w:rsidRPr="00063D88">
        <w:rPr>
          <w:rFonts w:ascii="Garamond" w:hAnsi="Garamond"/>
          <w:sz w:val="32"/>
          <w:szCs w:val="32"/>
        </w:rPr>
        <w:t xml:space="preserve">la </w:t>
      </w:r>
      <w:r w:rsidRPr="00063D88">
        <w:rPr>
          <w:rFonts w:ascii="Garamond" w:hAnsi="Garamond"/>
          <w:b/>
          <w:i/>
          <w:sz w:val="32"/>
          <w:szCs w:val="32"/>
        </w:rPr>
        <w:t>legge 28 novembre 2005, n. 246</w:t>
      </w:r>
      <w:r w:rsidRPr="00063D88">
        <w:rPr>
          <w:rFonts w:ascii="Garamond" w:hAnsi="Garamond"/>
          <w:sz w:val="32"/>
          <w:szCs w:val="32"/>
        </w:rPr>
        <w:t xml:space="preserve"> (articolo 14, commi 1-11) ed i relativi provvedimenti di attuazione (direttiva del Presidente del Consiglio dei ministri in data 10 settembre 2008 e regolamento di cui al decreto del Presidente del Consiglio dei ministri 11 settembre 2008, n. 170), che disciplinano le relazioni per l’analisi tecnico-normativa e per l’analisi di impatto della regolamentazione;</w:t>
      </w:r>
    </w:p>
    <w:p w:rsidR="00670EB5" w:rsidRPr="00063D88" w:rsidRDefault="00670EB5" w:rsidP="00E10E3E">
      <w:pPr>
        <w:numPr>
          <w:ilvl w:val="0"/>
          <w:numId w:val="10"/>
        </w:numPr>
        <w:tabs>
          <w:tab w:val="num" w:pos="851"/>
        </w:tabs>
        <w:spacing w:after="120"/>
        <w:rPr>
          <w:rFonts w:ascii="Garamond" w:hAnsi="Garamond"/>
          <w:sz w:val="32"/>
          <w:szCs w:val="32"/>
        </w:rPr>
      </w:pPr>
      <w:r w:rsidRPr="00063D88">
        <w:rPr>
          <w:rFonts w:ascii="Garamond" w:hAnsi="Garamond"/>
          <w:sz w:val="32"/>
          <w:szCs w:val="32"/>
        </w:rPr>
        <w:t xml:space="preserve">la </w:t>
      </w:r>
      <w:r w:rsidR="00EA56E6" w:rsidRPr="00063D88">
        <w:rPr>
          <w:rFonts w:ascii="Garamond" w:hAnsi="Garamond"/>
          <w:b/>
          <w:bCs/>
          <w:i/>
          <w:iCs/>
          <w:sz w:val="32"/>
          <w:szCs w:val="32"/>
        </w:rPr>
        <w:t>c</w:t>
      </w:r>
      <w:r w:rsidRPr="00063D88">
        <w:rPr>
          <w:rFonts w:ascii="Garamond" w:hAnsi="Garamond"/>
          <w:b/>
          <w:bCs/>
          <w:i/>
          <w:iCs/>
          <w:sz w:val="32"/>
          <w:szCs w:val="32"/>
        </w:rPr>
        <w:t>ircolare sulle regole e raccomandazioni per la formulazione tecnica dei testi normativi</w:t>
      </w:r>
      <w:r w:rsidRPr="00063D88">
        <w:rPr>
          <w:rFonts w:ascii="Garamond" w:hAnsi="Garamond"/>
          <w:sz w:val="32"/>
          <w:szCs w:val="32"/>
        </w:rPr>
        <w:t>, emanata il 20 aprile 2001 dal Presidente della Camera</w:t>
      </w:r>
      <w:r w:rsidR="006378D6" w:rsidRPr="00063D88">
        <w:rPr>
          <w:rFonts w:ascii="Garamond" w:hAnsi="Garamond"/>
          <w:sz w:val="32"/>
          <w:szCs w:val="32"/>
        </w:rPr>
        <w:t>, che costituisce un utile parametro per tutti i profili di interesse del Comitato: coordinamento con la normativa vigente; formulazione del testo; sistema delle fonti (con specifico riguardo alla</w:t>
      </w:r>
      <w:r w:rsidR="002620C7" w:rsidRPr="00063D88">
        <w:rPr>
          <w:rFonts w:ascii="Garamond" w:hAnsi="Garamond"/>
          <w:sz w:val="32"/>
          <w:szCs w:val="32"/>
        </w:rPr>
        <w:t xml:space="preserve"> incidenza su fonti secondarie)</w:t>
      </w:r>
      <w:r w:rsidRPr="00063D88">
        <w:rPr>
          <w:rFonts w:ascii="Garamond" w:hAnsi="Garamond"/>
          <w:sz w:val="32"/>
          <w:szCs w:val="32"/>
        </w:rPr>
        <w:t>;</w:t>
      </w:r>
    </w:p>
    <w:p w:rsidR="00670EB5" w:rsidRPr="00063D88" w:rsidRDefault="00670EB5" w:rsidP="00E10E3E">
      <w:pPr>
        <w:numPr>
          <w:ilvl w:val="0"/>
          <w:numId w:val="10"/>
        </w:numPr>
        <w:tabs>
          <w:tab w:val="num" w:pos="851"/>
        </w:tabs>
        <w:spacing w:after="120"/>
        <w:rPr>
          <w:rFonts w:ascii="Garamond" w:hAnsi="Garamond"/>
          <w:sz w:val="32"/>
          <w:szCs w:val="32"/>
        </w:rPr>
      </w:pPr>
      <w:r w:rsidRPr="00063D88">
        <w:rPr>
          <w:rFonts w:ascii="Garamond" w:hAnsi="Garamond"/>
          <w:sz w:val="32"/>
          <w:szCs w:val="32"/>
        </w:rPr>
        <w:t xml:space="preserve">la </w:t>
      </w:r>
      <w:r w:rsidRPr="00063D88">
        <w:rPr>
          <w:rFonts w:ascii="Garamond" w:hAnsi="Garamond"/>
          <w:b/>
          <w:bCs/>
          <w:i/>
          <w:iCs/>
          <w:sz w:val="32"/>
          <w:szCs w:val="32"/>
        </w:rPr>
        <w:t>legge 23 agosto 1988,</w:t>
      </w:r>
      <w:r w:rsidRPr="00063D88">
        <w:rPr>
          <w:rFonts w:ascii="Garamond" w:hAnsi="Garamond"/>
          <w:b/>
          <w:i/>
          <w:sz w:val="32"/>
          <w:szCs w:val="32"/>
        </w:rPr>
        <w:t xml:space="preserve"> </w:t>
      </w:r>
      <w:r w:rsidR="00A90BCE" w:rsidRPr="00063D88">
        <w:rPr>
          <w:rFonts w:ascii="Garamond" w:hAnsi="Garamond"/>
          <w:b/>
          <w:i/>
          <w:sz w:val="32"/>
          <w:szCs w:val="32"/>
        </w:rPr>
        <w:t>n. 400,</w:t>
      </w:r>
      <w:r w:rsidR="00A90BCE" w:rsidRPr="00063D88">
        <w:rPr>
          <w:rFonts w:ascii="Garamond" w:hAnsi="Garamond"/>
          <w:sz w:val="32"/>
          <w:szCs w:val="32"/>
        </w:rPr>
        <w:t xml:space="preserve"> </w:t>
      </w:r>
      <w:r w:rsidRPr="00063D88">
        <w:rPr>
          <w:rFonts w:ascii="Garamond" w:hAnsi="Garamond"/>
          <w:sz w:val="32"/>
          <w:szCs w:val="32"/>
        </w:rPr>
        <w:t xml:space="preserve">che disciplina l’attività normativa del Governo </w:t>
      </w:r>
      <w:r w:rsidR="006378D6" w:rsidRPr="00063D88">
        <w:rPr>
          <w:rFonts w:ascii="Garamond" w:hAnsi="Garamond"/>
          <w:sz w:val="32"/>
          <w:szCs w:val="32"/>
        </w:rPr>
        <w:t xml:space="preserve">e costituisce un fondamentale parametro per quanto attiene al sistema delle fonti </w:t>
      </w:r>
      <w:r w:rsidR="00B96ACD" w:rsidRPr="00063D88">
        <w:rPr>
          <w:rFonts w:ascii="Garamond" w:hAnsi="Garamond"/>
          <w:sz w:val="32"/>
          <w:szCs w:val="32"/>
        </w:rPr>
        <w:t>(articoli 14, 15, 17 e 17-</w:t>
      </w:r>
      <w:r w:rsidR="00B96ACD" w:rsidRPr="00063D88">
        <w:rPr>
          <w:rFonts w:ascii="Garamond" w:hAnsi="Garamond"/>
          <w:i/>
          <w:sz w:val="32"/>
          <w:szCs w:val="32"/>
        </w:rPr>
        <w:t>bis</w:t>
      </w:r>
      <w:r w:rsidR="00B96ACD" w:rsidRPr="00063D88">
        <w:rPr>
          <w:rFonts w:ascii="Garamond" w:hAnsi="Garamond"/>
          <w:sz w:val="32"/>
          <w:szCs w:val="32"/>
        </w:rPr>
        <w:t xml:space="preserve">) </w:t>
      </w:r>
      <w:r w:rsidR="006378D6" w:rsidRPr="00063D88">
        <w:rPr>
          <w:rFonts w:ascii="Garamond" w:hAnsi="Garamond"/>
          <w:sz w:val="32"/>
          <w:szCs w:val="32"/>
        </w:rPr>
        <w:t>e viene talora richiamata anche con riguardo al coordinamento con la legislazione vigente e alla chiarezza dei testi normativi (articolo 13-</w:t>
      </w:r>
      <w:r w:rsidR="006378D6" w:rsidRPr="00063D88">
        <w:rPr>
          <w:rFonts w:ascii="Garamond" w:hAnsi="Garamond"/>
          <w:i/>
          <w:sz w:val="32"/>
          <w:szCs w:val="32"/>
        </w:rPr>
        <w:t>bis</w:t>
      </w:r>
      <w:r w:rsidR="006378D6" w:rsidRPr="00063D88">
        <w:rPr>
          <w:rFonts w:ascii="Garamond" w:hAnsi="Garamond"/>
          <w:sz w:val="32"/>
          <w:szCs w:val="32"/>
        </w:rPr>
        <w:t>)</w:t>
      </w:r>
      <w:r w:rsidRPr="00063D88">
        <w:rPr>
          <w:rFonts w:ascii="Garamond" w:hAnsi="Garamond"/>
          <w:sz w:val="32"/>
          <w:szCs w:val="32"/>
        </w:rPr>
        <w:t>;</w:t>
      </w:r>
    </w:p>
    <w:p w:rsidR="00670EB5" w:rsidRPr="00063D88" w:rsidRDefault="00670EB5" w:rsidP="00E10E3E">
      <w:pPr>
        <w:numPr>
          <w:ilvl w:val="0"/>
          <w:numId w:val="10"/>
        </w:numPr>
        <w:tabs>
          <w:tab w:val="num" w:pos="851"/>
        </w:tabs>
        <w:spacing w:after="120"/>
        <w:rPr>
          <w:rFonts w:ascii="Garamond" w:hAnsi="Garamond"/>
          <w:sz w:val="32"/>
          <w:szCs w:val="32"/>
        </w:rPr>
      </w:pPr>
      <w:r w:rsidRPr="00063D88">
        <w:rPr>
          <w:rFonts w:ascii="Garamond" w:hAnsi="Garamond"/>
          <w:sz w:val="32"/>
          <w:szCs w:val="32"/>
        </w:rPr>
        <w:t xml:space="preserve">la </w:t>
      </w:r>
      <w:r w:rsidR="00ED61BC" w:rsidRPr="00063D88">
        <w:rPr>
          <w:rFonts w:ascii="Garamond" w:hAnsi="Garamond"/>
          <w:b/>
          <w:i/>
          <w:sz w:val="32"/>
          <w:szCs w:val="32"/>
        </w:rPr>
        <w:t>legge</w:t>
      </w:r>
      <w:r w:rsidRPr="00063D88">
        <w:rPr>
          <w:rFonts w:ascii="Garamond" w:hAnsi="Garamond"/>
          <w:b/>
          <w:i/>
          <w:sz w:val="32"/>
          <w:szCs w:val="32"/>
        </w:rPr>
        <w:t xml:space="preserve"> 27 luglio 2000, </w:t>
      </w:r>
      <w:r w:rsidR="00A90BCE" w:rsidRPr="00063D88">
        <w:rPr>
          <w:rFonts w:ascii="Garamond" w:hAnsi="Garamond"/>
          <w:b/>
          <w:i/>
          <w:sz w:val="32"/>
          <w:szCs w:val="32"/>
        </w:rPr>
        <w:t>n. 212</w:t>
      </w:r>
      <w:r w:rsidR="00A90BCE" w:rsidRPr="00063D88">
        <w:rPr>
          <w:rFonts w:ascii="Garamond" w:hAnsi="Garamond"/>
          <w:sz w:val="32"/>
          <w:szCs w:val="32"/>
        </w:rPr>
        <w:t xml:space="preserve">, </w:t>
      </w:r>
      <w:r w:rsidR="00935D2F" w:rsidRPr="00063D88">
        <w:rPr>
          <w:rFonts w:ascii="Garamond" w:hAnsi="Garamond"/>
          <w:sz w:val="32"/>
          <w:szCs w:val="32"/>
        </w:rPr>
        <w:t>cosiddetto Statuto del c</w:t>
      </w:r>
      <w:r w:rsidRPr="00063D88">
        <w:rPr>
          <w:rFonts w:ascii="Garamond" w:hAnsi="Garamond"/>
          <w:sz w:val="32"/>
          <w:szCs w:val="32"/>
        </w:rPr>
        <w:t>ontribuente</w:t>
      </w:r>
      <w:r w:rsidR="006378D6" w:rsidRPr="00063D88">
        <w:rPr>
          <w:rFonts w:ascii="Garamond" w:hAnsi="Garamond"/>
          <w:sz w:val="32"/>
          <w:szCs w:val="32"/>
        </w:rPr>
        <w:t>, che costituisce un parametro meno utilizzato ma comunque importante per quanto attiene le disposizioni in materia tributaria, con riguardo ai temi della certezza del diritto ed alla efficacia</w:t>
      </w:r>
      <w:r w:rsidR="00B96ACD" w:rsidRPr="00063D88">
        <w:rPr>
          <w:rFonts w:ascii="Garamond" w:hAnsi="Garamond"/>
          <w:sz w:val="32"/>
          <w:szCs w:val="32"/>
        </w:rPr>
        <w:t xml:space="preserve"> retroattiva delle disposizioni.</w:t>
      </w:r>
      <w:r w:rsidRPr="00063D88">
        <w:rPr>
          <w:rFonts w:ascii="Garamond" w:hAnsi="Garamond"/>
          <w:sz w:val="32"/>
          <w:szCs w:val="32"/>
        </w:rPr>
        <w:t xml:space="preserve"> </w:t>
      </w:r>
    </w:p>
    <w:p w:rsidR="00BB134D" w:rsidRPr="00063D88" w:rsidRDefault="00BB134D" w:rsidP="00670EB5">
      <w:pPr>
        <w:ind w:firstLine="567"/>
        <w:rPr>
          <w:rFonts w:ascii="Garamond" w:hAnsi="Garamond"/>
          <w:sz w:val="32"/>
          <w:szCs w:val="32"/>
        </w:rPr>
      </w:pPr>
    </w:p>
    <w:p w:rsidR="0035401B" w:rsidRDefault="006378D6" w:rsidP="0068394A">
      <w:pPr>
        <w:rPr>
          <w:rFonts w:ascii="Garamond" w:hAnsi="Garamond"/>
          <w:sz w:val="32"/>
          <w:szCs w:val="32"/>
        </w:rPr>
      </w:pPr>
      <w:r w:rsidRPr="00063D88">
        <w:rPr>
          <w:rFonts w:ascii="Garamond" w:hAnsi="Garamond"/>
          <w:sz w:val="32"/>
          <w:szCs w:val="32"/>
        </w:rPr>
        <w:lastRenderedPageBreak/>
        <w:t>In aggiunta al rispetto d</w:t>
      </w:r>
      <w:r w:rsidR="00670EB5" w:rsidRPr="00063D88">
        <w:rPr>
          <w:rFonts w:ascii="Garamond" w:hAnsi="Garamond"/>
          <w:sz w:val="32"/>
          <w:szCs w:val="32"/>
        </w:rPr>
        <w:t xml:space="preserve">i </w:t>
      </w:r>
      <w:r w:rsidRPr="00063D88">
        <w:rPr>
          <w:rFonts w:ascii="Garamond" w:hAnsi="Garamond"/>
          <w:sz w:val="32"/>
          <w:szCs w:val="32"/>
        </w:rPr>
        <w:t xml:space="preserve">tali parametri, </w:t>
      </w:r>
      <w:r w:rsidR="00670EB5" w:rsidRPr="00063D88">
        <w:rPr>
          <w:rFonts w:ascii="Garamond" w:hAnsi="Garamond"/>
          <w:sz w:val="32"/>
          <w:szCs w:val="32"/>
        </w:rPr>
        <w:t xml:space="preserve">il Comitato guarda </w:t>
      </w:r>
      <w:r w:rsidRPr="00063D88">
        <w:rPr>
          <w:rFonts w:ascii="Garamond" w:hAnsi="Garamond"/>
          <w:sz w:val="32"/>
          <w:szCs w:val="32"/>
        </w:rPr>
        <w:t xml:space="preserve">talora al </w:t>
      </w:r>
      <w:r w:rsidR="00935D2F" w:rsidRPr="00063D88">
        <w:rPr>
          <w:rFonts w:ascii="Garamond" w:hAnsi="Garamond"/>
          <w:sz w:val="32"/>
          <w:szCs w:val="32"/>
        </w:rPr>
        <w:t>coordinamento con la normativa di rango</w:t>
      </w:r>
      <w:r w:rsidRPr="00063D88">
        <w:rPr>
          <w:rFonts w:ascii="Garamond" w:hAnsi="Garamond"/>
          <w:sz w:val="32"/>
          <w:szCs w:val="32"/>
        </w:rPr>
        <w:t xml:space="preserve"> costituzional</w:t>
      </w:r>
      <w:r w:rsidR="00935D2F" w:rsidRPr="00063D88">
        <w:rPr>
          <w:rFonts w:ascii="Garamond" w:hAnsi="Garamond"/>
          <w:sz w:val="32"/>
          <w:szCs w:val="32"/>
        </w:rPr>
        <w:t xml:space="preserve">e, </w:t>
      </w:r>
      <w:r w:rsidR="00306CDC">
        <w:rPr>
          <w:rFonts w:ascii="Garamond" w:hAnsi="Garamond"/>
          <w:sz w:val="32"/>
          <w:szCs w:val="32"/>
        </w:rPr>
        <w:t>anche con riferimento a</w:t>
      </w:r>
      <w:r w:rsidR="00935D2F" w:rsidRPr="00063D88">
        <w:rPr>
          <w:rFonts w:ascii="Garamond" w:hAnsi="Garamond"/>
          <w:sz w:val="32"/>
          <w:szCs w:val="32"/>
        </w:rPr>
        <w:t>lle riserve di legge previste in Costituzione</w:t>
      </w:r>
      <w:r w:rsidR="00670EB5" w:rsidRPr="00063D88">
        <w:rPr>
          <w:rFonts w:ascii="Garamond" w:hAnsi="Garamond"/>
          <w:sz w:val="32"/>
          <w:szCs w:val="32"/>
        </w:rPr>
        <w:t xml:space="preserve"> </w:t>
      </w:r>
      <w:r w:rsidR="00935D2F" w:rsidRPr="00063D88">
        <w:rPr>
          <w:rFonts w:ascii="Garamond" w:hAnsi="Garamond"/>
          <w:sz w:val="32"/>
          <w:szCs w:val="32"/>
        </w:rPr>
        <w:t>ed all’efficacia temporale delle leggi penali</w:t>
      </w:r>
      <w:r w:rsidR="00216387">
        <w:rPr>
          <w:rFonts w:ascii="Garamond" w:hAnsi="Garamond"/>
          <w:sz w:val="32"/>
          <w:szCs w:val="32"/>
        </w:rPr>
        <w:t xml:space="preserve"> </w:t>
      </w:r>
      <w:r w:rsidR="00216387" w:rsidRPr="00760398">
        <w:rPr>
          <w:rFonts w:ascii="Garamond" w:hAnsi="Garamond"/>
          <w:sz w:val="32"/>
          <w:szCs w:val="32"/>
        </w:rPr>
        <w:t xml:space="preserve">(cfr. il </w:t>
      </w:r>
      <w:hyperlink w:anchor="_4.10._Profili_di" w:history="1">
        <w:r w:rsidR="00216387" w:rsidRPr="00760398">
          <w:rPr>
            <w:rStyle w:val="Collegamentoipertestuale"/>
            <w:rFonts w:ascii="Garamond" w:hAnsi="Garamond"/>
            <w:sz w:val="32"/>
            <w:szCs w:val="32"/>
          </w:rPr>
          <w:t>paragrafo 4.10</w:t>
        </w:r>
      </w:hyperlink>
      <w:r w:rsidR="00216387" w:rsidRPr="00760398">
        <w:rPr>
          <w:rFonts w:ascii="Garamond" w:hAnsi="Garamond"/>
          <w:sz w:val="32"/>
          <w:szCs w:val="32"/>
        </w:rPr>
        <w:t>)</w:t>
      </w:r>
      <w:r w:rsidR="0035401B" w:rsidRPr="00760398">
        <w:rPr>
          <w:rFonts w:ascii="Garamond" w:hAnsi="Garamond"/>
          <w:sz w:val="32"/>
          <w:szCs w:val="32"/>
        </w:rPr>
        <w:t>.</w:t>
      </w:r>
      <w:r w:rsidR="0035401B" w:rsidRPr="00063D88">
        <w:rPr>
          <w:rFonts w:ascii="Garamond" w:hAnsi="Garamond"/>
          <w:sz w:val="32"/>
          <w:szCs w:val="32"/>
        </w:rPr>
        <w:t xml:space="preserve"> </w:t>
      </w:r>
    </w:p>
    <w:p w:rsidR="003064E5" w:rsidRPr="00063D88" w:rsidRDefault="00815690" w:rsidP="0068394A">
      <w:pPr>
        <w:rPr>
          <w:rFonts w:ascii="Garamond" w:hAnsi="Garamond"/>
          <w:sz w:val="32"/>
          <w:szCs w:val="32"/>
        </w:rPr>
      </w:pPr>
      <w:r>
        <w:rPr>
          <w:rFonts w:ascii="Garamond" w:hAnsi="Garamond"/>
          <w:sz w:val="32"/>
          <w:szCs w:val="32"/>
        </w:rPr>
        <w:t xml:space="preserve">In questo turno di presidenza il Comitato ha anche richiamato in più occasioni la giurisprudenza costituzionale, con specifico riguardo </w:t>
      </w:r>
      <w:r w:rsidR="00216387">
        <w:rPr>
          <w:rFonts w:ascii="Garamond" w:hAnsi="Garamond"/>
          <w:sz w:val="32"/>
          <w:szCs w:val="32"/>
        </w:rPr>
        <w:t xml:space="preserve">ai limiti di contenuto della decretazione d’urgenza e </w:t>
      </w:r>
      <w:r>
        <w:rPr>
          <w:rFonts w:ascii="Garamond" w:hAnsi="Garamond"/>
          <w:sz w:val="32"/>
          <w:szCs w:val="32"/>
        </w:rPr>
        <w:t>all’individuazione dei principi e criteri direttivi nelle disposizioni di delegazione legislativa al Governo</w:t>
      </w:r>
      <w:r w:rsidR="00216387">
        <w:rPr>
          <w:rFonts w:ascii="Garamond" w:hAnsi="Garamond"/>
          <w:sz w:val="32"/>
          <w:szCs w:val="32"/>
        </w:rPr>
        <w:t xml:space="preserve"> </w:t>
      </w:r>
      <w:r w:rsidR="00216387" w:rsidRPr="00760398">
        <w:rPr>
          <w:rFonts w:ascii="Garamond" w:hAnsi="Garamond"/>
          <w:sz w:val="32"/>
          <w:szCs w:val="32"/>
        </w:rPr>
        <w:t xml:space="preserve">(cfr. il </w:t>
      </w:r>
      <w:hyperlink w:anchor="_4.11._La_giurisprudenza" w:history="1">
        <w:r w:rsidR="00216387" w:rsidRPr="00760398">
          <w:rPr>
            <w:rStyle w:val="Collegamentoipertestuale"/>
            <w:rFonts w:ascii="Garamond" w:hAnsi="Garamond"/>
            <w:sz w:val="32"/>
            <w:szCs w:val="32"/>
          </w:rPr>
          <w:t>paragrafo 4.11</w:t>
        </w:r>
      </w:hyperlink>
      <w:r w:rsidR="00216387" w:rsidRPr="00760398">
        <w:rPr>
          <w:rFonts w:ascii="Garamond" w:hAnsi="Garamond"/>
          <w:sz w:val="32"/>
          <w:szCs w:val="32"/>
        </w:rPr>
        <w:t>)</w:t>
      </w:r>
      <w:r w:rsidRPr="00760398">
        <w:rPr>
          <w:rFonts w:ascii="Garamond" w:hAnsi="Garamond"/>
          <w:sz w:val="32"/>
          <w:szCs w:val="32"/>
        </w:rPr>
        <w:t>.</w:t>
      </w:r>
    </w:p>
    <w:p w:rsidR="0035401B" w:rsidRPr="00063D88" w:rsidRDefault="0035401B" w:rsidP="000E430F">
      <w:pPr>
        <w:ind w:firstLine="0"/>
        <w:rPr>
          <w:rFonts w:ascii="Garamond" w:hAnsi="Garamond"/>
          <w:sz w:val="32"/>
          <w:szCs w:val="32"/>
        </w:rPr>
      </w:pPr>
    </w:p>
    <w:p w:rsidR="0035401B" w:rsidRDefault="0035401B" w:rsidP="0068394A">
      <w:pPr>
        <w:rPr>
          <w:rFonts w:ascii="Garamond" w:hAnsi="Garamond"/>
          <w:sz w:val="32"/>
          <w:szCs w:val="32"/>
        </w:rPr>
      </w:pPr>
      <w:r w:rsidRPr="00063D88">
        <w:rPr>
          <w:rFonts w:ascii="Garamond" w:hAnsi="Garamond"/>
          <w:sz w:val="32"/>
          <w:szCs w:val="32"/>
        </w:rPr>
        <w:t>Non tutti i fenomeni rilevati dal Comitato rientrano però nei parametri legislativi e giurisprudenziali a sua disposizione: alcuni aspetti fondamentali della produzione normativa vengono monitorati, poiché appaiono comunque riconducibili ad un uso ordinato della legislazione. Particolarmente significativi appaiono i rilevi relativi alla stratificazione normativa ed all’intreccio tra le fonti normative (come ad esempio decreti-legge che intervengono su altri decreti-legge in corso di conversione ovvero su ambiti oggett</w:t>
      </w:r>
      <w:r w:rsidR="007F480F" w:rsidRPr="00063D88">
        <w:rPr>
          <w:rFonts w:ascii="Garamond" w:hAnsi="Garamond"/>
          <w:sz w:val="32"/>
          <w:szCs w:val="32"/>
        </w:rPr>
        <w:t>o di delega o delegificazione).</w:t>
      </w:r>
    </w:p>
    <w:p w:rsidR="005847F5" w:rsidRDefault="005847F5" w:rsidP="0068394A">
      <w:pPr>
        <w:rPr>
          <w:rFonts w:ascii="Garamond" w:hAnsi="Garamond"/>
          <w:sz w:val="32"/>
          <w:szCs w:val="32"/>
        </w:rPr>
      </w:pPr>
    </w:p>
    <w:p w:rsidR="00FA0958" w:rsidRDefault="00FA0958" w:rsidP="0068394A">
      <w:pPr>
        <w:rPr>
          <w:rFonts w:ascii="Garamond" w:hAnsi="Garamond"/>
          <w:sz w:val="32"/>
          <w:szCs w:val="32"/>
        </w:rPr>
      </w:pPr>
    </w:p>
    <w:p w:rsidR="005847F5" w:rsidRDefault="005847F5" w:rsidP="0068394A">
      <w:pPr>
        <w:rPr>
          <w:rFonts w:ascii="Garamond" w:hAnsi="Garamond"/>
          <w:sz w:val="32"/>
          <w:szCs w:val="32"/>
        </w:rPr>
        <w:sectPr w:rsidR="005847F5" w:rsidSect="00B57BA3">
          <w:pgSz w:w="11906" w:h="16838" w:code="9"/>
          <w:pgMar w:top="1985" w:right="1985" w:bottom="1985" w:left="1985" w:header="1134" w:footer="1134" w:gutter="0"/>
          <w:cols w:space="720"/>
          <w:formProt w:val="0"/>
        </w:sectPr>
      </w:pPr>
    </w:p>
    <w:p w:rsidR="00B96ACD" w:rsidRPr="00063D88" w:rsidRDefault="00B96ACD" w:rsidP="00FA0958">
      <w:pPr>
        <w:pStyle w:val="Titolo2"/>
        <w:spacing w:before="360"/>
        <w:ind w:left="709" w:hanging="709"/>
        <w:rPr>
          <w:rFonts w:ascii="Garamond" w:hAnsi="Garamond"/>
          <w:i/>
          <w:color w:val="0000FF"/>
          <w:sz w:val="40"/>
          <w:szCs w:val="40"/>
        </w:rPr>
      </w:pPr>
      <w:bookmarkStart w:id="57" w:name="_Toc342035928"/>
      <w:bookmarkStart w:id="58" w:name="_Toc439082238"/>
      <w:bookmarkStart w:id="59" w:name="_Toc439953654"/>
      <w:bookmarkStart w:id="60" w:name="_Toc440030368"/>
      <w:bookmarkStart w:id="61" w:name="_Toc337653471"/>
      <w:r w:rsidRPr="00063D88">
        <w:rPr>
          <w:rFonts w:ascii="Garamond" w:hAnsi="Garamond"/>
          <w:i/>
          <w:color w:val="0000FF"/>
          <w:sz w:val="40"/>
          <w:szCs w:val="40"/>
        </w:rPr>
        <w:lastRenderedPageBreak/>
        <w:t>4.3. Analisi tecnico-normativa (ATN) e analisi di impatto della regolamentazione (AIR)</w:t>
      </w:r>
      <w:bookmarkEnd w:id="57"/>
      <w:bookmarkEnd w:id="58"/>
      <w:bookmarkEnd w:id="59"/>
      <w:bookmarkEnd w:id="60"/>
    </w:p>
    <w:p w:rsidR="00B96ACD" w:rsidRPr="008863E7" w:rsidRDefault="00B96ACD" w:rsidP="003C5A84">
      <w:pPr>
        <w:rPr>
          <w:rFonts w:ascii="Garamond" w:hAnsi="Garamond"/>
          <w:b/>
          <w:sz w:val="32"/>
          <w:szCs w:val="32"/>
        </w:rPr>
      </w:pPr>
      <w:r w:rsidRPr="00063D88">
        <w:rPr>
          <w:rFonts w:ascii="Garamond" w:hAnsi="Garamond"/>
          <w:sz w:val="32"/>
          <w:szCs w:val="32"/>
        </w:rPr>
        <w:t xml:space="preserve">Dei </w:t>
      </w:r>
      <w:r w:rsidR="006E148C" w:rsidRPr="006E148C">
        <w:rPr>
          <w:rFonts w:ascii="Garamond" w:hAnsi="Garamond"/>
          <w:b/>
          <w:color w:val="993300"/>
          <w:sz w:val="32"/>
          <w:szCs w:val="32"/>
        </w:rPr>
        <w:t>27</w:t>
      </w:r>
      <w:r w:rsidRPr="00063D88">
        <w:rPr>
          <w:rFonts w:ascii="Garamond" w:hAnsi="Garamond"/>
          <w:sz w:val="32"/>
          <w:szCs w:val="32"/>
        </w:rPr>
        <w:t xml:space="preserve"> pareri resi dal Comitato </w:t>
      </w:r>
      <w:r w:rsidR="003D64F3">
        <w:rPr>
          <w:rFonts w:ascii="Garamond" w:hAnsi="Garamond"/>
          <w:b/>
          <w:color w:val="993300"/>
          <w:sz w:val="32"/>
          <w:szCs w:val="32"/>
        </w:rPr>
        <w:t>5</w:t>
      </w:r>
      <w:r w:rsidR="0088604C">
        <w:rPr>
          <w:rFonts w:ascii="Garamond" w:hAnsi="Garamond"/>
          <w:b/>
          <w:color w:val="993300"/>
          <w:sz w:val="32"/>
          <w:szCs w:val="32"/>
        </w:rPr>
        <w:t xml:space="preserve"> </w:t>
      </w:r>
      <w:r w:rsidRPr="00063D88">
        <w:rPr>
          <w:rFonts w:ascii="Garamond" w:hAnsi="Garamond"/>
          <w:sz w:val="32"/>
          <w:szCs w:val="32"/>
        </w:rPr>
        <w:t>riguarda</w:t>
      </w:r>
      <w:r w:rsidR="004F5142" w:rsidRPr="00063D88">
        <w:rPr>
          <w:rFonts w:ascii="Garamond" w:hAnsi="Garamond"/>
          <w:sz w:val="32"/>
          <w:szCs w:val="32"/>
        </w:rPr>
        <w:t>no</w:t>
      </w:r>
      <w:r w:rsidRPr="00063D88">
        <w:rPr>
          <w:rFonts w:ascii="Garamond" w:hAnsi="Garamond"/>
          <w:sz w:val="32"/>
          <w:szCs w:val="32"/>
        </w:rPr>
        <w:t xml:space="preserve"> </w:t>
      </w:r>
      <w:r w:rsidR="004F5142" w:rsidRPr="00063D88">
        <w:rPr>
          <w:rFonts w:ascii="Garamond" w:hAnsi="Garamond"/>
          <w:sz w:val="32"/>
          <w:szCs w:val="32"/>
        </w:rPr>
        <w:t>pro</w:t>
      </w:r>
      <w:r w:rsidR="00E7255E" w:rsidRPr="00063D88">
        <w:rPr>
          <w:rFonts w:ascii="Garamond" w:hAnsi="Garamond"/>
          <w:sz w:val="32"/>
          <w:szCs w:val="32"/>
        </w:rPr>
        <w:t xml:space="preserve">vvedimenti </w:t>
      </w:r>
      <w:r w:rsidRPr="00063D88">
        <w:rPr>
          <w:rFonts w:ascii="Garamond" w:hAnsi="Garamond"/>
          <w:sz w:val="32"/>
          <w:szCs w:val="32"/>
        </w:rPr>
        <w:t>cui non sono applicabili le disposizioni in materia di</w:t>
      </w:r>
      <w:r w:rsidRPr="00063D88">
        <w:rPr>
          <w:rFonts w:ascii="Garamond" w:hAnsi="Garamond"/>
          <w:b/>
          <w:sz w:val="32"/>
          <w:szCs w:val="32"/>
        </w:rPr>
        <w:t xml:space="preserve"> </w:t>
      </w:r>
      <w:r w:rsidRPr="00063D88">
        <w:rPr>
          <w:rFonts w:ascii="Garamond" w:hAnsi="Garamond"/>
          <w:sz w:val="32"/>
          <w:szCs w:val="32"/>
        </w:rPr>
        <w:t>analisi tecnico-normativa</w:t>
      </w:r>
      <w:r w:rsidRPr="00063D88">
        <w:rPr>
          <w:rStyle w:val="StileGrassetto"/>
          <w:rFonts w:ascii="Garamond" w:hAnsi="Garamond"/>
          <w:sz w:val="32"/>
          <w:szCs w:val="32"/>
        </w:rPr>
        <w:t xml:space="preserve"> (ATN) </w:t>
      </w:r>
      <w:r w:rsidRPr="00063D88">
        <w:rPr>
          <w:rStyle w:val="StileGrassetto"/>
          <w:rFonts w:ascii="Garamond" w:hAnsi="Garamond"/>
          <w:b w:val="0"/>
          <w:sz w:val="32"/>
          <w:szCs w:val="32"/>
        </w:rPr>
        <w:t>e di</w:t>
      </w:r>
      <w:r w:rsidRPr="00163930">
        <w:rPr>
          <w:rStyle w:val="StileGrassetto"/>
          <w:rFonts w:ascii="Garamond" w:hAnsi="Garamond"/>
          <w:b w:val="0"/>
          <w:sz w:val="32"/>
          <w:szCs w:val="32"/>
        </w:rPr>
        <w:t xml:space="preserve"> </w:t>
      </w:r>
      <w:r w:rsidRPr="00063D88">
        <w:rPr>
          <w:rFonts w:ascii="Garamond" w:hAnsi="Garamond"/>
          <w:sz w:val="32"/>
          <w:szCs w:val="32"/>
        </w:rPr>
        <w:t xml:space="preserve">analisi di impatto della regolamentazione </w:t>
      </w:r>
      <w:r w:rsidRPr="00063D88">
        <w:rPr>
          <w:rStyle w:val="StileGrassetto"/>
          <w:rFonts w:ascii="Garamond" w:hAnsi="Garamond"/>
          <w:sz w:val="32"/>
          <w:szCs w:val="32"/>
        </w:rPr>
        <w:t>(AIR)</w:t>
      </w:r>
      <w:r w:rsidR="008863E7" w:rsidRPr="008863E7">
        <w:rPr>
          <w:rStyle w:val="StileGrassetto"/>
          <w:rFonts w:ascii="Garamond" w:hAnsi="Garamond"/>
          <w:b w:val="0"/>
          <w:sz w:val="32"/>
          <w:szCs w:val="32"/>
        </w:rPr>
        <w:t>,</w:t>
      </w:r>
      <w:r w:rsidR="008863E7">
        <w:rPr>
          <w:rStyle w:val="StileGrassetto"/>
          <w:rFonts w:ascii="Garamond" w:hAnsi="Garamond"/>
          <w:sz w:val="32"/>
          <w:szCs w:val="32"/>
        </w:rPr>
        <w:t xml:space="preserve"> </w:t>
      </w:r>
      <w:r w:rsidR="008863E7" w:rsidRPr="008863E7">
        <w:rPr>
          <w:rStyle w:val="StileGrassetto"/>
          <w:rFonts w:ascii="Garamond" w:hAnsi="Garamond"/>
          <w:b w:val="0"/>
          <w:sz w:val="32"/>
          <w:szCs w:val="32"/>
        </w:rPr>
        <w:t>in quanto o di iniziativa parlamentare, o di provenienza, in prima o seconda lettura, dal Senato</w:t>
      </w:r>
      <w:r w:rsidR="007974E6" w:rsidRPr="00FA0958">
        <w:rPr>
          <w:rFonts w:ascii="Garamond" w:hAnsi="Garamond"/>
          <w:sz w:val="32"/>
          <w:szCs w:val="32"/>
        </w:rPr>
        <w:t>.</w:t>
      </w:r>
    </w:p>
    <w:p w:rsidR="00B96ACD" w:rsidRPr="00063D88" w:rsidRDefault="00B96ACD" w:rsidP="00B96ACD">
      <w:pPr>
        <w:ind w:firstLine="0"/>
        <w:rPr>
          <w:rFonts w:ascii="Garamond" w:hAnsi="Garamond"/>
          <w:bCs/>
          <w:iCs/>
          <w:sz w:val="32"/>
          <w:szCs w:val="32"/>
        </w:rPr>
      </w:pPr>
    </w:p>
    <w:p w:rsidR="00B96ACD" w:rsidRPr="00063D88" w:rsidRDefault="00F95923" w:rsidP="00B96ACD">
      <w:pPr>
        <w:rPr>
          <w:rFonts w:ascii="Garamond" w:hAnsi="Garamond"/>
          <w:sz w:val="32"/>
          <w:szCs w:val="32"/>
        </w:rPr>
      </w:pPr>
      <w:r w:rsidRPr="00063D88">
        <w:rPr>
          <w:rFonts w:ascii="Garamond" w:hAnsi="Garamond"/>
          <w:sz w:val="32"/>
          <w:szCs w:val="32"/>
        </w:rPr>
        <w:t>De</w:t>
      </w:r>
      <w:r w:rsidR="00915097" w:rsidRPr="00063D88">
        <w:rPr>
          <w:rFonts w:ascii="Garamond" w:hAnsi="Garamond"/>
          <w:sz w:val="32"/>
          <w:szCs w:val="32"/>
        </w:rPr>
        <w:t xml:space="preserve">i </w:t>
      </w:r>
      <w:r w:rsidR="008863E7">
        <w:rPr>
          <w:rFonts w:ascii="Garamond" w:hAnsi="Garamond"/>
          <w:b/>
          <w:color w:val="993300"/>
          <w:sz w:val="32"/>
          <w:szCs w:val="32"/>
        </w:rPr>
        <w:t>2</w:t>
      </w:r>
      <w:r w:rsidR="003D64F3">
        <w:rPr>
          <w:rFonts w:ascii="Garamond" w:hAnsi="Garamond"/>
          <w:b/>
          <w:color w:val="993300"/>
          <w:sz w:val="32"/>
          <w:szCs w:val="32"/>
        </w:rPr>
        <w:t>2</w:t>
      </w:r>
      <w:r w:rsidR="00B96ACD" w:rsidRPr="00063D88">
        <w:rPr>
          <w:rFonts w:ascii="Garamond" w:hAnsi="Garamond"/>
          <w:sz w:val="32"/>
          <w:szCs w:val="32"/>
        </w:rPr>
        <w:t xml:space="preserve"> provvedimenti oggetto dei pareri in cui è stata rilevata la presenza o l’assenza di AIR e ATN:</w:t>
      </w:r>
    </w:p>
    <w:p w:rsidR="00B96ACD" w:rsidRPr="00063D88" w:rsidRDefault="008863E7" w:rsidP="00B96ACD">
      <w:pPr>
        <w:spacing w:before="60"/>
        <w:ind w:firstLine="567"/>
        <w:rPr>
          <w:rStyle w:val="StileGrassetto"/>
          <w:rFonts w:ascii="Garamond" w:hAnsi="Garamond"/>
          <w:b w:val="0"/>
          <w:sz w:val="32"/>
          <w:szCs w:val="32"/>
        </w:rPr>
      </w:pPr>
      <w:r>
        <w:rPr>
          <w:rFonts w:ascii="Garamond" w:hAnsi="Garamond"/>
          <w:b/>
          <w:bCs/>
          <w:iCs/>
          <w:color w:val="993300"/>
          <w:sz w:val="32"/>
          <w:szCs w:val="32"/>
        </w:rPr>
        <w:t>1</w:t>
      </w:r>
      <w:r w:rsidR="003D64F3">
        <w:rPr>
          <w:rFonts w:ascii="Garamond" w:hAnsi="Garamond"/>
          <w:b/>
          <w:bCs/>
          <w:iCs/>
          <w:color w:val="993300"/>
          <w:sz w:val="32"/>
          <w:szCs w:val="32"/>
        </w:rPr>
        <w:t>0</w:t>
      </w:r>
      <w:r w:rsidR="00B96ACD" w:rsidRPr="00063D88">
        <w:rPr>
          <w:rFonts w:ascii="Garamond" w:hAnsi="Garamond"/>
          <w:bCs/>
          <w:iCs/>
          <w:sz w:val="32"/>
          <w:szCs w:val="32"/>
        </w:rPr>
        <w:t xml:space="preserve"> risulta</w:t>
      </w:r>
      <w:r w:rsidR="00216387">
        <w:rPr>
          <w:rFonts w:ascii="Garamond" w:hAnsi="Garamond"/>
          <w:bCs/>
          <w:iCs/>
          <w:sz w:val="32"/>
          <w:szCs w:val="32"/>
        </w:rPr>
        <w:t>no</w:t>
      </w:r>
      <w:r w:rsidR="00B96ACD" w:rsidRPr="00063D88">
        <w:rPr>
          <w:rFonts w:ascii="Garamond" w:hAnsi="Garamond"/>
          <w:bCs/>
          <w:iCs/>
          <w:sz w:val="32"/>
          <w:szCs w:val="32"/>
        </w:rPr>
        <w:t xml:space="preserve"> </w:t>
      </w:r>
      <w:r w:rsidR="00B96ACD" w:rsidRPr="00063D88">
        <w:rPr>
          <w:rStyle w:val="StileGrassetto"/>
          <w:rFonts w:ascii="Garamond" w:hAnsi="Garamond"/>
          <w:b w:val="0"/>
          <w:sz w:val="32"/>
          <w:szCs w:val="32"/>
        </w:rPr>
        <w:t>corredat</w:t>
      </w:r>
      <w:r w:rsidR="00216387">
        <w:rPr>
          <w:rStyle w:val="StileGrassetto"/>
          <w:rFonts w:ascii="Garamond" w:hAnsi="Garamond"/>
          <w:b w:val="0"/>
          <w:sz w:val="32"/>
          <w:szCs w:val="32"/>
        </w:rPr>
        <w:t>i</w:t>
      </w:r>
      <w:r w:rsidR="0088604C">
        <w:rPr>
          <w:rStyle w:val="StileGrassetto"/>
          <w:rFonts w:ascii="Garamond" w:hAnsi="Garamond"/>
          <w:b w:val="0"/>
          <w:sz w:val="32"/>
          <w:szCs w:val="32"/>
        </w:rPr>
        <w:t xml:space="preserve"> </w:t>
      </w:r>
      <w:r w:rsidR="00B96ACD" w:rsidRPr="00063D88">
        <w:rPr>
          <w:rStyle w:val="StileGrassetto"/>
          <w:rFonts w:ascii="Garamond" w:hAnsi="Garamond"/>
          <w:b w:val="0"/>
          <w:sz w:val="32"/>
          <w:szCs w:val="32"/>
        </w:rPr>
        <w:t>di AIR e di ATN;</w:t>
      </w:r>
    </w:p>
    <w:p w:rsidR="00B96ACD" w:rsidRPr="00063D88" w:rsidRDefault="003D64F3" w:rsidP="00B96ACD">
      <w:pPr>
        <w:ind w:firstLine="567"/>
        <w:rPr>
          <w:rFonts w:ascii="Garamond" w:hAnsi="Garamond"/>
          <w:b/>
          <w:bCs/>
          <w:iCs/>
          <w:sz w:val="32"/>
          <w:szCs w:val="32"/>
        </w:rPr>
      </w:pPr>
      <w:r>
        <w:rPr>
          <w:rFonts w:ascii="Garamond" w:hAnsi="Garamond"/>
          <w:b/>
          <w:bCs/>
          <w:iCs/>
          <w:color w:val="993300"/>
          <w:sz w:val="32"/>
          <w:szCs w:val="32"/>
        </w:rPr>
        <w:t>4</w:t>
      </w:r>
      <w:r w:rsidR="00B96ACD" w:rsidRPr="00063D88">
        <w:rPr>
          <w:rStyle w:val="StileGrassetto"/>
          <w:rFonts w:ascii="Garamond" w:hAnsi="Garamond"/>
          <w:sz w:val="32"/>
          <w:szCs w:val="32"/>
        </w:rPr>
        <w:t xml:space="preserve">  </w:t>
      </w:r>
      <w:r w:rsidR="00B96ACD" w:rsidRPr="00063D88">
        <w:rPr>
          <w:rFonts w:ascii="Garamond" w:hAnsi="Garamond"/>
          <w:bCs/>
          <w:iCs/>
          <w:sz w:val="32"/>
          <w:szCs w:val="32"/>
        </w:rPr>
        <w:t xml:space="preserve">risultano </w:t>
      </w:r>
      <w:r w:rsidR="00B96ACD" w:rsidRPr="00063D88">
        <w:rPr>
          <w:rStyle w:val="StileGrassetto"/>
          <w:rFonts w:ascii="Garamond" w:hAnsi="Garamond"/>
          <w:b w:val="0"/>
          <w:sz w:val="32"/>
          <w:szCs w:val="32"/>
        </w:rPr>
        <w:t>corredati della sola ATN</w:t>
      </w:r>
      <w:r w:rsidR="00B96ACD" w:rsidRPr="00063D88">
        <w:rPr>
          <w:rFonts w:ascii="Garamond" w:hAnsi="Garamond"/>
          <w:b/>
          <w:bCs/>
          <w:iCs/>
          <w:sz w:val="32"/>
          <w:szCs w:val="32"/>
        </w:rPr>
        <w:t>;</w:t>
      </w:r>
    </w:p>
    <w:p w:rsidR="00B96ACD" w:rsidRDefault="003D64F3" w:rsidP="00B96ACD">
      <w:pPr>
        <w:ind w:firstLine="567"/>
        <w:rPr>
          <w:rFonts w:ascii="Garamond" w:hAnsi="Garamond"/>
          <w:bCs/>
          <w:iCs/>
          <w:sz w:val="32"/>
          <w:szCs w:val="32"/>
        </w:rPr>
      </w:pPr>
      <w:r>
        <w:rPr>
          <w:rFonts w:ascii="Garamond" w:hAnsi="Garamond"/>
          <w:b/>
          <w:bCs/>
          <w:iCs/>
          <w:color w:val="993300"/>
          <w:sz w:val="32"/>
          <w:szCs w:val="32"/>
        </w:rPr>
        <w:t>8</w:t>
      </w:r>
      <w:r w:rsidR="00B96ACD" w:rsidRPr="00063D88">
        <w:rPr>
          <w:rFonts w:ascii="Garamond" w:hAnsi="Garamond"/>
          <w:bCs/>
          <w:iCs/>
          <w:sz w:val="32"/>
          <w:szCs w:val="32"/>
        </w:rPr>
        <w:t xml:space="preserve"> sono </w:t>
      </w:r>
      <w:r w:rsidR="00B96ACD" w:rsidRPr="00063D88">
        <w:rPr>
          <w:rStyle w:val="StileGrassetto"/>
          <w:rFonts w:ascii="Garamond" w:hAnsi="Garamond"/>
          <w:b w:val="0"/>
          <w:sz w:val="32"/>
          <w:szCs w:val="32"/>
        </w:rPr>
        <w:t>privi sia di AIR sia di ATN</w:t>
      </w:r>
      <w:r w:rsidR="00B96ACD" w:rsidRPr="00163930">
        <w:rPr>
          <w:rFonts w:ascii="Garamond" w:hAnsi="Garamond"/>
          <w:bCs/>
          <w:iCs/>
          <w:sz w:val="32"/>
          <w:szCs w:val="32"/>
        </w:rPr>
        <w:t>.</w:t>
      </w:r>
    </w:p>
    <w:p w:rsidR="001A2277" w:rsidRDefault="001A2277" w:rsidP="00B96ACD">
      <w:pPr>
        <w:ind w:firstLine="567"/>
        <w:rPr>
          <w:rFonts w:ascii="Garamond" w:hAnsi="Garamond"/>
          <w:bCs/>
          <w:iCs/>
          <w:sz w:val="32"/>
          <w:szCs w:val="32"/>
        </w:rPr>
      </w:pPr>
    </w:p>
    <w:p w:rsidR="00B96ACD" w:rsidRPr="00063D88" w:rsidRDefault="00B96ACD" w:rsidP="00B96ACD">
      <w:pPr>
        <w:ind w:firstLine="0"/>
        <w:rPr>
          <w:rFonts w:ascii="Garamond" w:hAnsi="Garamond"/>
          <w:b/>
          <w:bCs/>
          <w:iCs/>
          <w:sz w:val="32"/>
          <w:szCs w:val="32"/>
        </w:rPr>
      </w:pPr>
    </w:p>
    <w:p w:rsidR="00B96ACD" w:rsidRPr="003C5A84" w:rsidRDefault="00B96ACD" w:rsidP="003C5A84">
      <w:pPr>
        <w:rPr>
          <w:rFonts w:ascii="Garamond" w:hAnsi="Garamond"/>
          <w:i/>
          <w:sz w:val="32"/>
          <w:szCs w:val="32"/>
        </w:rPr>
      </w:pPr>
      <w:r w:rsidRPr="003C5A84">
        <w:rPr>
          <w:rFonts w:ascii="Garamond" w:hAnsi="Garamond"/>
          <w:i/>
          <w:sz w:val="32"/>
          <w:szCs w:val="32"/>
        </w:rPr>
        <w:t>L’analisi tecnico-normativa (</w:t>
      </w:r>
      <w:r w:rsidRPr="005847F5">
        <w:rPr>
          <w:rFonts w:ascii="Garamond" w:hAnsi="Garamond"/>
          <w:b/>
          <w:i/>
          <w:sz w:val="32"/>
          <w:szCs w:val="32"/>
        </w:rPr>
        <w:t>ATN</w:t>
      </w:r>
      <w:r w:rsidRPr="003C5A84">
        <w:rPr>
          <w:rFonts w:ascii="Garamond" w:hAnsi="Garamond"/>
          <w:i/>
          <w:sz w:val="32"/>
          <w:szCs w:val="32"/>
        </w:rPr>
        <w:t>) e l’analisi di impatto della regolamentazione (</w:t>
      </w:r>
      <w:r w:rsidRPr="005847F5">
        <w:rPr>
          <w:rFonts w:ascii="Garamond" w:hAnsi="Garamond"/>
          <w:b/>
          <w:i/>
          <w:sz w:val="32"/>
          <w:szCs w:val="32"/>
        </w:rPr>
        <w:t>AIR</w:t>
      </w:r>
      <w:r w:rsidRPr="003C5A84">
        <w:rPr>
          <w:rFonts w:ascii="Garamond" w:hAnsi="Garamond"/>
          <w:i/>
          <w:sz w:val="32"/>
          <w:szCs w:val="32"/>
        </w:rPr>
        <w:t xml:space="preserve">) sono disciplinate dalla </w:t>
      </w:r>
      <w:r w:rsidRPr="00EA468E">
        <w:rPr>
          <w:rFonts w:ascii="Garamond" w:hAnsi="Garamond"/>
          <w:i/>
          <w:sz w:val="32"/>
          <w:szCs w:val="32"/>
        </w:rPr>
        <w:t>direttiva del Presidente del Consiglio dei Ministri del 10 settembre 2008 e dal decreto del Presidente del Consiglio dei Ministri 11 settembre 2008, n. 170, che ne hanno dettato una nuova</w:t>
      </w:r>
      <w:r w:rsidRPr="003C5A84">
        <w:rPr>
          <w:rFonts w:ascii="Garamond" w:hAnsi="Garamond"/>
          <w:i/>
          <w:sz w:val="32"/>
          <w:szCs w:val="32"/>
        </w:rPr>
        <w:t xml:space="preserve"> disciplina a livello governativo. L’obiettivo sotteso ai due interventi è quello di rendere più efficaci le due tipologie di analisi e più cogente l’obbligo della loro effettuazione. A questo fine il regolamento dispone che “</w:t>
      </w:r>
      <w:r w:rsidRPr="003C5A84">
        <w:rPr>
          <w:rFonts w:ascii="Garamond" w:hAnsi="Garamond"/>
          <w:sz w:val="32"/>
          <w:szCs w:val="32"/>
        </w:rPr>
        <w:t>le proposte di atti normativi da sottoporre all’esame del Consiglio dei ministri non possono essere iscritte all’ordine del giorno se non sono corredate da un’adeguata relazione AIR, salvi i casi di esclusione e di esenzione, previsti dagli articoli 8 e 9</w:t>
      </w:r>
      <w:r w:rsidRPr="003C5A84">
        <w:rPr>
          <w:rFonts w:ascii="Garamond" w:hAnsi="Garamond"/>
          <w:i/>
          <w:sz w:val="32"/>
          <w:szCs w:val="32"/>
        </w:rPr>
        <w:t xml:space="preserve">”; la direttiva prevede che “la carenza o l’insufficienza dell’ATN precludano l’iscrizione del provvedimento alla riunione preparatoria del Consiglio dei Ministri e sono comunque rilevate e segnalate dal Dipartimento per gli affari giuridici e legislativi della Presidenza del Consiglio (DAGL) al Presidente del Consiglio dei Ministri, prima della discussione dello schema in Consiglio dei Ministri o, in caso di regolamento </w:t>
      </w:r>
      <w:r w:rsidRPr="003C5A84">
        <w:rPr>
          <w:rFonts w:ascii="Garamond" w:hAnsi="Garamond"/>
          <w:i/>
          <w:sz w:val="32"/>
          <w:szCs w:val="32"/>
        </w:rPr>
        <w:lastRenderedPageBreak/>
        <w:t>di cui all’art. 17, comma 3, della legge 23 agosto 1988, n. 400, prima della sua adozione”.</w:t>
      </w:r>
    </w:p>
    <w:p w:rsidR="00B96ACD" w:rsidRPr="003C5A84" w:rsidRDefault="00B96ACD" w:rsidP="003C5A84">
      <w:pPr>
        <w:rPr>
          <w:rFonts w:ascii="Garamond" w:hAnsi="Garamond"/>
          <w:i/>
          <w:sz w:val="32"/>
          <w:szCs w:val="32"/>
        </w:rPr>
      </w:pPr>
      <w:r w:rsidRPr="003C5A84">
        <w:rPr>
          <w:rFonts w:ascii="Garamond" w:hAnsi="Garamond"/>
          <w:i/>
          <w:sz w:val="32"/>
          <w:szCs w:val="32"/>
        </w:rPr>
        <w:t>La direttiva sull’analisi tecnico-normativa sostituisce la precedente direttiva, adottata nel 2000.</w:t>
      </w:r>
    </w:p>
    <w:p w:rsidR="00B96ACD" w:rsidRPr="003C5A84" w:rsidRDefault="00B96ACD" w:rsidP="003C5A84">
      <w:pPr>
        <w:rPr>
          <w:rFonts w:ascii="Garamond" w:hAnsi="Garamond"/>
          <w:i/>
          <w:sz w:val="32"/>
          <w:szCs w:val="32"/>
        </w:rPr>
      </w:pPr>
      <w:r w:rsidRPr="003C5A84">
        <w:rPr>
          <w:rFonts w:ascii="Garamond" w:hAnsi="Garamond"/>
          <w:i/>
          <w:sz w:val="32"/>
          <w:szCs w:val="32"/>
        </w:rPr>
        <w:t>Il regolamento recante disciplina attuativa dell’analisi di impatto della regolamentazione dà attuazione all’articolo 14, comma 5, della legge 28 novembre 2005, n. 246.</w:t>
      </w:r>
    </w:p>
    <w:p w:rsidR="00B96ACD" w:rsidRPr="003C5A84" w:rsidRDefault="00B96ACD" w:rsidP="003C5A84">
      <w:pPr>
        <w:rPr>
          <w:rFonts w:ascii="Garamond" w:hAnsi="Garamond"/>
          <w:i/>
          <w:sz w:val="32"/>
          <w:szCs w:val="32"/>
        </w:rPr>
      </w:pPr>
      <w:r w:rsidRPr="003C5A84">
        <w:rPr>
          <w:rFonts w:ascii="Garamond" w:hAnsi="Garamond"/>
          <w:i/>
          <w:sz w:val="32"/>
          <w:szCs w:val="32"/>
        </w:rPr>
        <w:t xml:space="preserve">Le due analisi costituiscono gli strumenti per la valutazione </w:t>
      </w:r>
      <w:r w:rsidRPr="003C5A84">
        <w:rPr>
          <w:rFonts w:ascii="Garamond" w:hAnsi="Garamond"/>
          <w:sz w:val="32"/>
          <w:szCs w:val="32"/>
        </w:rPr>
        <w:t>ex ante</w:t>
      </w:r>
      <w:r w:rsidRPr="003C5A84">
        <w:rPr>
          <w:rFonts w:ascii="Garamond" w:hAnsi="Garamond"/>
          <w:i/>
          <w:sz w:val="32"/>
          <w:szCs w:val="32"/>
        </w:rPr>
        <w:t xml:space="preserve">, cui va aggiunta, quale strumento di valutazione </w:t>
      </w:r>
      <w:r w:rsidRPr="003C5A84">
        <w:rPr>
          <w:rFonts w:ascii="Garamond" w:hAnsi="Garamond"/>
          <w:sz w:val="32"/>
          <w:szCs w:val="32"/>
        </w:rPr>
        <w:t>ex post</w:t>
      </w:r>
      <w:r w:rsidRPr="003C5A84">
        <w:rPr>
          <w:rFonts w:ascii="Garamond" w:hAnsi="Garamond"/>
          <w:i/>
          <w:sz w:val="32"/>
          <w:szCs w:val="32"/>
        </w:rPr>
        <w:t xml:space="preserve">, la verifica dell’impatto della regolamentazione (VIR), oggetto del successivo regolamento di cui al DPCM 19 novembre 2009, n. 212. </w:t>
      </w:r>
    </w:p>
    <w:p w:rsidR="00B96ACD" w:rsidRPr="003C5A84" w:rsidRDefault="00B96ACD" w:rsidP="003C5A84">
      <w:pPr>
        <w:rPr>
          <w:rFonts w:ascii="Garamond" w:hAnsi="Garamond"/>
          <w:i/>
          <w:sz w:val="32"/>
          <w:szCs w:val="32"/>
        </w:rPr>
      </w:pPr>
      <w:r w:rsidRPr="003C5A84">
        <w:rPr>
          <w:rFonts w:ascii="Garamond" w:hAnsi="Garamond"/>
          <w:i/>
          <w:sz w:val="32"/>
          <w:szCs w:val="32"/>
        </w:rPr>
        <w:t>Se AIR e VIR trovano i fondamenti della loro disciplina nell’articolo 14 della legge 28 novembre 2005, n. 246 (legge di semplificazione e riassetto normativo per l’anno 2005), l’analisi tecnico-normativa non trova nessuna definizione a livello legislativo.</w:t>
      </w:r>
    </w:p>
    <w:p w:rsidR="00B96ACD" w:rsidRPr="00063D88" w:rsidRDefault="00B96ACD" w:rsidP="00B96ACD">
      <w:pPr>
        <w:rPr>
          <w:rFonts w:ascii="Garamond" w:hAnsi="Garamond"/>
        </w:rPr>
      </w:pPr>
    </w:p>
    <w:p w:rsidR="00B96ACD" w:rsidRPr="00063D88" w:rsidRDefault="00B96ACD" w:rsidP="00B96ACD">
      <w:pPr>
        <w:ind w:firstLine="0"/>
        <w:rPr>
          <w:rFonts w:ascii="Garamond" w:hAnsi="Garamond"/>
          <w:bCs/>
          <w:iCs/>
          <w:szCs w:val="22"/>
        </w:rPr>
      </w:pPr>
    </w:p>
    <w:p w:rsidR="00B96ACD" w:rsidRPr="00EA468E" w:rsidRDefault="00AF0E3A" w:rsidP="00B96ACD">
      <w:pPr>
        <w:ind w:firstLine="142"/>
        <w:rPr>
          <w:rFonts w:ascii="Garamond" w:hAnsi="Garamond"/>
          <w:sz w:val="32"/>
          <w:szCs w:val="32"/>
        </w:rPr>
      </w:pPr>
      <w:r w:rsidRPr="00EA468E">
        <w:rPr>
          <w:rFonts w:ascii="Garamond" w:hAnsi="Garamond"/>
          <w:sz w:val="32"/>
          <w:szCs w:val="32"/>
        </w:rPr>
        <w:t>Ne</w:t>
      </w:r>
      <w:r w:rsidR="00915097" w:rsidRPr="00EA468E">
        <w:rPr>
          <w:rFonts w:ascii="Garamond" w:hAnsi="Garamond"/>
          <w:sz w:val="32"/>
          <w:szCs w:val="32"/>
        </w:rPr>
        <w:t>i</w:t>
      </w:r>
      <w:r w:rsidR="00B96ACD" w:rsidRPr="00EA468E">
        <w:rPr>
          <w:rFonts w:ascii="Garamond" w:hAnsi="Garamond"/>
          <w:sz w:val="32"/>
          <w:szCs w:val="32"/>
        </w:rPr>
        <w:t xml:space="preserve"> </w:t>
      </w:r>
      <w:r w:rsidR="008863E7">
        <w:rPr>
          <w:rFonts w:ascii="Garamond" w:hAnsi="Garamond"/>
          <w:b/>
          <w:color w:val="800000"/>
          <w:sz w:val="32"/>
          <w:szCs w:val="32"/>
        </w:rPr>
        <w:t>1</w:t>
      </w:r>
      <w:r w:rsidR="001A2277">
        <w:rPr>
          <w:rFonts w:ascii="Garamond" w:hAnsi="Garamond"/>
          <w:b/>
          <w:color w:val="800000"/>
          <w:sz w:val="32"/>
          <w:szCs w:val="32"/>
        </w:rPr>
        <w:t>2</w:t>
      </w:r>
      <w:r w:rsidR="00B96ACD" w:rsidRPr="00EA468E">
        <w:rPr>
          <w:rFonts w:ascii="Garamond" w:hAnsi="Garamond"/>
          <w:b/>
          <w:color w:val="993300"/>
          <w:sz w:val="32"/>
          <w:szCs w:val="32"/>
        </w:rPr>
        <w:t xml:space="preserve"> </w:t>
      </w:r>
      <w:r w:rsidR="00B96ACD" w:rsidRPr="00EA468E">
        <w:rPr>
          <w:rFonts w:ascii="Garamond" w:hAnsi="Garamond"/>
          <w:sz w:val="32"/>
          <w:szCs w:val="32"/>
        </w:rPr>
        <w:t>casi in cui l’</w:t>
      </w:r>
      <w:r w:rsidR="00B96ACD" w:rsidRPr="00EA468E">
        <w:rPr>
          <w:rFonts w:ascii="Garamond" w:hAnsi="Garamond"/>
          <w:b/>
          <w:sz w:val="32"/>
          <w:szCs w:val="32"/>
        </w:rPr>
        <w:t>AIR</w:t>
      </w:r>
      <w:r w:rsidR="00CE29A4">
        <w:rPr>
          <w:rFonts w:ascii="Garamond" w:hAnsi="Garamond"/>
          <w:sz w:val="32"/>
          <w:szCs w:val="32"/>
        </w:rPr>
        <w:t xml:space="preserve"> </w:t>
      </w:r>
      <w:r w:rsidR="00B96ACD" w:rsidRPr="00EA468E">
        <w:rPr>
          <w:rFonts w:ascii="Garamond" w:hAnsi="Garamond"/>
          <w:sz w:val="32"/>
          <w:szCs w:val="32"/>
        </w:rPr>
        <w:t>è assente:</w:t>
      </w:r>
    </w:p>
    <w:p w:rsidR="00B96ACD" w:rsidRPr="00EA468E" w:rsidRDefault="00B96ACD" w:rsidP="00AD5756">
      <w:pPr>
        <w:ind w:left="284" w:hanging="284"/>
        <w:rPr>
          <w:rFonts w:ascii="Garamond" w:hAnsi="Garamond"/>
          <w:sz w:val="32"/>
          <w:szCs w:val="32"/>
        </w:rPr>
      </w:pPr>
      <w:r w:rsidRPr="00EA468E">
        <w:rPr>
          <w:rFonts w:ascii="Garamond" w:hAnsi="Garamond"/>
          <w:sz w:val="32"/>
          <w:szCs w:val="32"/>
        </w:rPr>
        <w:t xml:space="preserve">♦ in </w:t>
      </w:r>
      <w:r w:rsidR="001A2277">
        <w:rPr>
          <w:rFonts w:ascii="Garamond" w:hAnsi="Garamond"/>
          <w:b/>
          <w:color w:val="993300"/>
          <w:sz w:val="32"/>
          <w:szCs w:val="32"/>
        </w:rPr>
        <w:t>9</w:t>
      </w:r>
      <w:r w:rsidRPr="00EA468E">
        <w:rPr>
          <w:rFonts w:ascii="Garamond" w:hAnsi="Garamond"/>
          <w:sz w:val="32"/>
          <w:szCs w:val="32"/>
        </w:rPr>
        <w:t xml:space="preserve"> pareri si </w:t>
      </w:r>
      <w:r w:rsidR="00D82CF1">
        <w:rPr>
          <w:rFonts w:ascii="Garamond" w:hAnsi="Garamond"/>
          <w:sz w:val="32"/>
          <w:szCs w:val="32"/>
        </w:rPr>
        <w:t>constata semplicemente</w:t>
      </w:r>
      <w:r w:rsidRPr="00EA468E">
        <w:rPr>
          <w:rFonts w:ascii="Garamond" w:hAnsi="Garamond"/>
          <w:sz w:val="32"/>
          <w:szCs w:val="32"/>
        </w:rPr>
        <w:t xml:space="preserve"> </w:t>
      </w:r>
      <w:r w:rsidR="00D82CF1">
        <w:rPr>
          <w:rFonts w:ascii="Garamond" w:hAnsi="Garamond"/>
          <w:sz w:val="32"/>
          <w:szCs w:val="32"/>
        </w:rPr>
        <w:t>l’assenza</w:t>
      </w:r>
      <w:r w:rsidR="001A2277">
        <w:rPr>
          <w:rFonts w:ascii="Garamond" w:hAnsi="Garamond"/>
          <w:sz w:val="32"/>
          <w:szCs w:val="32"/>
        </w:rPr>
        <w:t xml:space="preserve">; nel parere sul decreto-legge n. 146/2015 (C. </w:t>
      </w:r>
      <w:r w:rsidR="00AD5756">
        <w:rPr>
          <w:rFonts w:ascii="Garamond" w:hAnsi="Garamond"/>
          <w:sz w:val="32"/>
          <w:szCs w:val="32"/>
        </w:rPr>
        <w:t>3315</w:t>
      </w:r>
      <w:r w:rsidR="009F2415">
        <w:rPr>
          <w:rFonts w:ascii="Garamond" w:hAnsi="Garamond"/>
          <w:sz w:val="32"/>
          <w:szCs w:val="32"/>
        </w:rPr>
        <w:t xml:space="preserve"> – sciopero nei musei</w:t>
      </w:r>
      <w:r w:rsidR="00AD5756">
        <w:rPr>
          <w:rFonts w:ascii="Garamond" w:hAnsi="Garamond"/>
          <w:sz w:val="32"/>
          <w:szCs w:val="32"/>
        </w:rPr>
        <w:t>) si segn</w:t>
      </w:r>
      <w:r w:rsidR="001A2277">
        <w:rPr>
          <w:rFonts w:ascii="Garamond" w:hAnsi="Garamond"/>
          <w:sz w:val="32"/>
          <w:szCs w:val="32"/>
        </w:rPr>
        <w:t xml:space="preserve">ala che </w:t>
      </w:r>
      <w:r w:rsidR="00AD5756">
        <w:rPr>
          <w:rFonts w:ascii="Garamond" w:hAnsi="Garamond"/>
          <w:sz w:val="32"/>
          <w:szCs w:val="32"/>
        </w:rPr>
        <w:t>“</w:t>
      </w:r>
      <w:r w:rsidR="001A2277" w:rsidRPr="001A2277">
        <w:rPr>
          <w:rFonts w:ascii="Garamond" w:hAnsi="Garamond"/>
          <w:sz w:val="32"/>
          <w:szCs w:val="32"/>
        </w:rPr>
        <w:t>La relazione illustrativa, conformemente al disposto dell’articolo 9, comma 3, del regolamento di cui al decreto del presidente del Consiglio dei ministri 11 settembre 2008, n. 170, indica sinteticamente la necessità ed i previsti effetti dell’intervento normativo</w:t>
      </w:r>
      <w:r w:rsidR="00AD5756">
        <w:rPr>
          <w:rFonts w:ascii="Garamond" w:hAnsi="Garamond"/>
          <w:sz w:val="32"/>
          <w:szCs w:val="32"/>
        </w:rPr>
        <w:t>, peraltro circoscritto”</w:t>
      </w:r>
      <w:r w:rsidRPr="00EA468E">
        <w:rPr>
          <w:rFonts w:ascii="Garamond" w:hAnsi="Garamond"/>
          <w:sz w:val="32"/>
          <w:szCs w:val="32"/>
        </w:rPr>
        <w:t>;</w:t>
      </w:r>
    </w:p>
    <w:p w:rsidR="00FA0958" w:rsidRDefault="00B96ACD" w:rsidP="003C5A84">
      <w:pPr>
        <w:ind w:left="284" w:hanging="284"/>
        <w:rPr>
          <w:rFonts w:ascii="Garamond" w:hAnsi="Garamond"/>
          <w:sz w:val="32"/>
          <w:szCs w:val="32"/>
          <w:shd w:val="clear" w:color="auto" w:fill="FFFFFF"/>
        </w:rPr>
      </w:pPr>
      <w:r w:rsidRPr="00EA468E">
        <w:rPr>
          <w:rFonts w:ascii="Garamond" w:hAnsi="Garamond"/>
          <w:sz w:val="32"/>
          <w:szCs w:val="32"/>
        </w:rPr>
        <w:t xml:space="preserve">♦ in </w:t>
      </w:r>
      <w:r w:rsidR="001A2277">
        <w:rPr>
          <w:rFonts w:ascii="Garamond" w:hAnsi="Garamond"/>
          <w:b/>
          <w:color w:val="993300"/>
          <w:sz w:val="32"/>
          <w:szCs w:val="32"/>
        </w:rPr>
        <w:t>3</w:t>
      </w:r>
      <w:r w:rsidRPr="00EA468E">
        <w:rPr>
          <w:rFonts w:ascii="Garamond" w:hAnsi="Garamond"/>
          <w:sz w:val="32"/>
          <w:szCs w:val="32"/>
        </w:rPr>
        <w:t xml:space="preserve"> pareri si segnala che </w:t>
      </w:r>
      <w:r w:rsidR="00FF09C8" w:rsidRPr="00EA468E">
        <w:rPr>
          <w:rFonts w:ascii="Garamond" w:hAnsi="Garamond"/>
          <w:sz w:val="32"/>
          <w:szCs w:val="32"/>
        </w:rPr>
        <w:t xml:space="preserve">la dichiarazione di esenzione dall’obbligo di redigere l’AIR è allegata al provvedimento ovvero che si dà conto dell’esenzione stessa </w:t>
      </w:r>
      <w:r w:rsidRPr="00EA468E">
        <w:rPr>
          <w:rFonts w:ascii="Garamond" w:hAnsi="Garamond"/>
          <w:sz w:val="32"/>
          <w:szCs w:val="32"/>
        </w:rPr>
        <w:t>nella relazione di accompagnamento</w:t>
      </w:r>
      <w:r w:rsidR="00EA468E">
        <w:rPr>
          <w:rFonts w:ascii="Garamond" w:hAnsi="Garamond"/>
          <w:sz w:val="32"/>
          <w:szCs w:val="32"/>
        </w:rPr>
        <w:t>.</w:t>
      </w:r>
      <w:r w:rsidR="00216387">
        <w:rPr>
          <w:rFonts w:ascii="Garamond" w:hAnsi="Garamond"/>
          <w:sz w:val="32"/>
          <w:szCs w:val="32"/>
        </w:rPr>
        <w:t xml:space="preserve"> </w:t>
      </w:r>
    </w:p>
    <w:p w:rsidR="00FA0958" w:rsidRDefault="00FA0958" w:rsidP="003C5A84">
      <w:pPr>
        <w:ind w:left="284" w:hanging="284"/>
        <w:rPr>
          <w:rFonts w:ascii="Garamond" w:hAnsi="Garamond"/>
          <w:sz w:val="32"/>
          <w:szCs w:val="32"/>
        </w:rPr>
      </w:pPr>
    </w:p>
    <w:p w:rsidR="005847F5" w:rsidRDefault="005847F5" w:rsidP="003C5A84">
      <w:pPr>
        <w:ind w:left="284" w:hanging="284"/>
        <w:rPr>
          <w:rFonts w:ascii="Garamond" w:hAnsi="Garamond"/>
          <w:i/>
          <w:sz w:val="32"/>
          <w:szCs w:val="32"/>
          <w:highlight w:val="magenta"/>
        </w:rPr>
        <w:sectPr w:rsidR="005847F5" w:rsidSect="00B57BA3">
          <w:pgSz w:w="11906" w:h="16838" w:code="9"/>
          <w:pgMar w:top="1985" w:right="1985" w:bottom="1985" w:left="1985" w:header="1134" w:footer="1134" w:gutter="0"/>
          <w:cols w:space="720"/>
          <w:formProt w:val="0"/>
        </w:sectPr>
      </w:pPr>
    </w:p>
    <w:p w:rsidR="00670EB5" w:rsidRPr="00063D88" w:rsidRDefault="00EC4792" w:rsidP="00FA0958">
      <w:pPr>
        <w:pStyle w:val="Titolo2"/>
        <w:spacing w:before="360"/>
        <w:ind w:left="0" w:firstLine="0"/>
        <w:rPr>
          <w:rFonts w:ascii="Garamond" w:hAnsi="Garamond"/>
          <w:i/>
          <w:color w:val="0000FF"/>
          <w:sz w:val="40"/>
          <w:szCs w:val="40"/>
        </w:rPr>
      </w:pPr>
      <w:bookmarkStart w:id="62" w:name="_Toc342035929"/>
      <w:bookmarkStart w:id="63" w:name="_Toc439082239"/>
      <w:bookmarkStart w:id="64" w:name="_Toc439953655"/>
      <w:bookmarkStart w:id="65" w:name="_Toc440030369"/>
      <w:r w:rsidRPr="00063D88">
        <w:rPr>
          <w:rFonts w:ascii="Garamond" w:hAnsi="Garamond"/>
          <w:i/>
          <w:color w:val="0000FF"/>
          <w:sz w:val="40"/>
          <w:szCs w:val="40"/>
        </w:rPr>
        <w:lastRenderedPageBreak/>
        <w:t>4</w:t>
      </w:r>
      <w:r w:rsidR="00670EB5" w:rsidRPr="00063D88">
        <w:rPr>
          <w:rFonts w:ascii="Garamond" w:hAnsi="Garamond"/>
          <w:i/>
          <w:color w:val="0000FF"/>
          <w:sz w:val="40"/>
          <w:szCs w:val="40"/>
        </w:rPr>
        <w:t>.</w:t>
      </w:r>
      <w:r w:rsidR="00B96ACD" w:rsidRPr="00063D88">
        <w:rPr>
          <w:rFonts w:ascii="Garamond" w:hAnsi="Garamond"/>
          <w:i/>
          <w:color w:val="0000FF"/>
          <w:sz w:val="40"/>
          <w:szCs w:val="40"/>
        </w:rPr>
        <w:t>4</w:t>
      </w:r>
      <w:r w:rsidR="00762C39">
        <w:rPr>
          <w:rFonts w:ascii="Garamond" w:hAnsi="Garamond"/>
          <w:i/>
          <w:color w:val="0000FF"/>
          <w:sz w:val="40"/>
          <w:szCs w:val="40"/>
        </w:rPr>
        <w:t xml:space="preserve">. Profili </w:t>
      </w:r>
      <w:r w:rsidR="007F480F" w:rsidRPr="00063D88">
        <w:rPr>
          <w:rFonts w:ascii="Garamond" w:hAnsi="Garamond"/>
          <w:i/>
          <w:color w:val="0000FF"/>
          <w:sz w:val="40"/>
          <w:szCs w:val="40"/>
        </w:rPr>
        <w:t xml:space="preserve">di </w:t>
      </w:r>
      <w:r w:rsidR="00670EB5" w:rsidRPr="00063D88">
        <w:rPr>
          <w:rFonts w:ascii="Garamond" w:hAnsi="Garamond"/>
          <w:i/>
          <w:color w:val="0000FF"/>
          <w:sz w:val="40"/>
          <w:szCs w:val="40"/>
        </w:rPr>
        <w:t>formulazione tecnica dei testi normativi</w:t>
      </w:r>
      <w:bookmarkEnd w:id="61"/>
      <w:bookmarkEnd w:id="62"/>
      <w:bookmarkEnd w:id="63"/>
      <w:bookmarkEnd w:id="64"/>
      <w:bookmarkEnd w:id="65"/>
    </w:p>
    <w:p w:rsidR="00CA7AB6" w:rsidRPr="007B3B85" w:rsidRDefault="00CA7AB6" w:rsidP="006E4713">
      <w:pPr>
        <w:pStyle w:val="Titolo2"/>
        <w:rPr>
          <w:rFonts w:ascii="Garamond" w:hAnsi="Garamond"/>
          <w:i/>
          <w:iCs/>
          <w:color w:val="0000FF"/>
          <w:sz w:val="28"/>
          <w:szCs w:val="28"/>
        </w:rPr>
      </w:pPr>
      <w:bookmarkStart w:id="66" w:name="_Toc439082240"/>
      <w:bookmarkStart w:id="67" w:name="_Toc439953656"/>
      <w:bookmarkStart w:id="68" w:name="_Toc440030370"/>
      <w:r w:rsidRPr="007B3B85">
        <w:rPr>
          <w:rFonts w:ascii="Garamond" w:hAnsi="Garamond"/>
          <w:i/>
          <w:iCs/>
          <w:color w:val="0000FF"/>
          <w:sz w:val="28"/>
          <w:szCs w:val="28"/>
        </w:rPr>
        <w:t xml:space="preserve">4.4.1. </w:t>
      </w:r>
      <w:r w:rsidR="00594D41">
        <w:rPr>
          <w:rFonts w:ascii="Garamond" w:hAnsi="Garamond"/>
          <w:i/>
          <w:iCs/>
          <w:color w:val="0000FF"/>
          <w:sz w:val="28"/>
          <w:szCs w:val="28"/>
        </w:rPr>
        <w:t>Considerazioni generali</w:t>
      </w:r>
      <w:bookmarkEnd w:id="66"/>
      <w:bookmarkEnd w:id="67"/>
      <w:bookmarkEnd w:id="68"/>
    </w:p>
    <w:p w:rsidR="00DC7F6D" w:rsidRDefault="00DC7F6D" w:rsidP="00BB539E">
      <w:pPr>
        <w:rPr>
          <w:rFonts w:ascii="Garamond" w:hAnsi="Garamond"/>
          <w:sz w:val="32"/>
          <w:szCs w:val="32"/>
        </w:rPr>
      </w:pPr>
      <w:r>
        <w:rPr>
          <w:rFonts w:ascii="Garamond" w:hAnsi="Garamond"/>
          <w:sz w:val="32"/>
          <w:szCs w:val="32"/>
        </w:rPr>
        <w:t xml:space="preserve">Il Comitato, per la legislazione, negli ultimi anni, si è interessato anche ad aspetti </w:t>
      </w:r>
      <w:r w:rsidR="00515AA7">
        <w:rPr>
          <w:rFonts w:ascii="Garamond" w:hAnsi="Garamond"/>
          <w:sz w:val="32"/>
          <w:szCs w:val="32"/>
        </w:rPr>
        <w:t>ulterior</w:t>
      </w:r>
      <w:r>
        <w:rPr>
          <w:rFonts w:ascii="Garamond" w:hAnsi="Garamond"/>
          <w:sz w:val="32"/>
          <w:szCs w:val="32"/>
        </w:rPr>
        <w:t>i rispetto a quelli espressamente trattati nella circolare sulla formulazione tecnica dei testi legislativi</w:t>
      </w:r>
      <w:r w:rsidR="00E40005">
        <w:rPr>
          <w:rFonts w:ascii="Garamond" w:hAnsi="Garamond"/>
          <w:sz w:val="32"/>
          <w:szCs w:val="32"/>
        </w:rPr>
        <w:t>;</w:t>
      </w:r>
      <w:r>
        <w:rPr>
          <w:rFonts w:ascii="Garamond" w:hAnsi="Garamond"/>
          <w:sz w:val="32"/>
          <w:szCs w:val="32"/>
        </w:rPr>
        <w:t xml:space="preserve"> in particolare, ha prestato attenzione ai seguenti fenomeni:</w:t>
      </w:r>
    </w:p>
    <w:p w:rsidR="00DC7F6D" w:rsidRDefault="00DC7F6D" w:rsidP="00DC7F6D">
      <w:pPr>
        <w:rPr>
          <w:rFonts w:ascii="Garamond" w:hAnsi="Garamond"/>
          <w:sz w:val="32"/>
          <w:szCs w:val="32"/>
        </w:rPr>
      </w:pPr>
      <w:r w:rsidRPr="00063D88">
        <w:rPr>
          <w:rFonts w:ascii="Garamond" w:hAnsi="Garamond" w:cs="Arial"/>
          <w:sz w:val="32"/>
          <w:szCs w:val="32"/>
        </w:rPr>
        <w:t>♦</w:t>
      </w:r>
      <w:r>
        <w:rPr>
          <w:rFonts w:ascii="Garamond" w:hAnsi="Garamond"/>
          <w:sz w:val="32"/>
          <w:szCs w:val="32"/>
        </w:rPr>
        <w:t xml:space="preserve"> stratificazione normativa e</w:t>
      </w:r>
      <w:r w:rsidRPr="00DB5C99">
        <w:rPr>
          <w:rFonts w:ascii="Garamond" w:hAnsi="Garamond"/>
          <w:sz w:val="32"/>
          <w:szCs w:val="32"/>
        </w:rPr>
        <w:t xml:space="preserve"> </w:t>
      </w:r>
      <w:r>
        <w:rPr>
          <w:rFonts w:ascii="Garamond" w:hAnsi="Garamond"/>
          <w:sz w:val="32"/>
          <w:szCs w:val="32"/>
        </w:rPr>
        <w:t>modifica di norme di recente approvazione;</w:t>
      </w:r>
    </w:p>
    <w:p w:rsidR="00DC7F6D" w:rsidRDefault="00DC7F6D" w:rsidP="00DC7F6D">
      <w:pPr>
        <w:rPr>
          <w:rFonts w:ascii="Garamond" w:hAnsi="Garamond"/>
          <w:sz w:val="32"/>
          <w:szCs w:val="32"/>
        </w:rPr>
      </w:pPr>
      <w:r w:rsidRPr="00063D88">
        <w:rPr>
          <w:rFonts w:ascii="Garamond" w:hAnsi="Garamond" w:cs="Arial"/>
          <w:sz w:val="32"/>
          <w:szCs w:val="32"/>
        </w:rPr>
        <w:t>♦</w:t>
      </w:r>
      <w:r>
        <w:rPr>
          <w:rFonts w:ascii="Garamond" w:hAnsi="Garamond" w:cs="Arial"/>
          <w:sz w:val="32"/>
          <w:szCs w:val="32"/>
        </w:rPr>
        <w:t xml:space="preserve"> </w:t>
      </w:r>
      <w:r>
        <w:rPr>
          <w:rFonts w:ascii="Garamond" w:hAnsi="Garamond"/>
          <w:sz w:val="32"/>
          <w:szCs w:val="32"/>
        </w:rPr>
        <w:t>presenza di disposizioni transitorie, speciali o temporanee;</w:t>
      </w:r>
    </w:p>
    <w:p w:rsidR="00DC7F6D" w:rsidRDefault="00DC7F6D" w:rsidP="00DC7F6D">
      <w:pPr>
        <w:rPr>
          <w:rFonts w:ascii="Garamond" w:hAnsi="Garamond"/>
          <w:sz w:val="32"/>
          <w:szCs w:val="32"/>
        </w:rPr>
      </w:pPr>
      <w:r w:rsidRPr="00063D88">
        <w:rPr>
          <w:rFonts w:ascii="Garamond" w:hAnsi="Garamond" w:cs="Arial"/>
          <w:sz w:val="32"/>
          <w:szCs w:val="32"/>
        </w:rPr>
        <w:t>♦</w:t>
      </w:r>
      <w:r>
        <w:rPr>
          <w:rFonts w:ascii="Garamond" w:hAnsi="Garamond"/>
          <w:sz w:val="32"/>
          <w:szCs w:val="32"/>
        </w:rPr>
        <w:t xml:space="preserve"> presenza di disposizioni meramente descrittive, ricognitive o programmatiche.</w:t>
      </w:r>
    </w:p>
    <w:p w:rsidR="00DC7F6D" w:rsidRDefault="00DC7F6D" w:rsidP="00DC7F6D">
      <w:pPr>
        <w:rPr>
          <w:rFonts w:ascii="Garamond" w:hAnsi="Garamond"/>
          <w:sz w:val="32"/>
          <w:szCs w:val="32"/>
        </w:rPr>
      </w:pPr>
      <w:r>
        <w:rPr>
          <w:rFonts w:ascii="Garamond" w:hAnsi="Garamond"/>
          <w:sz w:val="32"/>
          <w:szCs w:val="32"/>
        </w:rPr>
        <w:t xml:space="preserve">Sono aspetti spesso molto contigui a quelli trattati nella circolare: per esempio, le disposizioni transitorie, speciali o temporanee delineano in genere regimi derogatori. </w:t>
      </w:r>
    </w:p>
    <w:p w:rsidR="00670EB5" w:rsidRDefault="00DC7F6D" w:rsidP="00BB539E">
      <w:pPr>
        <w:rPr>
          <w:rFonts w:ascii="Garamond" w:hAnsi="Garamond"/>
          <w:sz w:val="32"/>
          <w:szCs w:val="32"/>
        </w:rPr>
      </w:pPr>
      <w:r>
        <w:rPr>
          <w:rFonts w:ascii="Garamond" w:hAnsi="Garamond"/>
          <w:sz w:val="32"/>
          <w:szCs w:val="32"/>
        </w:rPr>
        <w:t xml:space="preserve">Il quadro complessivo emerge dalla seguente tabella, ove su sfondo giallo sono indicati i profili specificamente trattati nella circolare: </w:t>
      </w:r>
      <w:r w:rsidR="00E40005">
        <w:rPr>
          <w:rFonts w:ascii="Garamond" w:hAnsi="Garamond"/>
          <w:sz w:val="32"/>
          <w:szCs w:val="32"/>
        </w:rPr>
        <w:t>d</w:t>
      </w:r>
      <w:r w:rsidR="00670EB5" w:rsidRPr="00063D88">
        <w:rPr>
          <w:rFonts w:ascii="Garamond" w:hAnsi="Garamond"/>
          <w:sz w:val="32"/>
          <w:szCs w:val="32"/>
        </w:rPr>
        <w:t xml:space="preserve">ei </w:t>
      </w:r>
      <w:r w:rsidR="009F2415">
        <w:rPr>
          <w:rFonts w:ascii="Garamond" w:hAnsi="Garamond"/>
          <w:b/>
          <w:color w:val="800000"/>
          <w:sz w:val="32"/>
          <w:szCs w:val="32"/>
        </w:rPr>
        <w:t>27</w:t>
      </w:r>
      <w:r w:rsidR="00670EB5" w:rsidRPr="00063D88">
        <w:rPr>
          <w:rFonts w:ascii="Garamond" w:hAnsi="Garamond"/>
          <w:b/>
          <w:color w:val="FF0000"/>
          <w:sz w:val="32"/>
          <w:szCs w:val="32"/>
        </w:rPr>
        <w:t xml:space="preserve"> </w:t>
      </w:r>
      <w:r w:rsidR="00670EB5" w:rsidRPr="00063D88">
        <w:rPr>
          <w:rFonts w:ascii="Garamond" w:hAnsi="Garamond"/>
          <w:sz w:val="32"/>
          <w:szCs w:val="32"/>
        </w:rPr>
        <w:t xml:space="preserve">pareri espressi dal Comitato nel periodo di riferimento </w:t>
      </w:r>
      <w:r w:rsidR="009F2415">
        <w:rPr>
          <w:rFonts w:ascii="Garamond" w:hAnsi="Garamond"/>
          <w:b/>
          <w:bCs/>
          <w:color w:val="800000"/>
          <w:sz w:val="32"/>
          <w:szCs w:val="32"/>
        </w:rPr>
        <w:t>2</w:t>
      </w:r>
      <w:r w:rsidR="00E40005">
        <w:rPr>
          <w:rFonts w:ascii="Garamond" w:hAnsi="Garamond"/>
          <w:b/>
          <w:bCs/>
          <w:color w:val="800000"/>
          <w:sz w:val="32"/>
          <w:szCs w:val="32"/>
        </w:rPr>
        <w:t>4</w:t>
      </w:r>
      <w:r w:rsidR="006378D6" w:rsidRPr="00063D88">
        <w:rPr>
          <w:rFonts w:ascii="Garamond" w:hAnsi="Garamond"/>
          <w:b/>
          <w:bCs/>
          <w:color w:val="800000"/>
          <w:sz w:val="32"/>
          <w:szCs w:val="32"/>
        </w:rPr>
        <w:t xml:space="preserve"> </w:t>
      </w:r>
      <w:r w:rsidR="00762C39">
        <w:rPr>
          <w:rFonts w:ascii="Garamond" w:hAnsi="Garamond"/>
          <w:sz w:val="32"/>
          <w:szCs w:val="32"/>
        </w:rPr>
        <w:t>si riferisc</w:t>
      </w:r>
      <w:r w:rsidR="00670EB5" w:rsidRPr="00063D88">
        <w:rPr>
          <w:rFonts w:ascii="Garamond" w:hAnsi="Garamond"/>
          <w:sz w:val="32"/>
          <w:szCs w:val="32"/>
        </w:rPr>
        <w:t xml:space="preserve">ono </w:t>
      </w:r>
      <w:r w:rsidR="00762C39">
        <w:rPr>
          <w:rFonts w:ascii="Garamond" w:hAnsi="Garamond"/>
          <w:sz w:val="32"/>
          <w:szCs w:val="32"/>
        </w:rPr>
        <w:t xml:space="preserve">a profili </w:t>
      </w:r>
      <w:r w:rsidR="00E40005">
        <w:rPr>
          <w:rFonts w:ascii="Garamond" w:hAnsi="Garamond"/>
          <w:sz w:val="32"/>
          <w:szCs w:val="32"/>
        </w:rPr>
        <w:t>di formulazione tecnica dei testi</w:t>
      </w:r>
      <w:r w:rsidR="00762C39">
        <w:rPr>
          <w:rFonts w:ascii="Garamond" w:hAnsi="Garamond"/>
          <w:sz w:val="32"/>
          <w:szCs w:val="32"/>
        </w:rPr>
        <w:t>.</w:t>
      </w:r>
      <w:r w:rsidR="00670EB5" w:rsidRPr="00063D88">
        <w:rPr>
          <w:rFonts w:ascii="Garamond" w:hAnsi="Garamond"/>
          <w:sz w:val="32"/>
          <w:szCs w:val="32"/>
        </w:rPr>
        <w:t xml:space="preserve"> </w:t>
      </w:r>
    </w:p>
    <w:p w:rsidR="00762C39" w:rsidRPr="00063D88" w:rsidRDefault="00762C39" w:rsidP="00BB539E">
      <w:pPr>
        <w:rPr>
          <w:rFonts w:ascii="Garamond" w:hAnsi="Garamond"/>
          <w:sz w:val="32"/>
          <w:szCs w:val="32"/>
        </w:rPr>
      </w:pPr>
    </w:p>
    <w:tbl>
      <w:tblPr>
        <w:tblW w:w="5000" w:type="pct"/>
        <w:jc w:val="center"/>
        <w:tblCellMar>
          <w:left w:w="70" w:type="dxa"/>
          <w:right w:w="70" w:type="dxa"/>
        </w:tblCellMar>
        <w:tblLook w:val="0000" w:firstRow="0" w:lastRow="0" w:firstColumn="0" w:lastColumn="0" w:noHBand="0" w:noVBand="0"/>
      </w:tblPr>
      <w:tblGrid>
        <w:gridCol w:w="5144"/>
        <w:gridCol w:w="2932"/>
      </w:tblGrid>
      <w:tr w:rsidR="00D640E8" w:rsidRPr="00D640E8" w:rsidTr="00976D09">
        <w:trPr>
          <w:trHeight w:val="945"/>
          <w:jc w:val="center"/>
        </w:trPr>
        <w:tc>
          <w:tcPr>
            <w:tcW w:w="3185" w:type="pct"/>
            <w:tcBorders>
              <w:top w:val="single" w:sz="8" w:space="0" w:color="auto"/>
              <w:left w:val="single" w:sz="8" w:space="0" w:color="auto"/>
              <w:bottom w:val="single" w:sz="4" w:space="0" w:color="auto"/>
              <w:right w:val="nil"/>
            </w:tcBorders>
            <w:shd w:val="clear" w:color="auto" w:fill="99CCFF"/>
            <w:vAlign w:val="center"/>
          </w:tcPr>
          <w:p w:rsidR="00D640E8" w:rsidRPr="00EB32FF" w:rsidRDefault="00D640E8" w:rsidP="001266E3">
            <w:pPr>
              <w:keepNext/>
              <w:spacing w:line="240" w:lineRule="auto"/>
              <w:ind w:firstLine="0"/>
              <w:jc w:val="left"/>
              <w:rPr>
                <w:rFonts w:ascii="Garamond" w:hAnsi="Garamond" w:cs="Arial"/>
                <w:b/>
                <w:bCs/>
                <w:color w:val="0000FF"/>
                <w:sz w:val="32"/>
                <w:szCs w:val="32"/>
              </w:rPr>
            </w:pPr>
            <w:r w:rsidRPr="00EB32FF">
              <w:rPr>
                <w:rFonts w:ascii="Garamond" w:hAnsi="Garamond" w:cs="Arial"/>
                <w:b/>
                <w:bCs/>
                <w:color w:val="0000FF"/>
                <w:sz w:val="32"/>
                <w:szCs w:val="32"/>
              </w:rPr>
              <w:lastRenderedPageBreak/>
              <w:t xml:space="preserve">Pareri </w:t>
            </w:r>
            <w:r w:rsidR="004F52AA">
              <w:rPr>
                <w:rFonts w:ascii="Garamond" w:hAnsi="Garamond" w:cs="Arial"/>
                <w:b/>
                <w:bCs/>
                <w:color w:val="0000FF"/>
                <w:sz w:val="32"/>
                <w:szCs w:val="32"/>
              </w:rPr>
              <w:t xml:space="preserve">riguardanti </w:t>
            </w:r>
            <w:r w:rsidR="001266E3">
              <w:rPr>
                <w:rFonts w:ascii="Garamond" w:hAnsi="Garamond" w:cs="Arial"/>
                <w:b/>
                <w:bCs/>
                <w:color w:val="0000FF"/>
                <w:sz w:val="32"/>
                <w:szCs w:val="32"/>
              </w:rPr>
              <w:t>profili di formulazione tecnica dei testi legislativi</w:t>
            </w:r>
          </w:p>
        </w:tc>
        <w:tc>
          <w:tcPr>
            <w:tcW w:w="1815" w:type="pct"/>
            <w:tcBorders>
              <w:top w:val="single" w:sz="8" w:space="0" w:color="auto"/>
              <w:left w:val="single" w:sz="4" w:space="0" w:color="auto"/>
              <w:bottom w:val="single" w:sz="4" w:space="0" w:color="auto"/>
              <w:right w:val="single" w:sz="8" w:space="0" w:color="000000"/>
            </w:tcBorders>
            <w:shd w:val="clear" w:color="auto" w:fill="99CCFF"/>
            <w:vAlign w:val="center"/>
          </w:tcPr>
          <w:p w:rsidR="00D640E8" w:rsidRPr="00EB32FF" w:rsidRDefault="001266E3" w:rsidP="009F2415">
            <w:pPr>
              <w:keepNext/>
              <w:spacing w:line="240" w:lineRule="auto"/>
              <w:ind w:firstLine="0"/>
              <w:jc w:val="center"/>
              <w:rPr>
                <w:rFonts w:ascii="Garamond" w:hAnsi="Garamond" w:cs="Arial"/>
                <w:b/>
                <w:bCs/>
                <w:color w:val="0000FF"/>
                <w:sz w:val="32"/>
                <w:szCs w:val="32"/>
              </w:rPr>
            </w:pPr>
            <w:r>
              <w:rPr>
                <w:rFonts w:ascii="Garamond" w:hAnsi="Garamond" w:cs="Arial"/>
                <w:b/>
                <w:bCs/>
                <w:color w:val="0000FF"/>
                <w:sz w:val="32"/>
                <w:szCs w:val="32"/>
              </w:rPr>
              <w:t>24</w:t>
            </w:r>
            <w:r w:rsidR="00D640E8" w:rsidRPr="00EB32FF">
              <w:rPr>
                <w:rFonts w:ascii="Garamond" w:hAnsi="Garamond" w:cs="Arial"/>
                <w:b/>
                <w:bCs/>
                <w:color w:val="0000FF"/>
                <w:sz w:val="32"/>
                <w:szCs w:val="32"/>
              </w:rPr>
              <w:t xml:space="preserve"> su </w:t>
            </w:r>
            <w:r w:rsidR="009F2415">
              <w:rPr>
                <w:rFonts w:ascii="Garamond" w:hAnsi="Garamond" w:cs="Arial"/>
                <w:b/>
                <w:bCs/>
                <w:color w:val="0000FF"/>
                <w:sz w:val="32"/>
                <w:szCs w:val="32"/>
              </w:rPr>
              <w:t>27</w:t>
            </w:r>
          </w:p>
        </w:tc>
      </w:tr>
      <w:tr w:rsidR="009F2415" w:rsidRPr="00D640E8" w:rsidTr="00976D09">
        <w:trPr>
          <w:trHeight w:val="594"/>
          <w:jc w:val="center"/>
        </w:trPr>
        <w:tc>
          <w:tcPr>
            <w:tcW w:w="3185" w:type="pct"/>
            <w:tcBorders>
              <w:top w:val="single" w:sz="4" w:space="0" w:color="auto"/>
              <w:left w:val="single" w:sz="8" w:space="0" w:color="auto"/>
              <w:bottom w:val="single" w:sz="2" w:space="0" w:color="auto"/>
              <w:right w:val="single" w:sz="4" w:space="0" w:color="auto"/>
            </w:tcBorders>
            <w:shd w:val="clear" w:color="auto" w:fill="FFFF99"/>
            <w:vAlign w:val="center"/>
          </w:tcPr>
          <w:p w:rsidR="009F2415" w:rsidRPr="00B8197B" w:rsidRDefault="009F2415" w:rsidP="00D640E8">
            <w:pPr>
              <w:keepNext/>
              <w:spacing w:line="240" w:lineRule="auto"/>
              <w:ind w:firstLine="0"/>
              <w:jc w:val="left"/>
              <w:rPr>
                <w:rFonts w:ascii="Garamond" w:hAnsi="Garamond" w:cs="Arial"/>
                <w:sz w:val="28"/>
                <w:szCs w:val="28"/>
              </w:rPr>
            </w:pPr>
            <w:r w:rsidRPr="00B8197B">
              <w:rPr>
                <w:rFonts w:ascii="Garamond" w:hAnsi="Garamond" w:cs="Arial"/>
                <w:sz w:val="28"/>
                <w:szCs w:val="28"/>
              </w:rPr>
              <w:t>Deroghe</w:t>
            </w:r>
          </w:p>
        </w:tc>
        <w:tc>
          <w:tcPr>
            <w:tcW w:w="1815" w:type="pct"/>
            <w:tcBorders>
              <w:top w:val="single" w:sz="4" w:space="0" w:color="auto"/>
              <w:left w:val="nil"/>
              <w:bottom w:val="single" w:sz="2" w:space="0" w:color="auto"/>
              <w:right w:val="single" w:sz="8" w:space="0" w:color="auto"/>
            </w:tcBorders>
            <w:shd w:val="clear" w:color="auto" w:fill="FFFF99"/>
            <w:vAlign w:val="center"/>
          </w:tcPr>
          <w:p w:rsidR="009F2415" w:rsidRPr="00B8197B" w:rsidRDefault="009F2415" w:rsidP="00D640E8">
            <w:pPr>
              <w:keepNext/>
              <w:spacing w:line="240" w:lineRule="auto"/>
              <w:ind w:firstLine="0"/>
              <w:jc w:val="center"/>
              <w:rPr>
                <w:rFonts w:ascii="Garamond" w:hAnsi="Garamond" w:cs="Arial"/>
                <w:b/>
                <w:bCs/>
                <w:i/>
                <w:iCs/>
                <w:sz w:val="28"/>
                <w:szCs w:val="28"/>
              </w:rPr>
            </w:pPr>
            <w:r w:rsidRPr="00B8197B">
              <w:rPr>
                <w:rFonts w:ascii="Garamond" w:hAnsi="Garamond" w:cs="Arial"/>
                <w:b/>
                <w:bCs/>
                <w:sz w:val="28"/>
                <w:szCs w:val="28"/>
              </w:rPr>
              <w:t>7</w:t>
            </w:r>
          </w:p>
        </w:tc>
      </w:tr>
      <w:tr w:rsidR="00DC7F6D" w:rsidRPr="00DC7F6D" w:rsidTr="00976D09">
        <w:trPr>
          <w:trHeight w:val="765"/>
          <w:jc w:val="center"/>
        </w:trPr>
        <w:tc>
          <w:tcPr>
            <w:tcW w:w="3185" w:type="pct"/>
            <w:tcBorders>
              <w:top w:val="single" w:sz="2" w:space="0" w:color="auto"/>
              <w:left w:val="single" w:sz="8" w:space="0" w:color="auto"/>
              <w:bottom w:val="single" w:sz="4" w:space="0" w:color="auto"/>
              <w:right w:val="single" w:sz="8" w:space="0" w:color="auto"/>
            </w:tcBorders>
            <w:shd w:val="clear" w:color="auto" w:fill="auto"/>
            <w:vAlign w:val="center"/>
          </w:tcPr>
          <w:p w:rsidR="00DC7F6D" w:rsidRPr="00B8197B" w:rsidRDefault="00DC7F6D" w:rsidP="0095739B">
            <w:pPr>
              <w:keepNext/>
              <w:spacing w:line="240" w:lineRule="auto"/>
              <w:ind w:firstLine="0"/>
              <w:jc w:val="left"/>
              <w:rPr>
                <w:rFonts w:ascii="Garamond" w:hAnsi="Garamond" w:cs="Arial"/>
                <w:sz w:val="28"/>
                <w:szCs w:val="28"/>
              </w:rPr>
            </w:pPr>
            <w:r w:rsidRPr="00B8197B">
              <w:rPr>
                <w:rFonts w:ascii="Garamond" w:hAnsi="Garamond" w:cs="Arial"/>
                <w:sz w:val="28"/>
                <w:szCs w:val="28"/>
              </w:rPr>
              <w:t>Disposizioni transitorie, speciali, temporanee</w:t>
            </w:r>
          </w:p>
        </w:tc>
        <w:tc>
          <w:tcPr>
            <w:tcW w:w="1815" w:type="pct"/>
            <w:tcBorders>
              <w:top w:val="single" w:sz="2" w:space="0" w:color="auto"/>
              <w:left w:val="nil"/>
              <w:bottom w:val="single" w:sz="4" w:space="0" w:color="auto"/>
              <w:right w:val="single" w:sz="8" w:space="0" w:color="auto"/>
            </w:tcBorders>
            <w:shd w:val="clear" w:color="auto" w:fill="auto"/>
            <w:vAlign w:val="center"/>
          </w:tcPr>
          <w:p w:rsidR="00DC7F6D" w:rsidRPr="00B8197B" w:rsidRDefault="00DC7F6D" w:rsidP="0095739B">
            <w:pPr>
              <w:keepNext/>
              <w:spacing w:line="240" w:lineRule="auto"/>
              <w:ind w:firstLine="0"/>
              <w:jc w:val="center"/>
              <w:rPr>
                <w:rFonts w:ascii="Garamond" w:hAnsi="Garamond" w:cs="Arial"/>
                <w:b/>
                <w:bCs/>
                <w:i/>
                <w:iCs/>
                <w:sz w:val="28"/>
                <w:szCs w:val="28"/>
              </w:rPr>
            </w:pPr>
            <w:r w:rsidRPr="00B8197B">
              <w:rPr>
                <w:rFonts w:ascii="Garamond" w:hAnsi="Garamond" w:cs="Arial"/>
                <w:b/>
                <w:bCs/>
                <w:sz w:val="28"/>
                <w:szCs w:val="28"/>
              </w:rPr>
              <w:t>1</w:t>
            </w:r>
          </w:p>
        </w:tc>
      </w:tr>
      <w:tr w:rsidR="00DC7F6D" w:rsidRPr="00EA1A97" w:rsidTr="00976D09">
        <w:trPr>
          <w:trHeight w:val="765"/>
          <w:jc w:val="center"/>
        </w:trPr>
        <w:tc>
          <w:tcPr>
            <w:tcW w:w="3185" w:type="pct"/>
            <w:tcBorders>
              <w:top w:val="single" w:sz="4" w:space="0" w:color="auto"/>
              <w:left w:val="single" w:sz="8" w:space="0" w:color="auto"/>
              <w:bottom w:val="single" w:sz="4" w:space="0" w:color="auto"/>
              <w:right w:val="single" w:sz="8" w:space="0" w:color="auto"/>
            </w:tcBorders>
            <w:shd w:val="clear" w:color="auto" w:fill="auto"/>
            <w:vAlign w:val="center"/>
          </w:tcPr>
          <w:p w:rsidR="00DC7F6D" w:rsidRPr="00B8197B" w:rsidRDefault="00DC7F6D" w:rsidP="0095739B">
            <w:pPr>
              <w:keepNext/>
              <w:spacing w:line="240" w:lineRule="auto"/>
              <w:ind w:firstLine="0"/>
              <w:jc w:val="left"/>
              <w:rPr>
                <w:rFonts w:ascii="Garamond" w:hAnsi="Garamond" w:cs="Arial"/>
                <w:sz w:val="28"/>
                <w:szCs w:val="28"/>
              </w:rPr>
            </w:pPr>
            <w:r w:rsidRPr="00B8197B">
              <w:rPr>
                <w:rFonts w:ascii="Garamond" w:hAnsi="Garamond" w:cs="Arial"/>
                <w:sz w:val="28"/>
                <w:szCs w:val="28"/>
              </w:rPr>
              <w:t>Proroga di disposizioni transitorie</w:t>
            </w:r>
          </w:p>
        </w:tc>
        <w:tc>
          <w:tcPr>
            <w:tcW w:w="1815" w:type="pct"/>
            <w:tcBorders>
              <w:top w:val="single" w:sz="4" w:space="0" w:color="auto"/>
              <w:left w:val="nil"/>
              <w:bottom w:val="single" w:sz="4" w:space="0" w:color="auto"/>
              <w:right w:val="single" w:sz="8" w:space="0" w:color="auto"/>
            </w:tcBorders>
            <w:shd w:val="clear" w:color="auto" w:fill="auto"/>
            <w:vAlign w:val="center"/>
          </w:tcPr>
          <w:p w:rsidR="00DC7F6D" w:rsidRPr="00B8197B" w:rsidRDefault="00DC7F6D" w:rsidP="0095739B">
            <w:pPr>
              <w:keepNext/>
              <w:spacing w:line="240" w:lineRule="auto"/>
              <w:ind w:firstLine="0"/>
              <w:jc w:val="center"/>
              <w:rPr>
                <w:rFonts w:ascii="Garamond" w:hAnsi="Garamond" w:cs="Arial"/>
                <w:b/>
                <w:bCs/>
                <w:i/>
                <w:iCs/>
                <w:sz w:val="28"/>
                <w:szCs w:val="28"/>
              </w:rPr>
            </w:pPr>
            <w:r w:rsidRPr="00B8197B">
              <w:rPr>
                <w:rFonts w:ascii="Garamond" w:hAnsi="Garamond" w:cs="Arial"/>
                <w:b/>
                <w:bCs/>
                <w:sz w:val="28"/>
                <w:szCs w:val="28"/>
              </w:rPr>
              <w:t>2</w:t>
            </w:r>
          </w:p>
        </w:tc>
      </w:tr>
      <w:tr w:rsidR="009F2415" w:rsidRPr="00D640E8" w:rsidTr="00976D09">
        <w:trPr>
          <w:trHeight w:val="645"/>
          <w:jc w:val="center"/>
        </w:trPr>
        <w:tc>
          <w:tcPr>
            <w:tcW w:w="3185" w:type="pct"/>
            <w:tcBorders>
              <w:top w:val="single" w:sz="4" w:space="0" w:color="auto"/>
              <w:left w:val="single" w:sz="8" w:space="0" w:color="auto"/>
              <w:bottom w:val="single" w:sz="4" w:space="0" w:color="auto"/>
              <w:right w:val="single" w:sz="4" w:space="0" w:color="auto"/>
            </w:tcBorders>
            <w:shd w:val="clear" w:color="auto" w:fill="FFFF99"/>
            <w:vAlign w:val="center"/>
          </w:tcPr>
          <w:p w:rsidR="009F2415" w:rsidRPr="00B8197B" w:rsidRDefault="009F2415" w:rsidP="00D640E8">
            <w:pPr>
              <w:keepNext/>
              <w:spacing w:line="240" w:lineRule="auto"/>
              <w:ind w:firstLine="0"/>
              <w:jc w:val="left"/>
              <w:rPr>
                <w:rFonts w:ascii="Garamond" w:hAnsi="Garamond" w:cs="Arial"/>
                <w:sz w:val="28"/>
                <w:szCs w:val="28"/>
              </w:rPr>
            </w:pPr>
            <w:r w:rsidRPr="00B8197B">
              <w:rPr>
                <w:rFonts w:ascii="Garamond" w:hAnsi="Garamond" w:cs="Arial"/>
                <w:sz w:val="28"/>
                <w:szCs w:val="28"/>
              </w:rPr>
              <w:t>Richiami generici, imprecisi o errati</w:t>
            </w:r>
          </w:p>
        </w:tc>
        <w:tc>
          <w:tcPr>
            <w:tcW w:w="1815" w:type="pct"/>
            <w:tcBorders>
              <w:top w:val="single" w:sz="4" w:space="0" w:color="auto"/>
              <w:left w:val="nil"/>
              <w:bottom w:val="single" w:sz="4" w:space="0" w:color="auto"/>
              <w:right w:val="single" w:sz="8" w:space="0" w:color="auto"/>
            </w:tcBorders>
            <w:shd w:val="clear" w:color="auto" w:fill="FFFF99"/>
            <w:vAlign w:val="center"/>
          </w:tcPr>
          <w:p w:rsidR="009F2415" w:rsidRPr="00B8197B" w:rsidRDefault="009F2415" w:rsidP="00D640E8">
            <w:pPr>
              <w:keepNext/>
              <w:spacing w:line="240" w:lineRule="auto"/>
              <w:ind w:firstLine="0"/>
              <w:jc w:val="center"/>
              <w:rPr>
                <w:rFonts w:ascii="Garamond" w:hAnsi="Garamond" w:cs="Arial"/>
                <w:b/>
                <w:bCs/>
                <w:i/>
                <w:iCs/>
                <w:sz w:val="28"/>
                <w:szCs w:val="28"/>
              </w:rPr>
            </w:pPr>
            <w:r w:rsidRPr="00B8197B">
              <w:rPr>
                <w:rFonts w:ascii="Garamond" w:hAnsi="Garamond" w:cs="Arial"/>
                <w:b/>
                <w:bCs/>
                <w:sz w:val="28"/>
                <w:szCs w:val="28"/>
              </w:rPr>
              <w:t>6</w:t>
            </w:r>
          </w:p>
        </w:tc>
      </w:tr>
      <w:tr w:rsidR="009F2415" w:rsidRPr="00D640E8" w:rsidTr="00617A19">
        <w:trPr>
          <w:trHeight w:val="604"/>
          <w:jc w:val="center"/>
        </w:trPr>
        <w:tc>
          <w:tcPr>
            <w:tcW w:w="3185" w:type="pct"/>
            <w:tcBorders>
              <w:top w:val="nil"/>
              <w:left w:val="single" w:sz="8" w:space="0" w:color="auto"/>
              <w:bottom w:val="single" w:sz="4" w:space="0" w:color="auto"/>
              <w:right w:val="single" w:sz="4" w:space="0" w:color="auto"/>
            </w:tcBorders>
            <w:shd w:val="clear" w:color="auto" w:fill="FFFF99"/>
            <w:vAlign w:val="center"/>
          </w:tcPr>
          <w:p w:rsidR="009F2415" w:rsidRPr="00B8197B" w:rsidRDefault="009F2415" w:rsidP="00D640E8">
            <w:pPr>
              <w:keepNext/>
              <w:spacing w:line="240" w:lineRule="auto"/>
              <w:ind w:firstLine="0"/>
              <w:jc w:val="left"/>
              <w:rPr>
                <w:rFonts w:ascii="Garamond" w:hAnsi="Garamond" w:cs="Arial"/>
                <w:sz w:val="28"/>
                <w:szCs w:val="28"/>
              </w:rPr>
            </w:pPr>
            <w:r w:rsidRPr="00B8197B">
              <w:rPr>
                <w:rFonts w:ascii="Garamond" w:hAnsi="Garamond" w:cs="Arial"/>
                <w:sz w:val="28"/>
                <w:szCs w:val="28"/>
              </w:rPr>
              <w:t>Incidenza su fonti secondarie</w:t>
            </w:r>
          </w:p>
        </w:tc>
        <w:tc>
          <w:tcPr>
            <w:tcW w:w="1815" w:type="pct"/>
            <w:tcBorders>
              <w:top w:val="nil"/>
              <w:left w:val="nil"/>
              <w:bottom w:val="single" w:sz="4" w:space="0" w:color="auto"/>
              <w:right w:val="single" w:sz="8" w:space="0" w:color="auto"/>
            </w:tcBorders>
            <w:shd w:val="clear" w:color="auto" w:fill="FFFF99"/>
            <w:vAlign w:val="center"/>
          </w:tcPr>
          <w:p w:rsidR="009F2415" w:rsidRPr="00B8197B" w:rsidRDefault="009F2415" w:rsidP="00D640E8">
            <w:pPr>
              <w:keepNext/>
              <w:spacing w:line="240" w:lineRule="auto"/>
              <w:ind w:firstLine="0"/>
              <w:jc w:val="center"/>
              <w:rPr>
                <w:rFonts w:ascii="Garamond" w:hAnsi="Garamond" w:cs="Arial"/>
                <w:b/>
                <w:bCs/>
                <w:i/>
                <w:iCs/>
                <w:sz w:val="28"/>
                <w:szCs w:val="28"/>
              </w:rPr>
            </w:pPr>
            <w:r w:rsidRPr="00B8197B">
              <w:rPr>
                <w:rFonts w:ascii="Garamond" w:hAnsi="Garamond" w:cs="Arial"/>
                <w:b/>
                <w:bCs/>
                <w:sz w:val="28"/>
                <w:szCs w:val="28"/>
              </w:rPr>
              <w:t>1</w:t>
            </w:r>
          </w:p>
        </w:tc>
      </w:tr>
      <w:tr w:rsidR="009F2415" w:rsidRPr="00D640E8" w:rsidTr="00617A19">
        <w:trPr>
          <w:trHeight w:val="530"/>
          <w:jc w:val="center"/>
        </w:trPr>
        <w:tc>
          <w:tcPr>
            <w:tcW w:w="3185" w:type="pct"/>
            <w:tcBorders>
              <w:top w:val="nil"/>
              <w:left w:val="single" w:sz="8" w:space="0" w:color="auto"/>
              <w:bottom w:val="single" w:sz="4" w:space="0" w:color="auto"/>
              <w:right w:val="single" w:sz="4" w:space="0" w:color="auto"/>
            </w:tcBorders>
            <w:shd w:val="clear" w:color="auto" w:fill="FFFF99"/>
            <w:vAlign w:val="center"/>
          </w:tcPr>
          <w:p w:rsidR="009F2415" w:rsidRPr="00B8197B" w:rsidRDefault="009F2415" w:rsidP="00D640E8">
            <w:pPr>
              <w:keepNext/>
              <w:spacing w:line="240" w:lineRule="auto"/>
              <w:ind w:firstLine="0"/>
              <w:jc w:val="left"/>
              <w:rPr>
                <w:rFonts w:ascii="Garamond" w:hAnsi="Garamond" w:cs="Arial"/>
                <w:sz w:val="28"/>
                <w:szCs w:val="28"/>
              </w:rPr>
            </w:pPr>
            <w:r w:rsidRPr="00B8197B">
              <w:rPr>
                <w:rFonts w:ascii="Garamond" w:hAnsi="Garamond" w:cs="Arial"/>
                <w:sz w:val="28"/>
                <w:szCs w:val="28"/>
              </w:rPr>
              <w:t>Redazione del testo</w:t>
            </w:r>
          </w:p>
        </w:tc>
        <w:tc>
          <w:tcPr>
            <w:tcW w:w="1815" w:type="pct"/>
            <w:tcBorders>
              <w:top w:val="nil"/>
              <w:left w:val="nil"/>
              <w:bottom w:val="single" w:sz="4" w:space="0" w:color="auto"/>
              <w:right w:val="single" w:sz="8" w:space="0" w:color="auto"/>
            </w:tcBorders>
            <w:shd w:val="clear" w:color="auto" w:fill="FFFF99"/>
            <w:vAlign w:val="center"/>
          </w:tcPr>
          <w:p w:rsidR="009F2415" w:rsidRPr="00B8197B" w:rsidRDefault="009F2415" w:rsidP="00D640E8">
            <w:pPr>
              <w:keepNext/>
              <w:spacing w:line="240" w:lineRule="auto"/>
              <w:ind w:firstLine="0"/>
              <w:jc w:val="center"/>
              <w:rPr>
                <w:rFonts w:ascii="Garamond" w:hAnsi="Garamond" w:cs="Arial"/>
                <w:b/>
                <w:bCs/>
                <w:i/>
                <w:iCs/>
                <w:sz w:val="28"/>
                <w:szCs w:val="28"/>
              </w:rPr>
            </w:pPr>
            <w:r w:rsidRPr="00B8197B">
              <w:rPr>
                <w:rFonts w:ascii="Garamond" w:hAnsi="Garamond" w:cs="Arial"/>
                <w:b/>
                <w:bCs/>
                <w:sz w:val="28"/>
                <w:szCs w:val="28"/>
              </w:rPr>
              <w:t>15</w:t>
            </w:r>
          </w:p>
        </w:tc>
      </w:tr>
      <w:tr w:rsidR="009F2415" w:rsidRPr="00D640E8" w:rsidTr="00617A19">
        <w:trPr>
          <w:trHeight w:val="566"/>
          <w:jc w:val="center"/>
        </w:trPr>
        <w:tc>
          <w:tcPr>
            <w:tcW w:w="3185" w:type="pct"/>
            <w:tcBorders>
              <w:top w:val="nil"/>
              <w:left w:val="single" w:sz="8" w:space="0" w:color="auto"/>
              <w:bottom w:val="single" w:sz="4" w:space="0" w:color="auto"/>
              <w:right w:val="single" w:sz="4" w:space="0" w:color="auto"/>
            </w:tcBorders>
            <w:shd w:val="clear" w:color="auto" w:fill="FFFF99"/>
            <w:vAlign w:val="center"/>
          </w:tcPr>
          <w:p w:rsidR="009F2415" w:rsidRPr="00B8197B" w:rsidRDefault="009F2415" w:rsidP="00D640E8">
            <w:pPr>
              <w:keepNext/>
              <w:spacing w:line="240" w:lineRule="auto"/>
              <w:ind w:firstLine="0"/>
              <w:jc w:val="left"/>
              <w:rPr>
                <w:rFonts w:ascii="Garamond" w:hAnsi="Garamond" w:cs="Arial"/>
                <w:sz w:val="28"/>
                <w:szCs w:val="28"/>
              </w:rPr>
            </w:pPr>
            <w:r w:rsidRPr="00B8197B">
              <w:rPr>
                <w:rFonts w:ascii="Garamond" w:hAnsi="Garamond" w:cs="Arial"/>
                <w:sz w:val="28"/>
                <w:szCs w:val="28"/>
              </w:rPr>
              <w:t>Titolo e rubriche</w:t>
            </w:r>
          </w:p>
        </w:tc>
        <w:tc>
          <w:tcPr>
            <w:tcW w:w="1815" w:type="pct"/>
            <w:tcBorders>
              <w:top w:val="nil"/>
              <w:left w:val="nil"/>
              <w:bottom w:val="single" w:sz="4" w:space="0" w:color="auto"/>
              <w:right w:val="single" w:sz="8" w:space="0" w:color="auto"/>
            </w:tcBorders>
            <w:shd w:val="clear" w:color="auto" w:fill="FFFF99"/>
            <w:vAlign w:val="center"/>
          </w:tcPr>
          <w:p w:rsidR="009F2415" w:rsidRPr="00B8197B" w:rsidRDefault="009F2415" w:rsidP="00D640E8">
            <w:pPr>
              <w:keepNext/>
              <w:spacing w:line="240" w:lineRule="auto"/>
              <w:ind w:firstLine="0"/>
              <w:jc w:val="center"/>
              <w:rPr>
                <w:rFonts w:ascii="Garamond" w:hAnsi="Garamond" w:cs="Arial"/>
                <w:b/>
                <w:bCs/>
                <w:i/>
                <w:iCs/>
                <w:sz w:val="28"/>
                <w:szCs w:val="28"/>
              </w:rPr>
            </w:pPr>
            <w:r w:rsidRPr="00B8197B">
              <w:rPr>
                <w:rFonts w:ascii="Garamond" w:hAnsi="Garamond" w:cs="Arial"/>
                <w:b/>
                <w:bCs/>
                <w:sz w:val="28"/>
                <w:szCs w:val="28"/>
              </w:rPr>
              <w:t>4</w:t>
            </w:r>
          </w:p>
        </w:tc>
      </w:tr>
      <w:tr w:rsidR="00DC7F6D" w:rsidRPr="00EA1A97" w:rsidTr="0095739B">
        <w:trPr>
          <w:trHeight w:val="600"/>
          <w:jc w:val="center"/>
        </w:trPr>
        <w:tc>
          <w:tcPr>
            <w:tcW w:w="3185" w:type="pct"/>
            <w:tcBorders>
              <w:top w:val="single" w:sz="4" w:space="0" w:color="auto"/>
              <w:left w:val="single" w:sz="8" w:space="0" w:color="auto"/>
              <w:bottom w:val="single" w:sz="4" w:space="0" w:color="auto"/>
              <w:right w:val="single" w:sz="8" w:space="0" w:color="auto"/>
            </w:tcBorders>
            <w:shd w:val="clear" w:color="auto" w:fill="auto"/>
            <w:vAlign w:val="center"/>
          </w:tcPr>
          <w:p w:rsidR="00DC7F6D" w:rsidRPr="00B8197B" w:rsidRDefault="00DC7F6D" w:rsidP="0095739B">
            <w:pPr>
              <w:keepNext/>
              <w:spacing w:line="240" w:lineRule="auto"/>
              <w:ind w:firstLine="0"/>
              <w:jc w:val="left"/>
              <w:rPr>
                <w:rFonts w:ascii="Garamond" w:hAnsi="Garamond" w:cs="Arial"/>
                <w:sz w:val="28"/>
                <w:szCs w:val="28"/>
              </w:rPr>
            </w:pPr>
            <w:r w:rsidRPr="00B8197B">
              <w:rPr>
                <w:rFonts w:ascii="Garamond" w:hAnsi="Garamond" w:cs="Arial"/>
                <w:sz w:val="28"/>
                <w:szCs w:val="28"/>
              </w:rPr>
              <w:t>Stratificazione normativa</w:t>
            </w:r>
          </w:p>
        </w:tc>
        <w:tc>
          <w:tcPr>
            <w:tcW w:w="1815" w:type="pct"/>
            <w:tcBorders>
              <w:top w:val="single" w:sz="4" w:space="0" w:color="auto"/>
              <w:left w:val="nil"/>
              <w:bottom w:val="single" w:sz="4" w:space="0" w:color="auto"/>
              <w:right w:val="single" w:sz="8" w:space="0" w:color="auto"/>
            </w:tcBorders>
            <w:shd w:val="clear" w:color="auto" w:fill="auto"/>
            <w:vAlign w:val="center"/>
          </w:tcPr>
          <w:p w:rsidR="00DC7F6D" w:rsidRPr="00B8197B" w:rsidRDefault="00DC7F6D" w:rsidP="0095739B">
            <w:pPr>
              <w:keepNext/>
              <w:spacing w:line="240" w:lineRule="auto"/>
              <w:ind w:firstLine="0"/>
              <w:jc w:val="center"/>
              <w:rPr>
                <w:rFonts w:ascii="Garamond" w:hAnsi="Garamond" w:cs="Arial"/>
                <w:b/>
                <w:bCs/>
                <w:sz w:val="28"/>
                <w:szCs w:val="28"/>
              </w:rPr>
            </w:pPr>
            <w:r w:rsidRPr="00B8197B">
              <w:rPr>
                <w:rFonts w:ascii="Garamond" w:hAnsi="Garamond" w:cs="Arial"/>
                <w:b/>
                <w:bCs/>
                <w:sz w:val="28"/>
                <w:szCs w:val="28"/>
              </w:rPr>
              <w:t>8</w:t>
            </w:r>
          </w:p>
        </w:tc>
      </w:tr>
      <w:tr w:rsidR="00DC7F6D" w:rsidRPr="00EA1A97" w:rsidTr="00976D09">
        <w:trPr>
          <w:trHeight w:val="600"/>
          <w:jc w:val="center"/>
        </w:trPr>
        <w:tc>
          <w:tcPr>
            <w:tcW w:w="3185" w:type="pct"/>
            <w:tcBorders>
              <w:top w:val="nil"/>
              <w:left w:val="single" w:sz="8" w:space="0" w:color="auto"/>
              <w:bottom w:val="single" w:sz="4" w:space="0" w:color="auto"/>
              <w:right w:val="single" w:sz="8" w:space="0" w:color="auto"/>
            </w:tcBorders>
            <w:shd w:val="clear" w:color="auto" w:fill="auto"/>
            <w:vAlign w:val="center"/>
          </w:tcPr>
          <w:p w:rsidR="00DC7F6D" w:rsidRPr="00B8197B" w:rsidRDefault="00DC7F6D" w:rsidP="0095739B">
            <w:pPr>
              <w:keepNext/>
              <w:spacing w:line="240" w:lineRule="auto"/>
              <w:ind w:firstLine="0"/>
              <w:jc w:val="left"/>
              <w:rPr>
                <w:rFonts w:ascii="Garamond" w:hAnsi="Garamond" w:cs="Arial"/>
                <w:sz w:val="28"/>
                <w:szCs w:val="28"/>
              </w:rPr>
            </w:pPr>
            <w:r w:rsidRPr="00B8197B">
              <w:rPr>
                <w:rFonts w:ascii="Garamond" w:hAnsi="Garamond" w:cs="Arial"/>
                <w:sz w:val="28"/>
                <w:szCs w:val="28"/>
              </w:rPr>
              <w:t>Modifica di norme recenti</w:t>
            </w:r>
          </w:p>
        </w:tc>
        <w:tc>
          <w:tcPr>
            <w:tcW w:w="1815" w:type="pct"/>
            <w:tcBorders>
              <w:top w:val="nil"/>
              <w:left w:val="nil"/>
              <w:bottom w:val="single" w:sz="4" w:space="0" w:color="auto"/>
              <w:right w:val="single" w:sz="8" w:space="0" w:color="auto"/>
            </w:tcBorders>
            <w:shd w:val="clear" w:color="auto" w:fill="auto"/>
            <w:vAlign w:val="center"/>
          </w:tcPr>
          <w:p w:rsidR="00DC7F6D" w:rsidRPr="00B8197B" w:rsidRDefault="00DC7F6D" w:rsidP="0095739B">
            <w:pPr>
              <w:keepNext/>
              <w:spacing w:line="240" w:lineRule="auto"/>
              <w:ind w:firstLine="0"/>
              <w:jc w:val="center"/>
              <w:rPr>
                <w:rFonts w:ascii="Garamond" w:hAnsi="Garamond" w:cs="Arial"/>
                <w:b/>
                <w:bCs/>
                <w:i/>
                <w:iCs/>
                <w:sz w:val="28"/>
                <w:szCs w:val="28"/>
              </w:rPr>
            </w:pPr>
            <w:r w:rsidRPr="00B8197B">
              <w:rPr>
                <w:rFonts w:ascii="Garamond" w:hAnsi="Garamond" w:cs="Arial"/>
                <w:b/>
                <w:bCs/>
                <w:sz w:val="28"/>
                <w:szCs w:val="28"/>
              </w:rPr>
              <w:t>6</w:t>
            </w:r>
          </w:p>
        </w:tc>
      </w:tr>
      <w:tr w:rsidR="009F2415" w:rsidRPr="00D640E8" w:rsidTr="00976D09">
        <w:trPr>
          <w:trHeight w:val="560"/>
          <w:jc w:val="center"/>
        </w:trPr>
        <w:tc>
          <w:tcPr>
            <w:tcW w:w="3185" w:type="pct"/>
            <w:tcBorders>
              <w:top w:val="single" w:sz="4" w:space="0" w:color="auto"/>
              <w:left w:val="single" w:sz="8" w:space="0" w:color="auto"/>
              <w:bottom w:val="single" w:sz="2" w:space="0" w:color="auto"/>
              <w:right w:val="single" w:sz="4" w:space="0" w:color="auto"/>
            </w:tcBorders>
            <w:shd w:val="clear" w:color="auto" w:fill="FFFF99"/>
            <w:vAlign w:val="center"/>
          </w:tcPr>
          <w:p w:rsidR="009F2415" w:rsidRPr="00B8197B" w:rsidRDefault="009F2415" w:rsidP="00D640E8">
            <w:pPr>
              <w:keepNext/>
              <w:spacing w:line="240" w:lineRule="auto"/>
              <w:ind w:firstLine="0"/>
              <w:jc w:val="left"/>
              <w:rPr>
                <w:rFonts w:ascii="Garamond" w:hAnsi="Garamond" w:cs="Arial"/>
                <w:sz w:val="28"/>
                <w:szCs w:val="28"/>
              </w:rPr>
            </w:pPr>
            <w:r w:rsidRPr="00B8197B">
              <w:rPr>
                <w:rFonts w:ascii="Garamond" w:hAnsi="Garamond" w:cs="Arial"/>
                <w:sz w:val="28"/>
                <w:szCs w:val="28"/>
              </w:rPr>
              <w:t>Modifiche non testuali</w:t>
            </w:r>
          </w:p>
        </w:tc>
        <w:tc>
          <w:tcPr>
            <w:tcW w:w="1815" w:type="pct"/>
            <w:tcBorders>
              <w:top w:val="single" w:sz="4" w:space="0" w:color="auto"/>
              <w:left w:val="nil"/>
              <w:bottom w:val="single" w:sz="2" w:space="0" w:color="auto"/>
              <w:right w:val="single" w:sz="8" w:space="0" w:color="auto"/>
            </w:tcBorders>
            <w:shd w:val="clear" w:color="auto" w:fill="FFFF99"/>
            <w:vAlign w:val="center"/>
          </w:tcPr>
          <w:p w:rsidR="009F2415" w:rsidRPr="00B8197B" w:rsidRDefault="009F2415" w:rsidP="00D640E8">
            <w:pPr>
              <w:keepNext/>
              <w:spacing w:line="240" w:lineRule="auto"/>
              <w:ind w:firstLine="0"/>
              <w:jc w:val="center"/>
              <w:rPr>
                <w:rFonts w:ascii="Garamond" w:hAnsi="Garamond" w:cs="Arial"/>
                <w:b/>
                <w:bCs/>
                <w:i/>
                <w:iCs/>
                <w:sz w:val="28"/>
                <w:szCs w:val="28"/>
              </w:rPr>
            </w:pPr>
            <w:r w:rsidRPr="00B8197B">
              <w:rPr>
                <w:rFonts w:ascii="Garamond" w:hAnsi="Garamond" w:cs="Arial"/>
                <w:b/>
                <w:bCs/>
                <w:sz w:val="28"/>
                <w:szCs w:val="28"/>
              </w:rPr>
              <w:t>9</w:t>
            </w:r>
          </w:p>
        </w:tc>
      </w:tr>
      <w:tr w:rsidR="009F2415" w:rsidRPr="00D640E8" w:rsidTr="00976D09">
        <w:trPr>
          <w:trHeight w:val="560"/>
          <w:jc w:val="center"/>
        </w:trPr>
        <w:tc>
          <w:tcPr>
            <w:tcW w:w="3185" w:type="pct"/>
            <w:tcBorders>
              <w:top w:val="single" w:sz="2" w:space="0" w:color="auto"/>
              <w:left w:val="single" w:sz="8" w:space="0" w:color="auto"/>
              <w:bottom w:val="single" w:sz="2" w:space="0" w:color="auto"/>
              <w:right w:val="single" w:sz="4" w:space="0" w:color="auto"/>
            </w:tcBorders>
            <w:shd w:val="clear" w:color="auto" w:fill="FFFF99"/>
            <w:vAlign w:val="center"/>
          </w:tcPr>
          <w:p w:rsidR="009F2415" w:rsidRPr="00B8197B" w:rsidRDefault="009F2415" w:rsidP="00D640E8">
            <w:pPr>
              <w:keepNext/>
              <w:spacing w:line="240" w:lineRule="auto"/>
              <w:ind w:firstLine="0"/>
              <w:jc w:val="left"/>
              <w:rPr>
                <w:rFonts w:ascii="Garamond" w:hAnsi="Garamond" w:cs="Arial"/>
                <w:sz w:val="28"/>
                <w:szCs w:val="28"/>
              </w:rPr>
            </w:pPr>
            <w:r w:rsidRPr="00B8197B">
              <w:rPr>
                <w:rFonts w:ascii="Garamond" w:hAnsi="Garamond" w:cs="Arial"/>
                <w:sz w:val="28"/>
                <w:szCs w:val="28"/>
              </w:rPr>
              <w:t>Norme di interpretazione autentica</w:t>
            </w:r>
          </w:p>
        </w:tc>
        <w:tc>
          <w:tcPr>
            <w:tcW w:w="1815" w:type="pct"/>
            <w:tcBorders>
              <w:top w:val="single" w:sz="2" w:space="0" w:color="auto"/>
              <w:left w:val="nil"/>
              <w:bottom w:val="single" w:sz="2" w:space="0" w:color="auto"/>
              <w:right w:val="single" w:sz="8" w:space="0" w:color="auto"/>
            </w:tcBorders>
            <w:shd w:val="clear" w:color="auto" w:fill="FFFF99"/>
            <w:vAlign w:val="center"/>
          </w:tcPr>
          <w:p w:rsidR="009F2415" w:rsidRPr="00B8197B" w:rsidRDefault="009F2415" w:rsidP="00D640E8">
            <w:pPr>
              <w:keepNext/>
              <w:spacing w:line="240" w:lineRule="auto"/>
              <w:ind w:firstLine="0"/>
              <w:jc w:val="center"/>
              <w:rPr>
                <w:rFonts w:ascii="Garamond" w:hAnsi="Garamond" w:cs="Arial"/>
                <w:b/>
                <w:bCs/>
                <w:i/>
                <w:iCs/>
                <w:sz w:val="28"/>
                <w:szCs w:val="28"/>
              </w:rPr>
            </w:pPr>
            <w:r w:rsidRPr="00B8197B">
              <w:rPr>
                <w:rFonts w:ascii="Garamond" w:hAnsi="Garamond" w:cs="Arial"/>
                <w:b/>
                <w:bCs/>
                <w:sz w:val="28"/>
                <w:szCs w:val="28"/>
              </w:rPr>
              <w:t>2</w:t>
            </w:r>
          </w:p>
        </w:tc>
      </w:tr>
      <w:tr w:rsidR="001A66E6" w:rsidRPr="00D640E8" w:rsidTr="00976D09">
        <w:trPr>
          <w:trHeight w:val="560"/>
          <w:jc w:val="center"/>
        </w:trPr>
        <w:tc>
          <w:tcPr>
            <w:tcW w:w="3185" w:type="pct"/>
            <w:tcBorders>
              <w:top w:val="single" w:sz="2" w:space="0" w:color="auto"/>
              <w:left w:val="single" w:sz="8" w:space="0" w:color="auto"/>
              <w:bottom w:val="nil"/>
              <w:right w:val="single" w:sz="4" w:space="0" w:color="auto"/>
            </w:tcBorders>
            <w:shd w:val="clear" w:color="auto" w:fill="FFFF99"/>
            <w:vAlign w:val="center"/>
          </w:tcPr>
          <w:p w:rsidR="001A66E6" w:rsidRPr="00B8197B" w:rsidRDefault="001A66E6" w:rsidP="00D640E8">
            <w:pPr>
              <w:keepNext/>
              <w:spacing w:line="240" w:lineRule="auto"/>
              <w:ind w:firstLine="0"/>
              <w:jc w:val="left"/>
              <w:rPr>
                <w:rFonts w:ascii="Garamond" w:hAnsi="Garamond" w:cs="Arial"/>
                <w:sz w:val="28"/>
                <w:szCs w:val="28"/>
              </w:rPr>
            </w:pPr>
            <w:r w:rsidRPr="00B8197B">
              <w:rPr>
                <w:rFonts w:ascii="Garamond" w:hAnsi="Garamond" w:cs="Arial"/>
                <w:sz w:val="28"/>
                <w:szCs w:val="28"/>
              </w:rPr>
              <w:t>Reviviscenza</w:t>
            </w:r>
          </w:p>
        </w:tc>
        <w:tc>
          <w:tcPr>
            <w:tcW w:w="1815" w:type="pct"/>
            <w:tcBorders>
              <w:top w:val="single" w:sz="2" w:space="0" w:color="auto"/>
              <w:left w:val="nil"/>
              <w:bottom w:val="nil"/>
              <w:right w:val="single" w:sz="8" w:space="0" w:color="auto"/>
            </w:tcBorders>
            <w:shd w:val="clear" w:color="auto" w:fill="FFFF99"/>
            <w:vAlign w:val="center"/>
          </w:tcPr>
          <w:p w:rsidR="001A66E6" w:rsidRPr="00B8197B" w:rsidRDefault="001A66E6" w:rsidP="00D640E8">
            <w:pPr>
              <w:keepNext/>
              <w:spacing w:line="240" w:lineRule="auto"/>
              <w:ind w:firstLine="0"/>
              <w:jc w:val="center"/>
              <w:rPr>
                <w:rFonts w:ascii="Garamond" w:hAnsi="Garamond" w:cs="Arial"/>
                <w:b/>
                <w:bCs/>
                <w:sz w:val="28"/>
                <w:szCs w:val="28"/>
              </w:rPr>
            </w:pPr>
            <w:r w:rsidRPr="00B8197B">
              <w:rPr>
                <w:rFonts w:ascii="Garamond" w:hAnsi="Garamond" w:cs="Arial"/>
                <w:b/>
                <w:bCs/>
                <w:sz w:val="28"/>
                <w:szCs w:val="28"/>
              </w:rPr>
              <w:t>1</w:t>
            </w:r>
          </w:p>
        </w:tc>
      </w:tr>
      <w:tr w:rsidR="00DC7F6D" w:rsidRPr="00EA1A97" w:rsidTr="0095739B">
        <w:trPr>
          <w:trHeight w:val="750"/>
          <w:jc w:val="center"/>
        </w:trPr>
        <w:tc>
          <w:tcPr>
            <w:tcW w:w="3185" w:type="pct"/>
            <w:tcBorders>
              <w:top w:val="single" w:sz="4" w:space="0" w:color="auto"/>
              <w:left w:val="single" w:sz="8" w:space="0" w:color="auto"/>
              <w:bottom w:val="single" w:sz="4" w:space="0" w:color="auto"/>
              <w:right w:val="single" w:sz="8" w:space="0" w:color="auto"/>
            </w:tcBorders>
            <w:shd w:val="clear" w:color="auto" w:fill="auto"/>
            <w:vAlign w:val="center"/>
          </w:tcPr>
          <w:p w:rsidR="00DC7F6D" w:rsidRPr="00B8197B" w:rsidRDefault="00DC7F6D" w:rsidP="0095739B">
            <w:pPr>
              <w:keepNext/>
              <w:spacing w:line="240" w:lineRule="auto"/>
              <w:ind w:firstLine="0"/>
              <w:jc w:val="left"/>
              <w:rPr>
                <w:rFonts w:ascii="Garamond" w:hAnsi="Garamond" w:cs="Arial"/>
                <w:sz w:val="28"/>
                <w:szCs w:val="28"/>
              </w:rPr>
            </w:pPr>
            <w:r w:rsidRPr="00B8197B">
              <w:rPr>
                <w:rFonts w:ascii="Garamond" w:hAnsi="Garamond" w:cs="Arial"/>
                <w:sz w:val="28"/>
                <w:szCs w:val="28"/>
              </w:rPr>
              <w:t>Norme descrittive, ricognitive, programmatiche</w:t>
            </w:r>
          </w:p>
        </w:tc>
        <w:tc>
          <w:tcPr>
            <w:tcW w:w="1815" w:type="pct"/>
            <w:tcBorders>
              <w:top w:val="single" w:sz="4" w:space="0" w:color="auto"/>
              <w:left w:val="nil"/>
              <w:bottom w:val="single" w:sz="4" w:space="0" w:color="auto"/>
              <w:right w:val="single" w:sz="8" w:space="0" w:color="auto"/>
            </w:tcBorders>
            <w:shd w:val="clear" w:color="auto" w:fill="auto"/>
            <w:vAlign w:val="center"/>
          </w:tcPr>
          <w:p w:rsidR="00DC7F6D" w:rsidRPr="00B8197B" w:rsidRDefault="00DC7F6D" w:rsidP="0095739B">
            <w:pPr>
              <w:keepNext/>
              <w:spacing w:line="240" w:lineRule="auto"/>
              <w:ind w:firstLine="0"/>
              <w:jc w:val="center"/>
              <w:rPr>
                <w:rFonts w:ascii="Garamond" w:hAnsi="Garamond" w:cs="Arial"/>
                <w:b/>
                <w:bCs/>
                <w:i/>
                <w:iCs/>
                <w:sz w:val="28"/>
                <w:szCs w:val="28"/>
              </w:rPr>
            </w:pPr>
            <w:r w:rsidRPr="00B8197B">
              <w:rPr>
                <w:rFonts w:ascii="Garamond" w:hAnsi="Garamond" w:cs="Arial"/>
                <w:b/>
                <w:bCs/>
                <w:sz w:val="28"/>
                <w:szCs w:val="28"/>
              </w:rPr>
              <w:t>13</w:t>
            </w:r>
          </w:p>
        </w:tc>
      </w:tr>
    </w:tbl>
    <w:p w:rsidR="00670EB5" w:rsidRPr="00063D88" w:rsidRDefault="00670EB5" w:rsidP="00670EB5">
      <w:pPr>
        <w:ind w:firstLine="0"/>
        <w:rPr>
          <w:rFonts w:ascii="Garamond" w:hAnsi="Garamond"/>
          <w:sz w:val="28"/>
          <w:szCs w:val="28"/>
        </w:rPr>
      </w:pPr>
    </w:p>
    <w:p w:rsidR="00670EB5" w:rsidRPr="00063D88" w:rsidRDefault="00670EB5" w:rsidP="00670EB5">
      <w:pPr>
        <w:ind w:firstLine="0"/>
        <w:rPr>
          <w:rFonts w:ascii="Garamond" w:hAnsi="Garamond"/>
          <w:sz w:val="28"/>
          <w:szCs w:val="28"/>
        </w:rPr>
      </w:pPr>
    </w:p>
    <w:p w:rsidR="005C1341" w:rsidRPr="00063D88" w:rsidRDefault="00A36378" w:rsidP="003963F4">
      <w:pPr>
        <w:rPr>
          <w:rFonts w:ascii="Garamond" w:hAnsi="Garamond"/>
          <w:sz w:val="32"/>
          <w:szCs w:val="32"/>
        </w:rPr>
      </w:pPr>
      <w:r w:rsidRPr="00063D88">
        <w:rPr>
          <w:rFonts w:ascii="Garamond" w:hAnsi="Garamond"/>
          <w:sz w:val="32"/>
          <w:szCs w:val="32"/>
        </w:rPr>
        <w:t xml:space="preserve">Dalla tabella emergono </w:t>
      </w:r>
      <w:r w:rsidR="004C266D" w:rsidRPr="00063D88">
        <w:rPr>
          <w:rFonts w:ascii="Garamond" w:hAnsi="Garamond"/>
          <w:sz w:val="32"/>
          <w:szCs w:val="32"/>
        </w:rPr>
        <w:t xml:space="preserve">con evidenza </w:t>
      </w:r>
      <w:r w:rsidR="00A3363C" w:rsidRPr="00063D88">
        <w:rPr>
          <w:rFonts w:ascii="Garamond" w:hAnsi="Garamond"/>
          <w:sz w:val="32"/>
          <w:szCs w:val="32"/>
        </w:rPr>
        <w:t>talune</w:t>
      </w:r>
      <w:r w:rsidRPr="00063D88">
        <w:rPr>
          <w:rFonts w:ascii="Garamond" w:hAnsi="Garamond"/>
          <w:sz w:val="32"/>
          <w:szCs w:val="32"/>
        </w:rPr>
        <w:t xml:space="preserve"> problematiche strutturali della produzione </w:t>
      </w:r>
      <w:r w:rsidR="004C266D" w:rsidRPr="00063D88">
        <w:rPr>
          <w:rFonts w:ascii="Garamond" w:hAnsi="Garamond"/>
          <w:sz w:val="32"/>
          <w:szCs w:val="32"/>
        </w:rPr>
        <w:t>legisl</w:t>
      </w:r>
      <w:r w:rsidRPr="00063D88">
        <w:rPr>
          <w:rFonts w:ascii="Garamond" w:hAnsi="Garamond"/>
          <w:sz w:val="32"/>
          <w:szCs w:val="32"/>
        </w:rPr>
        <w:t xml:space="preserve">ativa, </w:t>
      </w:r>
      <w:r w:rsidR="005C1341" w:rsidRPr="00063D88">
        <w:rPr>
          <w:rFonts w:ascii="Garamond" w:hAnsi="Garamond"/>
          <w:sz w:val="32"/>
          <w:szCs w:val="32"/>
        </w:rPr>
        <w:t>che appare:</w:t>
      </w:r>
    </w:p>
    <w:p w:rsidR="005C1341" w:rsidRPr="00063D88" w:rsidRDefault="00A0443C" w:rsidP="003C5A84">
      <w:pPr>
        <w:ind w:left="284" w:hanging="284"/>
        <w:rPr>
          <w:rFonts w:ascii="Garamond" w:hAnsi="Garamond"/>
          <w:sz w:val="32"/>
          <w:szCs w:val="32"/>
        </w:rPr>
      </w:pPr>
      <w:r w:rsidRPr="00063D88">
        <w:rPr>
          <w:rFonts w:ascii="Garamond" w:hAnsi="Garamond"/>
          <w:sz w:val="32"/>
          <w:szCs w:val="32"/>
        </w:rPr>
        <w:t xml:space="preserve">♦ </w:t>
      </w:r>
      <w:r w:rsidR="00A36378" w:rsidRPr="00063D88">
        <w:rPr>
          <w:rFonts w:ascii="Garamond" w:hAnsi="Garamond"/>
          <w:sz w:val="32"/>
          <w:szCs w:val="32"/>
        </w:rPr>
        <w:t xml:space="preserve">non sempre curata nella formulazione (ne sono spie la ricorrenza di questioni </w:t>
      </w:r>
      <w:r w:rsidR="00CB1F66">
        <w:rPr>
          <w:rFonts w:ascii="Garamond" w:hAnsi="Garamond"/>
          <w:sz w:val="32"/>
          <w:szCs w:val="32"/>
        </w:rPr>
        <w:t>relative alla redazione del testo,</w:t>
      </w:r>
      <w:r w:rsidR="00A36378" w:rsidRPr="00063D88">
        <w:rPr>
          <w:rFonts w:ascii="Garamond" w:hAnsi="Garamond"/>
          <w:sz w:val="32"/>
          <w:szCs w:val="32"/>
        </w:rPr>
        <w:t xml:space="preserve"> ovvero </w:t>
      </w:r>
      <w:r w:rsidR="00CB1F66">
        <w:rPr>
          <w:rFonts w:ascii="Garamond" w:hAnsi="Garamond"/>
          <w:sz w:val="32"/>
          <w:szCs w:val="32"/>
        </w:rPr>
        <w:t>la</w:t>
      </w:r>
      <w:r w:rsidR="00A36378" w:rsidRPr="00063D88">
        <w:rPr>
          <w:rFonts w:ascii="Garamond" w:hAnsi="Garamond"/>
          <w:sz w:val="32"/>
          <w:szCs w:val="32"/>
        </w:rPr>
        <w:t xml:space="preserve"> chiarezza delle espressioni utilizzate, nonché i richiami normativi effettuati in forma generica, imprecisi o errati)</w:t>
      </w:r>
      <w:r w:rsidR="005C1341" w:rsidRPr="00063D88">
        <w:rPr>
          <w:rFonts w:ascii="Garamond" w:hAnsi="Garamond"/>
          <w:sz w:val="32"/>
          <w:szCs w:val="32"/>
        </w:rPr>
        <w:t>;</w:t>
      </w:r>
    </w:p>
    <w:p w:rsidR="004C266D" w:rsidRPr="00063D88" w:rsidRDefault="00A0443C" w:rsidP="003C5A84">
      <w:pPr>
        <w:ind w:left="284" w:hanging="284"/>
        <w:rPr>
          <w:rFonts w:ascii="Garamond" w:hAnsi="Garamond"/>
          <w:sz w:val="32"/>
          <w:szCs w:val="32"/>
        </w:rPr>
      </w:pPr>
      <w:r w:rsidRPr="00063D88">
        <w:rPr>
          <w:rFonts w:ascii="Garamond" w:hAnsi="Garamond"/>
          <w:sz w:val="32"/>
          <w:szCs w:val="32"/>
        </w:rPr>
        <w:lastRenderedPageBreak/>
        <w:t xml:space="preserve">♦ </w:t>
      </w:r>
      <w:r w:rsidR="008879C6">
        <w:rPr>
          <w:rFonts w:ascii="Garamond" w:hAnsi="Garamond"/>
          <w:sz w:val="32"/>
          <w:szCs w:val="32"/>
        </w:rPr>
        <w:t>c</w:t>
      </w:r>
      <w:r w:rsidR="00CB1F66">
        <w:rPr>
          <w:rFonts w:ascii="Garamond" w:hAnsi="Garamond"/>
          <w:sz w:val="32"/>
          <w:szCs w:val="32"/>
        </w:rPr>
        <w:t xml:space="preserve">omplessa e </w:t>
      </w:r>
      <w:r w:rsidR="008879C6">
        <w:rPr>
          <w:rFonts w:ascii="Garamond" w:hAnsi="Garamond"/>
          <w:sz w:val="32"/>
          <w:szCs w:val="32"/>
        </w:rPr>
        <w:t xml:space="preserve">talora </w:t>
      </w:r>
      <w:r w:rsidR="00CB1F66">
        <w:rPr>
          <w:rFonts w:ascii="Garamond" w:hAnsi="Garamond"/>
          <w:sz w:val="32"/>
          <w:szCs w:val="32"/>
        </w:rPr>
        <w:t>di difficile interpretazione</w:t>
      </w:r>
      <w:r w:rsidR="008879C6">
        <w:rPr>
          <w:rFonts w:ascii="Garamond" w:hAnsi="Garamond"/>
          <w:sz w:val="32"/>
          <w:szCs w:val="32"/>
        </w:rPr>
        <w:t xml:space="preserve"> e ricostruzione</w:t>
      </w:r>
      <w:r w:rsidR="005C1341" w:rsidRPr="00063D88">
        <w:rPr>
          <w:rFonts w:ascii="Garamond" w:hAnsi="Garamond"/>
          <w:sz w:val="32"/>
          <w:szCs w:val="32"/>
        </w:rPr>
        <w:t xml:space="preserve">, anche </w:t>
      </w:r>
      <w:r w:rsidR="00CB1F66">
        <w:rPr>
          <w:rFonts w:ascii="Garamond" w:hAnsi="Garamond"/>
          <w:sz w:val="32"/>
          <w:szCs w:val="32"/>
        </w:rPr>
        <w:t>a causa delle numerose</w:t>
      </w:r>
      <w:r w:rsidR="005C1341" w:rsidRPr="00063D88">
        <w:rPr>
          <w:rFonts w:ascii="Garamond" w:hAnsi="Garamond"/>
          <w:sz w:val="32"/>
          <w:szCs w:val="32"/>
        </w:rPr>
        <w:t xml:space="preserve"> modifiche non testuali </w:t>
      </w:r>
      <w:r w:rsidR="00CB1F66">
        <w:rPr>
          <w:rFonts w:ascii="Garamond" w:hAnsi="Garamond"/>
          <w:sz w:val="32"/>
          <w:szCs w:val="32"/>
        </w:rPr>
        <w:t>a previgenti disposizioni normative</w:t>
      </w:r>
      <w:r w:rsidR="00085F56">
        <w:rPr>
          <w:rFonts w:ascii="Garamond" w:hAnsi="Garamond"/>
          <w:sz w:val="32"/>
          <w:szCs w:val="32"/>
        </w:rPr>
        <w:t xml:space="preserve"> e ad una stratificazione che talora interessa anche norme di recente approvazione</w:t>
      </w:r>
      <w:r w:rsidR="004C266D" w:rsidRPr="00063D88">
        <w:rPr>
          <w:rFonts w:ascii="Garamond" w:hAnsi="Garamond"/>
          <w:sz w:val="32"/>
          <w:szCs w:val="32"/>
        </w:rPr>
        <w:t>;</w:t>
      </w:r>
    </w:p>
    <w:p w:rsidR="00807456" w:rsidRPr="00063D88" w:rsidRDefault="006C313C" w:rsidP="003C5A84">
      <w:pPr>
        <w:ind w:left="284" w:hanging="284"/>
        <w:rPr>
          <w:rFonts w:ascii="Garamond" w:hAnsi="Garamond"/>
          <w:sz w:val="32"/>
          <w:szCs w:val="32"/>
        </w:rPr>
      </w:pPr>
      <w:r>
        <w:rPr>
          <w:rFonts w:ascii="Garamond" w:hAnsi="Garamond"/>
          <w:sz w:val="32"/>
          <w:szCs w:val="32"/>
        </w:rPr>
        <w:t xml:space="preserve">♦ </w:t>
      </w:r>
      <w:r w:rsidR="003E6BBC" w:rsidRPr="00063D88">
        <w:rPr>
          <w:rFonts w:ascii="Garamond" w:hAnsi="Garamond"/>
          <w:sz w:val="32"/>
          <w:szCs w:val="32"/>
        </w:rPr>
        <w:t xml:space="preserve">condizionata da un alto numero di disposizioni </w:t>
      </w:r>
      <w:r w:rsidR="0038741D">
        <w:rPr>
          <w:rFonts w:ascii="Garamond" w:hAnsi="Garamond"/>
          <w:sz w:val="32"/>
          <w:szCs w:val="32"/>
        </w:rPr>
        <w:t xml:space="preserve">implicitamente o esplicitamente </w:t>
      </w:r>
      <w:r w:rsidR="003E6BBC" w:rsidRPr="00063D88">
        <w:rPr>
          <w:rFonts w:ascii="Garamond" w:hAnsi="Garamond"/>
          <w:sz w:val="32"/>
          <w:szCs w:val="32"/>
        </w:rPr>
        <w:t>derogatorie</w:t>
      </w:r>
      <w:r w:rsidR="0038741D">
        <w:rPr>
          <w:rFonts w:ascii="Garamond" w:hAnsi="Garamond"/>
          <w:sz w:val="32"/>
          <w:szCs w:val="32"/>
        </w:rPr>
        <w:t xml:space="preserve"> della normativa vigente oppure volte a prorogare regimi in deroga</w:t>
      </w:r>
      <w:r w:rsidR="00085F56">
        <w:rPr>
          <w:rFonts w:ascii="Garamond" w:hAnsi="Garamond"/>
          <w:sz w:val="32"/>
          <w:szCs w:val="32"/>
        </w:rPr>
        <w:t xml:space="preserve"> o a stabilire regimi transitori, speciali o temporanei comunque fondati su impianti derogatori</w:t>
      </w:r>
      <w:r w:rsidR="003E6BBC" w:rsidRPr="00063D88">
        <w:rPr>
          <w:rFonts w:ascii="Garamond" w:hAnsi="Garamond"/>
          <w:sz w:val="32"/>
          <w:szCs w:val="32"/>
        </w:rPr>
        <w:t>;</w:t>
      </w:r>
    </w:p>
    <w:p w:rsidR="00DC7F6D" w:rsidRDefault="003E6BBC" w:rsidP="00DC7F6D">
      <w:pPr>
        <w:ind w:left="284" w:hanging="284"/>
        <w:rPr>
          <w:rFonts w:ascii="Garamond" w:hAnsi="Garamond"/>
          <w:sz w:val="32"/>
          <w:szCs w:val="32"/>
        </w:rPr>
      </w:pPr>
      <w:r w:rsidRPr="008879C6">
        <w:rPr>
          <w:rFonts w:ascii="Garamond" w:hAnsi="Garamond"/>
          <w:sz w:val="32"/>
          <w:szCs w:val="32"/>
        </w:rPr>
        <w:t xml:space="preserve">♦ intrecciata con le fonti di rango subordinato, in forza di due fenomeni tra loro correlati: le modifiche a fonti secondarie apportate con fonti di rango primario; la previsione di provvedimenti non sempre facilmente riconducibili al sistema delle fonti per modificare atti legislativi (cosiddetta delegificazione spuria). </w:t>
      </w:r>
      <w:r w:rsidR="008879C6" w:rsidRPr="008879C6">
        <w:rPr>
          <w:rFonts w:ascii="Garamond" w:hAnsi="Garamond"/>
          <w:sz w:val="32"/>
          <w:szCs w:val="32"/>
        </w:rPr>
        <w:t>Questi due fenomeni, nei dieci mesi di riferimento, si presentano in fase recessiva: l’auspicio è che si stia effettivamente realizzando un’inversione di tendenza, dopo anni di crescente confusione nel</w:t>
      </w:r>
      <w:r w:rsidR="00DC7F6D">
        <w:rPr>
          <w:rFonts w:ascii="Garamond" w:hAnsi="Garamond"/>
          <w:sz w:val="32"/>
          <w:szCs w:val="32"/>
        </w:rPr>
        <w:t xml:space="preserve"> sistema delle fonti;</w:t>
      </w:r>
    </w:p>
    <w:p w:rsidR="00DC7F6D" w:rsidRDefault="00DC7F6D" w:rsidP="006C313C">
      <w:pPr>
        <w:ind w:left="284" w:hanging="284"/>
        <w:rPr>
          <w:rFonts w:ascii="Garamond" w:hAnsi="Garamond"/>
          <w:sz w:val="32"/>
          <w:szCs w:val="32"/>
        </w:rPr>
      </w:pPr>
      <w:r w:rsidRPr="00063D88">
        <w:rPr>
          <w:rFonts w:ascii="Garamond" w:hAnsi="Garamond" w:cs="Arial"/>
          <w:sz w:val="32"/>
          <w:szCs w:val="32"/>
        </w:rPr>
        <w:t>♦</w:t>
      </w:r>
      <w:r>
        <w:rPr>
          <w:rFonts w:ascii="Garamond" w:hAnsi="Garamond"/>
          <w:sz w:val="32"/>
          <w:szCs w:val="32"/>
        </w:rPr>
        <w:t xml:space="preserve"> </w:t>
      </w:r>
      <w:r w:rsidR="00085F56">
        <w:rPr>
          <w:rFonts w:ascii="Garamond" w:hAnsi="Garamond"/>
          <w:sz w:val="32"/>
          <w:szCs w:val="32"/>
        </w:rPr>
        <w:t xml:space="preserve">accompagnata dalla </w:t>
      </w:r>
      <w:r>
        <w:rPr>
          <w:rFonts w:ascii="Garamond" w:hAnsi="Garamond"/>
          <w:sz w:val="32"/>
          <w:szCs w:val="32"/>
        </w:rPr>
        <w:t xml:space="preserve">presenza di </w:t>
      </w:r>
      <w:r w:rsidR="00085F56">
        <w:rPr>
          <w:rFonts w:ascii="Garamond" w:hAnsi="Garamond"/>
          <w:sz w:val="32"/>
          <w:szCs w:val="32"/>
        </w:rPr>
        <w:t>previs</w:t>
      </w:r>
      <w:r>
        <w:rPr>
          <w:rFonts w:ascii="Garamond" w:hAnsi="Garamond"/>
          <w:sz w:val="32"/>
          <w:szCs w:val="32"/>
        </w:rPr>
        <w:t xml:space="preserve">ioni </w:t>
      </w:r>
      <w:r w:rsidR="00085F56">
        <w:rPr>
          <w:rFonts w:ascii="Garamond" w:hAnsi="Garamond"/>
          <w:sz w:val="32"/>
          <w:szCs w:val="32"/>
        </w:rPr>
        <w:t xml:space="preserve">di dubbia portata normativa, </w:t>
      </w:r>
      <w:r>
        <w:rPr>
          <w:rFonts w:ascii="Garamond" w:hAnsi="Garamond"/>
          <w:sz w:val="32"/>
          <w:szCs w:val="32"/>
        </w:rPr>
        <w:t>meramente descrittive, ricognitive o programmatiche.</w:t>
      </w:r>
    </w:p>
    <w:p w:rsidR="008F46A9" w:rsidRDefault="008F46A9" w:rsidP="00085F56">
      <w:pPr>
        <w:ind w:firstLine="0"/>
        <w:rPr>
          <w:rFonts w:ascii="Garamond" w:hAnsi="Garamond"/>
          <w:sz w:val="32"/>
          <w:szCs w:val="32"/>
        </w:rPr>
      </w:pPr>
    </w:p>
    <w:p w:rsidR="00EA1A97" w:rsidRDefault="004F52AA" w:rsidP="00C00704">
      <w:pPr>
        <w:rPr>
          <w:rFonts w:ascii="Garamond" w:hAnsi="Garamond"/>
          <w:sz w:val="32"/>
          <w:szCs w:val="32"/>
        </w:rPr>
      </w:pPr>
      <w:r>
        <w:rPr>
          <w:rFonts w:ascii="Garamond" w:hAnsi="Garamond"/>
          <w:sz w:val="32"/>
          <w:szCs w:val="32"/>
        </w:rPr>
        <w:t xml:space="preserve">La </w:t>
      </w:r>
      <w:hyperlink w:anchor="Tab02" w:history="1">
        <w:r w:rsidRPr="0007765B">
          <w:rPr>
            <w:rStyle w:val="Collegamentoipertestuale"/>
            <w:rFonts w:ascii="Garamond" w:hAnsi="Garamond"/>
            <w:sz w:val="32"/>
            <w:szCs w:val="32"/>
          </w:rPr>
          <w:t xml:space="preserve">tabella </w:t>
        </w:r>
        <w:r w:rsidR="00F1239F" w:rsidRPr="0007765B">
          <w:rPr>
            <w:rStyle w:val="Collegamentoipertestuale"/>
            <w:rFonts w:ascii="Garamond" w:hAnsi="Garamond"/>
            <w:sz w:val="32"/>
            <w:szCs w:val="32"/>
          </w:rPr>
          <w:t>2</w:t>
        </w:r>
      </w:hyperlink>
      <w:r>
        <w:rPr>
          <w:rFonts w:ascii="Garamond" w:hAnsi="Garamond"/>
          <w:sz w:val="32"/>
          <w:szCs w:val="32"/>
        </w:rPr>
        <w:t xml:space="preserve"> </w:t>
      </w:r>
      <w:r w:rsidR="001266E3">
        <w:rPr>
          <w:rFonts w:ascii="Garamond" w:hAnsi="Garamond"/>
          <w:sz w:val="32"/>
          <w:szCs w:val="32"/>
        </w:rPr>
        <w:t xml:space="preserve">e la </w:t>
      </w:r>
      <w:hyperlink w:anchor="Tab03" w:history="1">
        <w:r w:rsidR="001266E3" w:rsidRPr="0007765B">
          <w:rPr>
            <w:rStyle w:val="Collegamentoipertestuale"/>
            <w:rFonts w:ascii="Garamond" w:hAnsi="Garamond"/>
            <w:sz w:val="32"/>
            <w:szCs w:val="32"/>
          </w:rPr>
          <w:t>tabella 3</w:t>
        </w:r>
      </w:hyperlink>
      <w:r w:rsidR="001266E3">
        <w:rPr>
          <w:rFonts w:ascii="Garamond" w:hAnsi="Garamond"/>
          <w:sz w:val="32"/>
          <w:szCs w:val="32"/>
        </w:rPr>
        <w:t xml:space="preserve"> </w:t>
      </w:r>
      <w:r>
        <w:rPr>
          <w:rFonts w:ascii="Garamond" w:hAnsi="Garamond"/>
          <w:sz w:val="32"/>
          <w:szCs w:val="32"/>
        </w:rPr>
        <w:t>indica</w:t>
      </w:r>
      <w:r w:rsidR="001266E3">
        <w:rPr>
          <w:rFonts w:ascii="Garamond" w:hAnsi="Garamond"/>
          <w:sz w:val="32"/>
          <w:szCs w:val="32"/>
        </w:rPr>
        <w:t>no</w:t>
      </w:r>
      <w:r>
        <w:rPr>
          <w:rFonts w:ascii="Garamond" w:hAnsi="Garamond"/>
          <w:sz w:val="32"/>
          <w:szCs w:val="32"/>
        </w:rPr>
        <w:t xml:space="preserve"> nel dettaglio gli aspetti trattati nella circolare </w:t>
      </w:r>
      <w:r w:rsidR="001266E3">
        <w:rPr>
          <w:rFonts w:ascii="Garamond" w:hAnsi="Garamond"/>
          <w:sz w:val="32"/>
          <w:szCs w:val="32"/>
        </w:rPr>
        <w:t xml:space="preserve">e quelli ulteriori </w:t>
      </w:r>
      <w:r>
        <w:rPr>
          <w:rFonts w:ascii="Garamond" w:hAnsi="Garamond"/>
          <w:sz w:val="32"/>
          <w:szCs w:val="32"/>
        </w:rPr>
        <w:t>che costituiscono oggetto d</w:t>
      </w:r>
      <w:r w:rsidR="001266E3">
        <w:rPr>
          <w:rFonts w:ascii="Garamond" w:hAnsi="Garamond"/>
          <w:sz w:val="32"/>
          <w:szCs w:val="32"/>
        </w:rPr>
        <w:t>e</w:t>
      </w:r>
      <w:r>
        <w:rPr>
          <w:rFonts w:ascii="Garamond" w:hAnsi="Garamond"/>
          <w:sz w:val="32"/>
          <w:szCs w:val="32"/>
        </w:rPr>
        <w:t>i singo</w:t>
      </w:r>
      <w:r w:rsidR="001266E3">
        <w:rPr>
          <w:rFonts w:ascii="Garamond" w:hAnsi="Garamond"/>
          <w:sz w:val="32"/>
          <w:szCs w:val="32"/>
        </w:rPr>
        <w:t>li pareri espressi dal Comitato</w:t>
      </w:r>
      <w:r w:rsidR="0088545F">
        <w:rPr>
          <w:rFonts w:ascii="Garamond" w:hAnsi="Garamond"/>
          <w:sz w:val="32"/>
          <w:szCs w:val="32"/>
        </w:rPr>
        <w:t>.</w:t>
      </w:r>
    </w:p>
    <w:p w:rsidR="00E731B4" w:rsidRPr="00063D88" w:rsidRDefault="00E731B4" w:rsidP="00E731B4">
      <w:pPr>
        <w:rPr>
          <w:rFonts w:ascii="Garamond" w:hAnsi="Garamond"/>
        </w:rPr>
      </w:pPr>
    </w:p>
    <w:p w:rsidR="00670EB5" w:rsidRPr="00063D88" w:rsidRDefault="00A3363C" w:rsidP="00BB539E">
      <w:pPr>
        <w:rPr>
          <w:rFonts w:ascii="Garamond" w:hAnsi="Garamond"/>
          <w:sz w:val="32"/>
          <w:szCs w:val="32"/>
        </w:rPr>
      </w:pPr>
      <w:r w:rsidRPr="004D4ECD">
        <w:rPr>
          <w:rFonts w:ascii="Garamond" w:hAnsi="Garamond"/>
          <w:sz w:val="32"/>
          <w:szCs w:val="32"/>
        </w:rPr>
        <w:t xml:space="preserve">Rimandando </w:t>
      </w:r>
      <w:r w:rsidR="00DB5C99">
        <w:rPr>
          <w:rFonts w:ascii="Garamond" w:hAnsi="Garamond"/>
          <w:sz w:val="32"/>
          <w:szCs w:val="32"/>
        </w:rPr>
        <w:t xml:space="preserve">per il dettaglio </w:t>
      </w:r>
      <w:r w:rsidRPr="004D4ECD">
        <w:rPr>
          <w:rFonts w:ascii="Garamond" w:hAnsi="Garamond"/>
          <w:sz w:val="32"/>
          <w:szCs w:val="32"/>
        </w:rPr>
        <w:t>al</w:t>
      </w:r>
      <w:r w:rsidR="004D4ECD">
        <w:rPr>
          <w:rFonts w:ascii="Garamond" w:hAnsi="Garamond"/>
          <w:sz w:val="32"/>
          <w:szCs w:val="32"/>
        </w:rPr>
        <w:t xml:space="preserve">le </w:t>
      </w:r>
      <w:r w:rsidR="004D4ECD" w:rsidRPr="00DB5C99">
        <w:rPr>
          <w:rFonts w:ascii="Garamond" w:hAnsi="Garamond"/>
          <w:sz w:val="32"/>
          <w:szCs w:val="32"/>
        </w:rPr>
        <w:t xml:space="preserve">schede relative a tutti i pareri espressi nel periodo di riferimento, </w:t>
      </w:r>
      <w:r w:rsidR="00C06549">
        <w:rPr>
          <w:rFonts w:ascii="Garamond" w:hAnsi="Garamond"/>
          <w:sz w:val="32"/>
          <w:szCs w:val="32"/>
        </w:rPr>
        <w:t xml:space="preserve">che saranno </w:t>
      </w:r>
      <w:r w:rsidR="00DB5C99">
        <w:rPr>
          <w:rFonts w:ascii="Garamond" w:hAnsi="Garamond"/>
          <w:sz w:val="32"/>
          <w:szCs w:val="32"/>
        </w:rPr>
        <w:t>allegate</w:t>
      </w:r>
      <w:r w:rsidR="004D4ECD" w:rsidRPr="00DB5C99">
        <w:rPr>
          <w:rFonts w:ascii="Garamond" w:hAnsi="Garamond"/>
          <w:sz w:val="32"/>
          <w:szCs w:val="32"/>
        </w:rPr>
        <w:t xml:space="preserve"> al presente </w:t>
      </w:r>
      <w:r w:rsidR="00C06549">
        <w:rPr>
          <w:rFonts w:ascii="Garamond" w:hAnsi="Garamond"/>
          <w:sz w:val="32"/>
          <w:szCs w:val="32"/>
        </w:rPr>
        <w:t>rapporto</w:t>
      </w:r>
      <w:r w:rsidR="004D4ECD" w:rsidRPr="00DB5C99">
        <w:rPr>
          <w:rFonts w:ascii="Garamond" w:hAnsi="Garamond"/>
          <w:sz w:val="32"/>
          <w:szCs w:val="32"/>
        </w:rPr>
        <w:t xml:space="preserve">, </w:t>
      </w:r>
      <w:r w:rsidR="00DB5C99">
        <w:rPr>
          <w:rFonts w:ascii="Garamond" w:hAnsi="Garamond"/>
          <w:sz w:val="32"/>
          <w:szCs w:val="32"/>
        </w:rPr>
        <w:t>in formato elettronico,</w:t>
      </w:r>
      <w:r w:rsidRPr="00DB5C99">
        <w:rPr>
          <w:rFonts w:ascii="Garamond" w:hAnsi="Garamond"/>
          <w:sz w:val="32"/>
          <w:szCs w:val="32"/>
        </w:rPr>
        <w:t xml:space="preserve"> </w:t>
      </w:r>
      <w:r w:rsidRPr="004D4ECD">
        <w:rPr>
          <w:rFonts w:ascii="Garamond" w:hAnsi="Garamond"/>
          <w:sz w:val="32"/>
          <w:szCs w:val="32"/>
        </w:rPr>
        <w:t xml:space="preserve">mi limiterò in questa sede a qualche indicazione </w:t>
      </w:r>
      <w:r w:rsidR="0048691D">
        <w:rPr>
          <w:rFonts w:ascii="Garamond" w:hAnsi="Garamond"/>
          <w:sz w:val="32"/>
          <w:szCs w:val="32"/>
        </w:rPr>
        <w:t xml:space="preserve">di carattere generale </w:t>
      </w:r>
      <w:r w:rsidRPr="004D4ECD">
        <w:rPr>
          <w:rFonts w:ascii="Garamond" w:hAnsi="Garamond"/>
          <w:sz w:val="32"/>
          <w:szCs w:val="32"/>
        </w:rPr>
        <w:t>sugli aspetti appena segnalati.</w:t>
      </w:r>
    </w:p>
    <w:p w:rsidR="008846B4" w:rsidRDefault="008846B4" w:rsidP="00BB539E">
      <w:pPr>
        <w:rPr>
          <w:rFonts w:ascii="Garamond" w:hAnsi="Garamond"/>
          <w:sz w:val="32"/>
          <w:szCs w:val="32"/>
        </w:rPr>
      </w:pPr>
    </w:p>
    <w:p w:rsidR="0048691D" w:rsidRDefault="0050423D" w:rsidP="00BB539E">
      <w:pPr>
        <w:rPr>
          <w:rFonts w:ascii="Garamond" w:hAnsi="Garamond"/>
          <w:sz w:val="32"/>
          <w:szCs w:val="32"/>
        </w:rPr>
      </w:pPr>
      <w:r>
        <w:rPr>
          <w:rFonts w:ascii="Garamond" w:hAnsi="Garamond"/>
          <w:sz w:val="32"/>
          <w:szCs w:val="32"/>
        </w:rPr>
        <w:t xml:space="preserve">Talune tendenze di tecnica legislativa manifestatesi nella parte finale della scorsa legislatura si ripresentano anche </w:t>
      </w:r>
      <w:r w:rsidR="008879C6">
        <w:rPr>
          <w:rFonts w:ascii="Garamond" w:hAnsi="Garamond"/>
          <w:sz w:val="32"/>
          <w:szCs w:val="32"/>
        </w:rPr>
        <w:t>in</w:t>
      </w:r>
      <w:r>
        <w:rPr>
          <w:rFonts w:ascii="Garamond" w:hAnsi="Garamond"/>
          <w:sz w:val="32"/>
          <w:szCs w:val="32"/>
        </w:rPr>
        <w:t xml:space="preserve"> quella in corso e costituiscono oggetto di attenzione da parte del </w:t>
      </w:r>
      <w:r>
        <w:rPr>
          <w:rFonts w:ascii="Garamond" w:hAnsi="Garamond"/>
          <w:sz w:val="32"/>
          <w:szCs w:val="32"/>
        </w:rPr>
        <w:lastRenderedPageBreak/>
        <w:t xml:space="preserve">Comitato. Sono </w:t>
      </w:r>
      <w:r w:rsidR="006769E4">
        <w:rPr>
          <w:rFonts w:ascii="Garamond" w:hAnsi="Garamond"/>
          <w:sz w:val="32"/>
          <w:szCs w:val="32"/>
        </w:rPr>
        <w:t>tre</w:t>
      </w:r>
      <w:r>
        <w:rPr>
          <w:rFonts w:ascii="Garamond" w:hAnsi="Garamond"/>
          <w:sz w:val="32"/>
          <w:szCs w:val="32"/>
        </w:rPr>
        <w:t xml:space="preserve"> i fenomeni di particolare interesse </w:t>
      </w:r>
      <w:r w:rsidR="008879C6">
        <w:rPr>
          <w:rFonts w:ascii="Garamond" w:hAnsi="Garamond"/>
          <w:sz w:val="32"/>
          <w:szCs w:val="32"/>
        </w:rPr>
        <w:t>che già erano stati individuati con riguardo ai primi due turni di presidenza del Comitato</w:t>
      </w:r>
      <w:r>
        <w:rPr>
          <w:rFonts w:ascii="Garamond" w:hAnsi="Garamond"/>
          <w:sz w:val="32"/>
          <w:szCs w:val="32"/>
        </w:rPr>
        <w:t>:</w:t>
      </w:r>
    </w:p>
    <w:p w:rsidR="0050423D" w:rsidRDefault="0050423D" w:rsidP="00E10E3E">
      <w:pPr>
        <w:numPr>
          <w:ilvl w:val="0"/>
          <w:numId w:val="12"/>
        </w:numPr>
        <w:tabs>
          <w:tab w:val="clear" w:pos="1004"/>
          <w:tab w:val="num" w:pos="567"/>
        </w:tabs>
        <w:ind w:left="567"/>
        <w:rPr>
          <w:rFonts w:ascii="Garamond" w:hAnsi="Garamond"/>
          <w:sz w:val="32"/>
          <w:szCs w:val="32"/>
        </w:rPr>
      </w:pPr>
      <w:r>
        <w:rPr>
          <w:rFonts w:ascii="Garamond" w:hAnsi="Garamond"/>
          <w:sz w:val="32"/>
          <w:szCs w:val="32"/>
        </w:rPr>
        <w:t xml:space="preserve">una accentuata volatilità di diverse disposizioni, in ambiti nei quali si procede o in via incrementale e/o per successivi aggiustamenti, </w:t>
      </w:r>
      <w:r w:rsidR="00115676">
        <w:rPr>
          <w:rFonts w:ascii="Garamond" w:hAnsi="Garamond"/>
          <w:sz w:val="32"/>
          <w:szCs w:val="32"/>
        </w:rPr>
        <w:t>ove si produce</w:t>
      </w:r>
      <w:r>
        <w:rPr>
          <w:rFonts w:ascii="Garamond" w:hAnsi="Garamond"/>
          <w:sz w:val="32"/>
          <w:szCs w:val="32"/>
        </w:rPr>
        <w:t xml:space="preserve"> talora una stratificata situazione normativa, non sempre corredata degli opportuni coordinamenti;</w:t>
      </w:r>
    </w:p>
    <w:p w:rsidR="0050423D" w:rsidRDefault="0050423D" w:rsidP="00E10E3E">
      <w:pPr>
        <w:numPr>
          <w:ilvl w:val="0"/>
          <w:numId w:val="12"/>
        </w:numPr>
        <w:tabs>
          <w:tab w:val="clear" w:pos="1004"/>
          <w:tab w:val="num" w:pos="567"/>
        </w:tabs>
        <w:ind w:left="567"/>
        <w:rPr>
          <w:rFonts w:ascii="Garamond" w:hAnsi="Garamond"/>
          <w:sz w:val="32"/>
          <w:szCs w:val="32"/>
        </w:rPr>
      </w:pPr>
      <w:r>
        <w:rPr>
          <w:rFonts w:ascii="Garamond" w:hAnsi="Garamond"/>
          <w:sz w:val="32"/>
          <w:szCs w:val="32"/>
        </w:rPr>
        <w:t xml:space="preserve">la previsione di discipline a carattere </w:t>
      </w:r>
      <w:r w:rsidR="001266E3">
        <w:rPr>
          <w:rFonts w:ascii="Garamond" w:hAnsi="Garamond"/>
          <w:sz w:val="32"/>
          <w:szCs w:val="32"/>
        </w:rPr>
        <w:t xml:space="preserve">derogatorio, </w:t>
      </w:r>
      <w:r>
        <w:rPr>
          <w:rFonts w:ascii="Garamond" w:hAnsi="Garamond"/>
          <w:sz w:val="32"/>
          <w:szCs w:val="32"/>
        </w:rPr>
        <w:t>temporaneo</w:t>
      </w:r>
      <w:r w:rsidR="007B17B5">
        <w:rPr>
          <w:rFonts w:ascii="Garamond" w:hAnsi="Garamond"/>
          <w:sz w:val="32"/>
          <w:szCs w:val="32"/>
        </w:rPr>
        <w:t>, transitorio</w:t>
      </w:r>
      <w:r>
        <w:rPr>
          <w:rFonts w:ascii="Garamond" w:hAnsi="Garamond"/>
          <w:sz w:val="32"/>
          <w:szCs w:val="32"/>
        </w:rPr>
        <w:t xml:space="preserve"> o sperimentale, poi magari di volta in volta prorogate;</w:t>
      </w:r>
    </w:p>
    <w:p w:rsidR="0050423D" w:rsidRDefault="0050423D" w:rsidP="00E10E3E">
      <w:pPr>
        <w:numPr>
          <w:ilvl w:val="0"/>
          <w:numId w:val="12"/>
        </w:numPr>
        <w:tabs>
          <w:tab w:val="clear" w:pos="1004"/>
          <w:tab w:val="num" w:pos="567"/>
        </w:tabs>
        <w:ind w:left="567"/>
        <w:rPr>
          <w:rFonts w:ascii="Garamond" w:hAnsi="Garamond"/>
          <w:sz w:val="32"/>
          <w:szCs w:val="32"/>
        </w:rPr>
      </w:pPr>
      <w:r>
        <w:rPr>
          <w:rFonts w:ascii="Garamond" w:hAnsi="Garamond"/>
          <w:sz w:val="32"/>
          <w:szCs w:val="32"/>
        </w:rPr>
        <w:t>la redazione – a corredo delle parti precettive – di parti descrittive</w:t>
      </w:r>
      <w:r w:rsidR="007D3035">
        <w:rPr>
          <w:rFonts w:ascii="Garamond" w:hAnsi="Garamond"/>
          <w:sz w:val="32"/>
          <w:szCs w:val="32"/>
        </w:rPr>
        <w:t>, ricognitive</w:t>
      </w:r>
      <w:r w:rsidR="007932BC">
        <w:rPr>
          <w:rFonts w:ascii="Garamond" w:hAnsi="Garamond"/>
          <w:sz w:val="32"/>
          <w:szCs w:val="32"/>
        </w:rPr>
        <w:t>, programmatiche</w:t>
      </w:r>
      <w:r w:rsidR="00B7763C">
        <w:rPr>
          <w:rFonts w:ascii="Garamond" w:hAnsi="Garamond"/>
          <w:sz w:val="32"/>
          <w:szCs w:val="32"/>
        </w:rPr>
        <w:t xml:space="preserve"> o di principio</w:t>
      </w:r>
      <w:r>
        <w:rPr>
          <w:rFonts w:ascii="Garamond" w:hAnsi="Garamond"/>
          <w:sz w:val="32"/>
          <w:szCs w:val="32"/>
        </w:rPr>
        <w:t>, che indicano contesto</w:t>
      </w:r>
      <w:r w:rsidR="005D77D7">
        <w:rPr>
          <w:rFonts w:ascii="Garamond" w:hAnsi="Garamond"/>
          <w:sz w:val="32"/>
          <w:szCs w:val="32"/>
        </w:rPr>
        <w:t xml:space="preserve"> e</w:t>
      </w:r>
      <w:r>
        <w:rPr>
          <w:rFonts w:ascii="Garamond" w:hAnsi="Garamond"/>
          <w:sz w:val="32"/>
          <w:szCs w:val="32"/>
        </w:rPr>
        <w:t xml:space="preserve"> finalità</w:t>
      </w:r>
      <w:r w:rsidR="00B7763C">
        <w:rPr>
          <w:rFonts w:ascii="Garamond" w:hAnsi="Garamond"/>
          <w:sz w:val="32"/>
          <w:szCs w:val="32"/>
        </w:rPr>
        <w:t>, tal</w:t>
      </w:r>
      <w:r w:rsidR="005D77D7">
        <w:rPr>
          <w:rFonts w:ascii="Garamond" w:hAnsi="Garamond"/>
          <w:sz w:val="32"/>
          <w:szCs w:val="32"/>
        </w:rPr>
        <w:t>ora in stile quasi colloquiale.</w:t>
      </w:r>
    </w:p>
    <w:p w:rsidR="007E4916" w:rsidRDefault="007E4916" w:rsidP="00BB539E">
      <w:pPr>
        <w:rPr>
          <w:rFonts w:ascii="Garamond" w:hAnsi="Garamond"/>
          <w:sz w:val="32"/>
          <w:szCs w:val="32"/>
        </w:rPr>
      </w:pPr>
    </w:p>
    <w:p w:rsidR="005D77D7" w:rsidRPr="00F00BA0" w:rsidRDefault="00F038C0" w:rsidP="00F00BA0">
      <w:pPr>
        <w:pStyle w:val="Titolo2"/>
        <w:rPr>
          <w:rFonts w:ascii="Garamond" w:hAnsi="Garamond"/>
          <w:i/>
          <w:color w:val="0000FF"/>
          <w:sz w:val="28"/>
          <w:szCs w:val="28"/>
        </w:rPr>
      </w:pPr>
      <w:bookmarkStart w:id="69" w:name="_Toc439082241"/>
      <w:bookmarkStart w:id="70" w:name="_Toc439953657"/>
      <w:bookmarkStart w:id="71" w:name="_Toc440030371"/>
      <w:r>
        <w:rPr>
          <w:rFonts w:ascii="Garamond" w:hAnsi="Garamond"/>
          <w:i/>
          <w:color w:val="0000FF"/>
          <w:sz w:val="28"/>
          <w:szCs w:val="28"/>
        </w:rPr>
        <w:t>4.4.2.</w:t>
      </w:r>
      <w:r w:rsidR="00CA7AB6" w:rsidRPr="00F00BA0">
        <w:rPr>
          <w:rFonts w:ascii="Garamond" w:hAnsi="Garamond"/>
          <w:i/>
          <w:color w:val="0000FF"/>
          <w:sz w:val="28"/>
          <w:szCs w:val="28"/>
        </w:rPr>
        <w:t xml:space="preserve"> </w:t>
      </w:r>
      <w:r w:rsidR="007B17B5" w:rsidRPr="00F00BA0">
        <w:rPr>
          <w:rFonts w:ascii="Garamond" w:hAnsi="Garamond"/>
          <w:i/>
          <w:color w:val="0000FF"/>
          <w:sz w:val="28"/>
          <w:szCs w:val="28"/>
        </w:rPr>
        <w:t>Volatilità,</w:t>
      </w:r>
      <w:r w:rsidR="005D77D7" w:rsidRPr="00F00BA0">
        <w:rPr>
          <w:rFonts w:ascii="Garamond" w:hAnsi="Garamond"/>
          <w:i/>
          <w:color w:val="0000FF"/>
          <w:sz w:val="28"/>
          <w:szCs w:val="28"/>
        </w:rPr>
        <w:t xml:space="preserve"> stratificazione normativa</w:t>
      </w:r>
      <w:r w:rsidR="007B17B5" w:rsidRPr="00F00BA0">
        <w:rPr>
          <w:rFonts w:ascii="Garamond" w:hAnsi="Garamond"/>
          <w:i/>
          <w:color w:val="0000FF"/>
          <w:sz w:val="28"/>
          <w:szCs w:val="28"/>
        </w:rPr>
        <w:t xml:space="preserve"> ed assenza di coordinamento</w:t>
      </w:r>
      <w:bookmarkEnd w:id="69"/>
      <w:bookmarkEnd w:id="70"/>
      <w:bookmarkEnd w:id="71"/>
    </w:p>
    <w:p w:rsidR="00D824A8" w:rsidRDefault="001266E3" w:rsidP="00A66E87">
      <w:pPr>
        <w:rPr>
          <w:rFonts w:ascii="Garamond" w:hAnsi="Garamond"/>
          <w:sz w:val="32"/>
          <w:szCs w:val="32"/>
        </w:rPr>
      </w:pPr>
      <w:r>
        <w:rPr>
          <w:rFonts w:ascii="Garamond" w:hAnsi="Garamond"/>
          <w:sz w:val="32"/>
          <w:szCs w:val="32"/>
        </w:rPr>
        <w:t>Come risulta dalle tabelle 2 e 3, so</w:t>
      </w:r>
      <w:r w:rsidR="007B17B5">
        <w:rPr>
          <w:rFonts w:ascii="Garamond" w:hAnsi="Garamond"/>
          <w:sz w:val="32"/>
          <w:szCs w:val="32"/>
        </w:rPr>
        <w:t>no molti i</w:t>
      </w:r>
      <w:r w:rsidR="005D77D7">
        <w:rPr>
          <w:rFonts w:ascii="Garamond" w:hAnsi="Garamond"/>
          <w:sz w:val="32"/>
          <w:szCs w:val="32"/>
        </w:rPr>
        <w:t xml:space="preserve"> pareri </w:t>
      </w:r>
      <w:r w:rsidR="007B17B5">
        <w:rPr>
          <w:rFonts w:ascii="Garamond" w:hAnsi="Garamond"/>
          <w:sz w:val="32"/>
          <w:szCs w:val="32"/>
        </w:rPr>
        <w:t xml:space="preserve">che </w:t>
      </w:r>
      <w:r w:rsidR="005D77D7">
        <w:rPr>
          <w:rFonts w:ascii="Garamond" w:hAnsi="Garamond"/>
          <w:sz w:val="32"/>
          <w:szCs w:val="32"/>
        </w:rPr>
        <w:t>si soffermano sui temi collegati della modifica di</w:t>
      </w:r>
      <w:r w:rsidR="007B17B5">
        <w:rPr>
          <w:rFonts w:ascii="Garamond" w:hAnsi="Garamond"/>
          <w:sz w:val="32"/>
          <w:szCs w:val="32"/>
        </w:rPr>
        <w:t xml:space="preserve"> norme di recente approvazione, de</w:t>
      </w:r>
      <w:r w:rsidR="005D77D7">
        <w:rPr>
          <w:rFonts w:ascii="Garamond" w:hAnsi="Garamond"/>
          <w:sz w:val="32"/>
          <w:szCs w:val="32"/>
        </w:rPr>
        <w:t>lla stratificazione normativa</w:t>
      </w:r>
      <w:r w:rsidR="007B17B5">
        <w:rPr>
          <w:rFonts w:ascii="Garamond" w:hAnsi="Garamond"/>
          <w:sz w:val="32"/>
          <w:szCs w:val="32"/>
        </w:rPr>
        <w:t xml:space="preserve"> e del mancato coordinamento con la normativa vigente</w:t>
      </w:r>
      <w:r w:rsidR="005D77D7">
        <w:rPr>
          <w:rFonts w:ascii="Garamond" w:hAnsi="Garamond"/>
          <w:sz w:val="32"/>
          <w:szCs w:val="32"/>
        </w:rPr>
        <w:t xml:space="preserve">. </w:t>
      </w:r>
      <w:r w:rsidR="00A66E87">
        <w:rPr>
          <w:rFonts w:ascii="Garamond" w:hAnsi="Garamond"/>
          <w:sz w:val="32"/>
          <w:szCs w:val="32"/>
        </w:rPr>
        <w:t xml:space="preserve">Ovviamente, i problemi si amplificano quando le norme si stratificano senza gli adeguati coordinamenti. </w:t>
      </w:r>
    </w:p>
    <w:p w:rsidR="006E23EA" w:rsidRDefault="00A66E87" w:rsidP="00A66E87">
      <w:pPr>
        <w:rPr>
          <w:rFonts w:ascii="Garamond" w:hAnsi="Garamond"/>
          <w:sz w:val="32"/>
          <w:szCs w:val="32"/>
        </w:rPr>
      </w:pPr>
      <w:r>
        <w:rPr>
          <w:rFonts w:ascii="Garamond" w:hAnsi="Garamond"/>
          <w:sz w:val="32"/>
          <w:szCs w:val="32"/>
        </w:rPr>
        <w:t>Segnalo, al riguardo, i</w:t>
      </w:r>
      <w:r w:rsidR="006E23EA">
        <w:rPr>
          <w:rFonts w:ascii="Garamond" w:hAnsi="Garamond"/>
          <w:sz w:val="32"/>
          <w:szCs w:val="32"/>
        </w:rPr>
        <w:t xml:space="preserve"> seguenti </w:t>
      </w:r>
      <w:r>
        <w:rPr>
          <w:rFonts w:ascii="Garamond" w:hAnsi="Garamond"/>
          <w:sz w:val="32"/>
          <w:szCs w:val="32"/>
        </w:rPr>
        <w:t>parer</w:t>
      </w:r>
      <w:r w:rsidR="006E23EA">
        <w:rPr>
          <w:rFonts w:ascii="Garamond" w:hAnsi="Garamond"/>
          <w:sz w:val="32"/>
          <w:szCs w:val="32"/>
        </w:rPr>
        <w:t>i:</w:t>
      </w:r>
    </w:p>
    <w:p w:rsidR="006E23EA" w:rsidRDefault="0077331C" w:rsidP="00A66E87">
      <w:pPr>
        <w:rPr>
          <w:rFonts w:ascii="Garamond" w:hAnsi="Garamond"/>
          <w:sz w:val="32"/>
          <w:szCs w:val="32"/>
        </w:rPr>
      </w:pPr>
      <w:r>
        <w:rPr>
          <w:rFonts w:ascii="Garamond" w:hAnsi="Garamond"/>
          <w:sz w:val="32"/>
          <w:szCs w:val="32"/>
        </w:rPr>
        <w:t xml:space="preserve">▪ </w:t>
      </w:r>
      <w:r w:rsidR="006E23EA">
        <w:rPr>
          <w:rFonts w:ascii="Garamond" w:hAnsi="Garamond"/>
          <w:sz w:val="32"/>
          <w:szCs w:val="32"/>
        </w:rPr>
        <w:t xml:space="preserve">sul decreto-legge n. 192/2014 (C. 2803 – mille proroghe), ove nelle premesse si rileva che </w:t>
      </w:r>
      <w:r w:rsidR="006E23EA" w:rsidRPr="006E23EA">
        <w:rPr>
          <w:rFonts w:ascii="Garamond" w:hAnsi="Garamond"/>
          <w:sz w:val="32"/>
          <w:szCs w:val="32"/>
        </w:rPr>
        <w:t xml:space="preserve">«nel procedere a numerose modifiche della disciplina vigente, il decreto non sempre effettua gli opportuni coordinamenti con le preesistenti fonti normative, sulle quali talvolta interviene mediante </w:t>
      </w:r>
      <w:r w:rsidR="006E23EA" w:rsidRPr="006769E4">
        <w:rPr>
          <w:rFonts w:ascii="Garamond" w:hAnsi="Garamond"/>
          <w:sz w:val="32"/>
          <w:szCs w:val="32"/>
        </w:rPr>
        <w:t>modifiche non testuali. Diversi interventi di proroga o differimento di termini (si vedano, ad esempio, l'articolo 1, commi</w:t>
      </w:r>
      <w:r w:rsidR="006E23EA" w:rsidRPr="006E23EA">
        <w:rPr>
          <w:rFonts w:ascii="Garamond" w:hAnsi="Garamond"/>
          <w:sz w:val="32"/>
          <w:szCs w:val="32"/>
        </w:rPr>
        <w:t xml:space="preserve"> 2, 4, 7 e 9, concernenti assunzioni e contratti di lavoro nel settore pubblico; l'articolo 4, commi 1, 3 e 6, concernenti </w:t>
      </w:r>
      <w:r w:rsidR="006E23EA" w:rsidRPr="006E23EA">
        <w:rPr>
          <w:rFonts w:ascii="Garamond" w:hAnsi="Garamond"/>
          <w:sz w:val="32"/>
          <w:szCs w:val="32"/>
        </w:rPr>
        <w:lastRenderedPageBreak/>
        <w:t>provvedimenti di competenza del ministero dell'interno; l'articolo 9, comma 1, relativo al divieto di conferimento in discarica di rifiuti, nonché ulteriori casi puntualmente individuati nel seguito) vengono infatti disposti senza novellare il termine precedentemente previsto »</w:t>
      </w:r>
      <w:r w:rsidR="006E23EA">
        <w:rPr>
          <w:rFonts w:ascii="Garamond" w:hAnsi="Garamond"/>
          <w:sz w:val="32"/>
          <w:szCs w:val="32"/>
        </w:rPr>
        <w:t>. Ne consegue la seguente osservazione: «</w:t>
      </w:r>
      <w:r w:rsidR="006E23EA" w:rsidRPr="006E23EA">
        <w:rPr>
          <w:rFonts w:ascii="Garamond" w:hAnsi="Garamond"/>
          <w:sz w:val="32"/>
          <w:szCs w:val="32"/>
        </w:rPr>
        <w:t>si dovrebbero riformulare in termini di novella le disposizioni indicate in premessa che incidono in via non testuale su previgenti disposizioni legislative al fine di prorogare o differire termini da esse previsti</w:t>
      </w:r>
      <w:r w:rsidR="006E23EA" w:rsidRPr="00B8197B">
        <w:rPr>
          <w:rFonts w:ascii="Garamond" w:hAnsi="Garamond"/>
          <w:sz w:val="32"/>
          <w:szCs w:val="32"/>
        </w:rPr>
        <w:t>»</w:t>
      </w:r>
      <w:r w:rsidR="000A3BAA" w:rsidRPr="00B8197B">
        <w:rPr>
          <w:rFonts w:ascii="Garamond" w:hAnsi="Garamond"/>
          <w:sz w:val="32"/>
          <w:szCs w:val="32"/>
        </w:rPr>
        <w:t xml:space="preserve"> (</w:t>
      </w:r>
      <w:hyperlink w:anchor="S01a06" w:history="1">
        <w:r w:rsidR="000A3BAA" w:rsidRPr="00D04964">
          <w:rPr>
            <w:rStyle w:val="Collegamentoipertestuale"/>
            <w:rFonts w:ascii="Garamond" w:hAnsi="Garamond"/>
            <w:sz w:val="32"/>
            <w:szCs w:val="32"/>
          </w:rPr>
          <w:t>Scheda 1, punto 6</w:t>
        </w:r>
      </w:hyperlink>
      <w:r w:rsidR="000A3BAA" w:rsidRPr="00B8197B">
        <w:rPr>
          <w:rFonts w:ascii="Garamond" w:hAnsi="Garamond"/>
          <w:sz w:val="32"/>
          <w:szCs w:val="32"/>
        </w:rPr>
        <w:t>)</w:t>
      </w:r>
      <w:r w:rsidR="006E23EA" w:rsidRPr="00B8197B">
        <w:rPr>
          <w:rFonts w:ascii="Garamond" w:hAnsi="Garamond"/>
          <w:sz w:val="32"/>
          <w:szCs w:val="32"/>
        </w:rPr>
        <w:t>;</w:t>
      </w:r>
    </w:p>
    <w:p w:rsidR="00A66E87" w:rsidRPr="00A66E87" w:rsidRDefault="0077331C" w:rsidP="00A66E87">
      <w:pPr>
        <w:rPr>
          <w:rFonts w:ascii="Garamond" w:hAnsi="Garamond"/>
          <w:sz w:val="32"/>
          <w:szCs w:val="32"/>
        </w:rPr>
      </w:pPr>
      <w:r>
        <w:rPr>
          <w:rFonts w:ascii="Garamond" w:hAnsi="Garamond"/>
          <w:sz w:val="32"/>
          <w:szCs w:val="32"/>
        </w:rPr>
        <w:t xml:space="preserve">▪ </w:t>
      </w:r>
      <w:r w:rsidR="00D824A8">
        <w:rPr>
          <w:rFonts w:ascii="Garamond" w:hAnsi="Garamond"/>
          <w:sz w:val="32"/>
          <w:szCs w:val="32"/>
        </w:rPr>
        <w:t xml:space="preserve">sul disegno di legge C. 2994 (delega sulla “buona scuola), ove nelle premesse si rileva che </w:t>
      </w:r>
      <w:r w:rsidR="00A66E87" w:rsidRPr="00A66E87">
        <w:rPr>
          <w:rFonts w:ascii="Garamond" w:hAnsi="Garamond"/>
          <w:sz w:val="32"/>
          <w:szCs w:val="32"/>
        </w:rPr>
        <w:t xml:space="preserve">«nel procedere a numerosi interventi modificativi della disciplina vigente (contenuta sia nel testo unico del 1994 sia in una pluralità di altri </w:t>
      </w:r>
      <w:r w:rsidR="00A66E87" w:rsidRPr="00D824A8">
        <w:rPr>
          <w:rFonts w:ascii="Garamond" w:hAnsi="Garamond"/>
          <w:sz w:val="32"/>
          <w:szCs w:val="32"/>
        </w:rPr>
        <w:t>provvedimenti assai stratificati), il disegno di legge non sempre effettua un adeguato coordinamento con le preesistenti fonti normative, che risultano oggetto di modifiche non testuali (ad esempio, l'articolo 4, sull'alternanza scuola-lavoro, interviene</w:t>
      </w:r>
      <w:r w:rsidR="00A66E87" w:rsidRPr="00A66E87">
        <w:rPr>
          <w:rFonts w:ascii="Garamond" w:hAnsi="Garamond"/>
          <w:sz w:val="32"/>
          <w:szCs w:val="32"/>
        </w:rPr>
        <w:t xml:space="preserve"> sulla materia già disciplinata dal decreto legislativo n. 77 del 2005 apportando modifiche sia testuali sia implicite; l'articolo 7 indica le funzioni del dirigente scolastico senza effettuare un coordinamento con l'articolo 25 del decreto legislativo n. 165 del 2001 e con l'articolo 396 del decreto legislativo n. 297 del 1994, che disciplinano il medesimo oggetto; all'articolo 19 il comma 1 dispone in merito all'Osservatorio per l'edilizia scolastica senza novellare l'articolo 6 della legge n. 23 del 1996, che ne ha previsto l'istituzione e regolato i compiti); per effetto di questi interventi sono influenzati negativamente, in particolare, i caratteri di unitarietà ed onnicomprensività del testo unico del 1994, caratteri che dovrebbero essere propri di un codice riferito ad un determinato settore disciplinare; tuttavia, si segnala che l'articolo 21 delega il Governo alla codificazione e al riordino della normativa vigente: è, dunque, nell'attuazione di tale delega che potrebbero trovare efficace soluzione i problemi di coordinamento»</w:t>
      </w:r>
      <w:r w:rsidR="000A3BAA">
        <w:rPr>
          <w:rFonts w:ascii="Garamond" w:hAnsi="Garamond"/>
          <w:sz w:val="32"/>
          <w:szCs w:val="32"/>
        </w:rPr>
        <w:t xml:space="preserve"> </w:t>
      </w:r>
      <w:r w:rsidR="000A3BAA" w:rsidRPr="00040CAA">
        <w:rPr>
          <w:rFonts w:ascii="Garamond" w:hAnsi="Garamond"/>
          <w:sz w:val="32"/>
          <w:szCs w:val="32"/>
        </w:rPr>
        <w:t>(</w:t>
      </w:r>
      <w:hyperlink w:anchor="S09a01bis" w:history="1">
        <w:r w:rsidR="000A3BAA" w:rsidRPr="00D04964">
          <w:rPr>
            <w:rStyle w:val="Collegamentoipertestuale"/>
            <w:rFonts w:ascii="Garamond" w:hAnsi="Garamond"/>
            <w:sz w:val="32"/>
            <w:szCs w:val="32"/>
          </w:rPr>
          <w:t>Scheda 9, punto 1-</w:t>
        </w:r>
        <w:r w:rsidR="000A3BAA" w:rsidRPr="00D04964">
          <w:rPr>
            <w:rStyle w:val="Collegamentoipertestuale"/>
            <w:rFonts w:ascii="Garamond" w:hAnsi="Garamond"/>
            <w:i/>
            <w:sz w:val="32"/>
            <w:szCs w:val="32"/>
          </w:rPr>
          <w:t>bis</w:t>
        </w:r>
      </w:hyperlink>
      <w:r w:rsidR="000A3BAA" w:rsidRPr="00040CAA">
        <w:rPr>
          <w:rFonts w:ascii="Garamond" w:hAnsi="Garamond"/>
          <w:sz w:val="32"/>
          <w:szCs w:val="32"/>
        </w:rPr>
        <w:t>)</w:t>
      </w:r>
      <w:r w:rsidR="00A66E87" w:rsidRPr="00040CAA">
        <w:rPr>
          <w:rFonts w:ascii="Garamond" w:hAnsi="Garamond"/>
          <w:sz w:val="32"/>
          <w:szCs w:val="32"/>
        </w:rPr>
        <w:t>;</w:t>
      </w:r>
    </w:p>
    <w:p w:rsidR="00A66E87" w:rsidRDefault="0077331C" w:rsidP="00BB539E">
      <w:pPr>
        <w:rPr>
          <w:rFonts w:ascii="Garamond" w:hAnsi="Garamond"/>
          <w:sz w:val="32"/>
          <w:szCs w:val="32"/>
        </w:rPr>
      </w:pPr>
      <w:r>
        <w:rPr>
          <w:rFonts w:ascii="Garamond" w:hAnsi="Garamond"/>
          <w:sz w:val="32"/>
          <w:szCs w:val="32"/>
        </w:rPr>
        <w:lastRenderedPageBreak/>
        <w:t xml:space="preserve">▪ </w:t>
      </w:r>
      <w:r w:rsidR="006E23EA">
        <w:rPr>
          <w:rFonts w:ascii="Garamond" w:hAnsi="Garamond"/>
          <w:sz w:val="32"/>
          <w:szCs w:val="32"/>
        </w:rPr>
        <w:t xml:space="preserve">sul disegno di legge C. 2798 (modifiche ai codici penale e di procedura penale), ove nelle premesse il Comitato rileva che </w:t>
      </w:r>
      <w:r w:rsidR="006E23EA" w:rsidRPr="006E23EA">
        <w:rPr>
          <w:rFonts w:ascii="Garamond" w:hAnsi="Garamond"/>
          <w:sz w:val="32"/>
          <w:szCs w:val="32"/>
        </w:rPr>
        <w:t xml:space="preserve">«l’incremento della pena per il reato di corruzione previsto dall’articolo 3 </w:t>
      </w:r>
      <w:r w:rsidR="006E23EA" w:rsidRPr="006769E4">
        <w:rPr>
          <w:rFonts w:ascii="Garamond" w:hAnsi="Garamond"/>
          <w:sz w:val="32"/>
          <w:szCs w:val="32"/>
        </w:rPr>
        <w:t>risulta già disposto,</w:t>
      </w:r>
      <w:r w:rsidR="006E23EA" w:rsidRPr="006E23EA">
        <w:rPr>
          <w:rFonts w:ascii="Garamond" w:hAnsi="Garamond"/>
          <w:sz w:val="32"/>
          <w:szCs w:val="32"/>
        </w:rPr>
        <w:t xml:space="preserve"> nella medesima misura, dall’articolo 1, comma 1, lettera f) della legge n. 69/2015»</w:t>
      </w:r>
      <w:r w:rsidR="006E23EA">
        <w:rPr>
          <w:rFonts w:ascii="Garamond" w:hAnsi="Garamond"/>
          <w:sz w:val="32"/>
          <w:szCs w:val="32"/>
        </w:rPr>
        <w:t>. Ne consegue una condizione soppressiva</w:t>
      </w:r>
      <w:r w:rsidR="000A3BAA">
        <w:rPr>
          <w:rFonts w:ascii="Garamond" w:hAnsi="Garamond"/>
          <w:sz w:val="32"/>
          <w:szCs w:val="32"/>
        </w:rPr>
        <w:t xml:space="preserve"> </w:t>
      </w:r>
      <w:r w:rsidR="000A3BAA" w:rsidRPr="00040CAA">
        <w:rPr>
          <w:rFonts w:ascii="Garamond" w:hAnsi="Garamond"/>
          <w:sz w:val="32"/>
          <w:szCs w:val="32"/>
        </w:rPr>
        <w:t>(</w:t>
      </w:r>
      <w:hyperlink w:anchor="S14a02" w:history="1">
        <w:r w:rsidR="000A3BAA" w:rsidRPr="00D04964">
          <w:rPr>
            <w:rStyle w:val="Collegamentoipertestuale"/>
            <w:rFonts w:ascii="Garamond" w:hAnsi="Garamond"/>
            <w:sz w:val="32"/>
            <w:szCs w:val="32"/>
          </w:rPr>
          <w:t>Scheda 14, punto 2</w:t>
        </w:r>
      </w:hyperlink>
      <w:r w:rsidR="000A3BAA" w:rsidRPr="00040CAA">
        <w:rPr>
          <w:rFonts w:ascii="Garamond" w:hAnsi="Garamond"/>
          <w:sz w:val="32"/>
          <w:szCs w:val="32"/>
        </w:rPr>
        <w:t xml:space="preserve"> e </w:t>
      </w:r>
      <w:hyperlink w:anchor="S14c01" w:history="1">
        <w:r w:rsidR="000A3BAA" w:rsidRPr="00D04964">
          <w:rPr>
            <w:rStyle w:val="Collegamentoipertestuale"/>
            <w:rFonts w:ascii="Garamond" w:hAnsi="Garamond"/>
            <w:sz w:val="32"/>
            <w:szCs w:val="32"/>
          </w:rPr>
          <w:t>condizione 1</w:t>
        </w:r>
      </w:hyperlink>
      <w:r w:rsidR="000A3BAA" w:rsidRPr="00040CAA">
        <w:rPr>
          <w:rFonts w:ascii="Garamond" w:hAnsi="Garamond"/>
          <w:sz w:val="32"/>
          <w:szCs w:val="32"/>
        </w:rPr>
        <w:t>)</w:t>
      </w:r>
      <w:r w:rsidR="006E23EA" w:rsidRPr="00040CAA">
        <w:rPr>
          <w:rFonts w:ascii="Garamond" w:hAnsi="Garamond"/>
          <w:sz w:val="32"/>
          <w:szCs w:val="32"/>
        </w:rPr>
        <w:t>;</w:t>
      </w:r>
    </w:p>
    <w:p w:rsidR="006E23EA" w:rsidRDefault="0077331C" w:rsidP="00BB539E">
      <w:pPr>
        <w:rPr>
          <w:rFonts w:ascii="Garamond" w:hAnsi="Garamond"/>
          <w:sz w:val="32"/>
          <w:szCs w:val="32"/>
        </w:rPr>
      </w:pPr>
      <w:r>
        <w:rPr>
          <w:rFonts w:ascii="Garamond" w:hAnsi="Garamond"/>
          <w:sz w:val="32"/>
          <w:szCs w:val="32"/>
        </w:rPr>
        <w:t xml:space="preserve">▪ </w:t>
      </w:r>
      <w:r w:rsidR="000A3BAA">
        <w:rPr>
          <w:rFonts w:ascii="Garamond" w:hAnsi="Garamond"/>
          <w:sz w:val="32"/>
          <w:szCs w:val="32"/>
        </w:rPr>
        <w:t>sui decr</w:t>
      </w:r>
      <w:r w:rsidR="006E23EA">
        <w:rPr>
          <w:rFonts w:ascii="Garamond" w:hAnsi="Garamond"/>
          <w:sz w:val="32"/>
          <w:szCs w:val="32"/>
        </w:rPr>
        <w:t>e</w:t>
      </w:r>
      <w:r w:rsidR="000A3BAA">
        <w:rPr>
          <w:rFonts w:ascii="Garamond" w:hAnsi="Garamond"/>
          <w:sz w:val="32"/>
          <w:szCs w:val="32"/>
        </w:rPr>
        <w:t>t</w:t>
      </w:r>
      <w:r w:rsidR="006E23EA">
        <w:rPr>
          <w:rFonts w:ascii="Garamond" w:hAnsi="Garamond"/>
          <w:sz w:val="32"/>
          <w:szCs w:val="32"/>
        </w:rPr>
        <w:t xml:space="preserve">i-legge nn. 83 e 92 del 2015 (C. 3201 </w:t>
      </w:r>
      <w:r w:rsidR="000A3BAA">
        <w:rPr>
          <w:rFonts w:ascii="Garamond" w:hAnsi="Garamond"/>
          <w:sz w:val="32"/>
          <w:szCs w:val="32"/>
        </w:rPr>
        <w:t>–</w:t>
      </w:r>
      <w:r w:rsidR="006E23EA">
        <w:rPr>
          <w:rFonts w:ascii="Garamond" w:hAnsi="Garamond"/>
          <w:sz w:val="32"/>
          <w:szCs w:val="32"/>
        </w:rPr>
        <w:t xml:space="preserve"> </w:t>
      </w:r>
      <w:r w:rsidR="000A3BAA">
        <w:rPr>
          <w:rFonts w:ascii="Garamond" w:hAnsi="Garamond"/>
          <w:sz w:val="32"/>
          <w:szCs w:val="32"/>
        </w:rPr>
        <w:t xml:space="preserve">fallimenti, modifiche al codice civile e al codice di procedura civile e C. 3210 – rifiuti e ILVA), ove nelle premesse il Comitato annota in maniera identica che </w:t>
      </w:r>
      <w:r w:rsidR="000A3BAA" w:rsidRPr="000A3BAA">
        <w:rPr>
          <w:rFonts w:ascii="Garamond" w:hAnsi="Garamond"/>
          <w:sz w:val="32"/>
          <w:szCs w:val="32"/>
        </w:rPr>
        <w:t xml:space="preserve">«il provvedimento interviene in una materia oggetto di una notevole </w:t>
      </w:r>
      <w:r w:rsidR="000A3BAA" w:rsidRPr="006769E4">
        <w:rPr>
          <w:rFonts w:ascii="Garamond" w:hAnsi="Garamond"/>
          <w:sz w:val="32"/>
          <w:szCs w:val="32"/>
        </w:rPr>
        <w:t>stratificazione normativa,</w:t>
      </w:r>
      <w:r w:rsidR="000A3BAA" w:rsidRPr="000A3BAA">
        <w:rPr>
          <w:rFonts w:ascii="Garamond" w:hAnsi="Garamond"/>
          <w:sz w:val="32"/>
          <w:szCs w:val="32"/>
        </w:rPr>
        <w:t xml:space="preserve"> con un potenziale effetto di precarietà sulla certezza dei rapporti giuridici</w:t>
      </w:r>
      <w:r w:rsidR="000A3BAA">
        <w:rPr>
          <w:rFonts w:ascii="Garamond" w:hAnsi="Garamond"/>
          <w:sz w:val="32"/>
          <w:szCs w:val="32"/>
        </w:rPr>
        <w:t>», esemplificando il fenomeno. Basti citare il parere sul decreto-legge n. 83/2015: «</w:t>
      </w:r>
      <w:r w:rsidR="000A3BAA" w:rsidRPr="000A3BAA">
        <w:rPr>
          <w:rFonts w:ascii="Garamond" w:hAnsi="Garamond"/>
          <w:sz w:val="32"/>
          <w:szCs w:val="32"/>
        </w:rPr>
        <w:t>a titolo esemplificativo si segnala che l’articolo 4 modifica l’articolo 161 della legge fallimentare, che, negli ultimi anni è stato integralmente sostituito dall’articolo 2 del decreto-legge n. 32/2005 e poi modificato dal decreto legislativo n. 169/2007 e dai decreti legge n. 83/2012 e n. 69/2013»</w:t>
      </w:r>
      <w:r w:rsidR="000A3BAA">
        <w:rPr>
          <w:rFonts w:ascii="Garamond" w:hAnsi="Garamond"/>
          <w:sz w:val="32"/>
          <w:szCs w:val="32"/>
        </w:rPr>
        <w:t xml:space="preserve"> </w:t>
      </w:r>
      <w:r w:rsidR="000A3BAA" w:rsidRPr="00040CAA">
        <w:rPr>
          <w:rFonts w:ascii="Garamond" w:hAnsi="Garamond"/>
          <w:sz w:val="32"/>
          <w:szCs w:val="32"/>
        </w:rPr>
        <w:t>(</w:t>
      </w:r>
      <w:hyperlink w:anchor="S16a02" w:history="1">
        <w:r w:rsidR="000A3BAA" w:rsidRPr="00D04964">
          <w:rPr>
            <w:rStyle w:val="Collegamentoipertestuale"/>
            <w:rFonts w:ascii="Garamond" w:hAnsi="Garamond"/>
            <w:sz w:val="32"/>
            <w:szCs w:val="32"/>
          </w:rPr>
          <w:t>Scheda 16, punto 2</w:t>
        </w:r>
      </w:hyperlink>
      <w:r w:rsidR="000A3BAA" w:rsidRPr="00040CAA">
        <w:rPr>
          <w:rFonts w:ascii="Garamond" w:hAnsi="Garamond"/>
          <w:sz w:val="32"/>
          <w:szCs w:val="32"/>
        </w:rPr>
        <w:t>).</w:t>
      </w:r>
    </w:p>
    <w:p w:rsidR="000A3BAA" w:rsidRDefault="000A3BAA" w:rsidP="00BB539E">
      <w:pPr>
        <w:rPr>
          <w:rFonts w:ascii="Garamond" w:hAnsi="Garamond"/>
          <w:sz w:val="32"/>
          <w:szCs w:val="32"/>
          <w:highlight w:val="yellow"/>
        </w:rPr>
      </w:pPr>
    </w:p>
    <w:p w:rsidR="00232052" w:rsidRPr="00F00BA0" w:rsidRDefault="00976D09" w:rsidP="00F00BA0">
      <w:pPr>
        <w:pStyle w:val="Titolo2"/>
        <w:rPr>
          <w:rFonts w:ascii="Garamond" w:hAnsi="Garamond"/>
          <w:i/>
          <w:color w:val="0000FF"/>
          <w:sz w:val="28"/>
          <w:szCs w:val="28"/>
        </w:rPr>
      </w:pPr>
      <w:bookmarkStart w:id="72" w:name="_Toc439082242"/>
      <w:bookmarkStart w:id="73" w:name="_Toc439953658"/>
      <w:bookmarkStart w:id="74" w:name="_Toc440030372"/>
      <w:r>
        <w:rPr>
          <w:rFonts w:ascii="Garamond" w:hAnsi="Garamond"/>
          <w:i/>
          <w:color w:val="0000FF"/>
          <w:sz w:val="28"/>
          <w:szCs w:val="28"/>
        </w:rPr>
        <w:t>4.4.</w:t>
      </w:r>
      <w:r w:rsidR="00F038C0">
        <w:rPr>
          <w:rFonts w:ascii="Garamond" w:hAnsi="Garamond"/>
          <w:i/>
          <w:color w:val="0000FF"/>
          <w:sz w:val="28"/>
          <w:szCs w:val="28"/>
        </w:rPr>
        <w:t>3.</w:t>
      </w:r>
      <w:r w:rsidR="00CA7AB6" w:rsidRPr="00F00BA0">
        <w:rPr>
          <w:rFonts w:ascii="Garamond" w:hAnsi="Garamond"/>
          <w:i/>
          <w:color w:val="0000FF"/>
          <w:sz w:val="28"/>
          <w:szCs w:val="28"/>
        </w:rPr>
        <w:t xml:space="preserve"> </w:t>
      </w:r>
      <w:r w:rsidR="007B17B5" w:rsidRPr="00F00BA0">
        <w:rPr>
          <w:rFonts w:ascii="Garamond" w:hAnsi="Garamond"/>
          <w:i/>
          <w:color w:val="0000FF"/>
          <w:sz w:val="28"/>
          <w:szCs w:val="28"/>
        </w:rPr>
        <w:t>Discipline a carattere temporaneo, transitorio</w:t>
      </w:r>
      <w:r w:rsidR="00CB1DA2" w:rsidRPr="00F00BA0">
        <w:rPr>
          <w:rFonts w:ascii="Garamond" w:hAnsi="Garamond"/>
          <w:i/>
          <w:color w:val="0000FF"/>
          <w:sz w:val="28"/>
          <w:szCs w:val="28"/>
        </w:rPr>
        <w:t>,</w:t>
      </w:r>
      <w:r w:rsidR="007B17B5" w:rsidRPr="00F00BA0">
        <w:rPr>
          <w:rFonts w:ascii="Garamond" w:hAnsi="Garamond"/>
          <w:i/>
          <w:color w:val="0000FF"/>
          <w:sz w:val="28"/>
          <w:szCs w:val="28"/>
        </w:rPr>
        <w:t xml:space="preserve"> sperimentale</w:t>
      </w:r>
      <w:r w:rsidR="00CB1DA2" w:rsidRPr="00F00BA0">
        <w:rPr>
          <w:rFonts w:ascii="Garamond" w:hAnsi="Garamond"/>
          <w:i/>
          <w:color w:val="0000FF"/>
          <w:sz w:val="28"/>
          <w:szCs w:val="28"/>
        </w:rPr>
        <w:t xml:space="preserve"> o derogatorio</w:t>
      </w:r>
      <w:bookmarkEnd w:id="72"/>
      <w:bookmarkEnd w:id="73"/>
      <w:bookmarkEnd w:id="74"/>
    </w:p>
    <w:p w:rsidR="00EB0A09" w:rsidRDefault="00EB0A09" w:rsidP="00BB539E">
      <w:pPr>
        <w:rPr>
          <w:rFonts w:ascii="Garamond" w:hAnsi="Garamond"/>
          <w:sz w:val="32"/>
          <w:szCs w:val="32"/>
        </w:rPr>
      </w:pPr>
    </w:p>
    <w:p w:rsidR="000A57EC" w:rsidRDefault="00A860E2" w:rsidP="00BB539E">
      <w:pPr>
        <w:rPr>
          <w:rFonts w:ascii="Garamond" w:hAnsi="Garamond"/>
          <w:sz w:val="32"/>
          <w:szCs w:val="32"/>
        </w:rPr>
      </w:pPr>
      <w:r>
        <w:rPr>
          <w:rFonts w:ascii="Garamond" w:hAnsi="Garamond"/>
          <w:sz w:val="32"/>
          <w:szCs w:val="32"/>
        </w:rPr>
        <w:t xml:space="preserve">I decreti-legge che di volta in volta prorogano la partecipazione italiana alle missioni internazionali ed alle iniziative per il consolidamento dei processi di pace e di stabilizzazione presentano generalmente profili di interesse sul versante della stratificazione e del coordinamento normativi, che in genere interessano – ed è il motivo per cui vengono trattati in questo paragrafo –  disposizioni a carattere derogatorio, originariamente percepiti per un limitato periodo di tempo e poi via via prorogati. Nei dieci mesi di riferimento il </w:t>
      </w:r>
      <w:r>
        <w:rPr>
          <w:rFonts w:ascii="Garamond" w:hAnsi="Garamond"/>
          <w:sz w:val="32"/>
          <w:szCs w:val="32"/>
        </w:rPr>
        <w:lastRenderedPageBreak/>
        <w:t xml:space="preserve">Comitato si è pronunciato su due decreti-legge: il n. 7 del 2015, che oltre al tema delle missioni affronta quello del contrasto al terrorismo; il n. 99 del 2015, concernente la </w:t>
      </w:r>
      <w:r w:rsidRPr="00A860E2">
        <w:rPr>
          <w:rFonts w:ascii="Garamond" w:hAnsi="Garamond"/>
          <w:sz w:val="32"/>
          <w:szCs w:val="32"/>
        </w:rPr>
        <w:t>partecipazione all'operazione militare dell'Unione europea nel Mediterraneo centromeridionale denominata EUNAVFOR MED</w:t>
      </w:r>
      <w:r w:rsidR="000A57EC">
        <w:rPr>
          <w:rFonts w:ascii="Garamond" w:hAnsi="Garamond"/>
          <w:sz w:val="32"/>
          <w:szCs w:val="32"/>
        </w:rPr>
        <w:t>.</w:t>
      </w:r>
    </w:p>
    <w:p w:rsidR="000A57EC" w:rsidRPr="000A57EC" w:rsidRDefault="000A57EC" w:rsidP="000A57EC">
      <w:pPr>
        <w:rPr>
          <w:rFonts w:ascii="Garamond" w:hAnsi="Garamond"/>
          <w:sz w:val="32"/>
          <w:szCs w:val="32"/>
        </w:rPr>
      </w:pPr>
      <w:r>
        <w:rPr>
          <w:rFonts w:ascii="Garamond" w:hAnsi="Garamond"/>
          <w:sz w:val="32"/>
          <w:szCs w:val="32"/>
        </w:rPr>
        <w:t xml:space="preserve">Il ragionamento svolto nel parere sul primo decreto parte dalla constatazione che </w:t>
      </w:r>
      <w:r w:rsidRPr="000A57EC">
        <w:rPr>
          <w:rFonts w:ascii="Garamond" w:hAnsi="Garamond"/>
          <w:sz w:val="32"/>
          <w:szCs w:val="32"/>
        </w:rPr>
        <w:t>«secondo un procedimento consueto nei decreti che regolano la partecipazione italiana alle missioni internazionali, il provvedimento – reiterando una modalità di produzione normativa i cui aspetti problematici sono stati più volte segnalati dal Comitato – effettua rinvii alla normativa esistente senza potersi però rapportare ad una disciplina unitaria che regolamenti stabilmente i profili giuridico-economici delle missioni stesse ed i cui elementi essenziali potrebbero adesso rinvenirsi nella legge n. 108 del 2009, cui, ad esempio, si rinvia per alcuni aspetti in materia di personale;</w:t>
      </w:r>
    </w:p>
    <w:p w:rsidR="000A57EC" w:rsidRPr="000A57EC" w:rsidRDefault="000A57EC" w:rsidP="000A57EC">
      <w:pPr>
        <w:rPr>
          <w:rFonts w:ascii="Garamond" w:hAnsi="Garamond"/>
          <w:sz w:val="32"/>
          <w:szCs w:val="32"/>
        </w:rPr>
      </w:pPr>
      <w:r>
        <w:rPr>
          <w:rFonts w:ascii="Garamond" w:hAnsi="Garamond"/>
          <w:sz w:val="32"/>
          <w:szCs w:val="32"/>
        </w:rPr>
        <w:t xml:space="preserve">per </w:t>
      </w:r>
      <w:r w:rsidRPr="000A57EC">
        <w:rPr>
          <w:rFonts w:ascii="Garamond" w:hAnsi="Garamond"/>
          <w:sz w:val="32"/>
          <w:szCs w:val="32"/>
        </w:rPr>
        <w:t xml:space="preserve">la disciplina in materia penale, si perpetua la lunga e complessa catena di rinvii normativi al decreto-legge n. 152 del 2009 e al decreto-legge n. 209 del 2008 che, a sua volta, contiene anche ulteriori rinvii al codice penale militare di pace ed alla specifica disciplina in materia di missioni militari recata dal decreto-legge n. 421 del 2001: da ciò consegue che disposizioni inizialmente valide per il breve arco temporale di riferimento dei decreti-legge in materia di missioni vengono di volta in volta prorogate, per di più in maniera non testuale e attraverso una rete di richiami normativi difficilmente dipanabile, consolidatasi nel tempo; </w:t>
      </w:r>
    </w:p>
    <w:p w:rsidR="00413518" w:rsidRDefault="000A57EC" w:rsidP="000A57EC">
      <w:pPr>
        <w:rPr>
          <w:rFonts w:ascii="Garamond" w:hAnsi="Garamond"/>
          <w:sz w:val="32"/>
          <w:szCs w:val="32"/>
        </w:rPr>
      </w:pPr>
      <w:r w:rsidRPr="000A57EC">
        <w:rPr>
          <w:rFonts w:ascii="Garamond" w:hAnsi="Garamond"/>
          <w:sz w:val="32"/>
          <w:szCs w:val="32"/>
        </w:rPr>
        <w:t>in ragione della peculiare fattispecie delle missioni militari e internazionali, il provvedimento si caratterizza come disciplina in più punti derogatoria del diritto vigente. La relazione sull'analisi tecnico-normativa (ATN) dà conto analiticamente delle norme derogate, anche implicitamente; si rammenta tuttavia che l'articolo 13-</w:t>
      </w:r>
      <w:r w:rsidRPr="000A57EC">
        <w:rPr>
          <w:rFonts w:ascii="Garamond" w:hAnsi="Garamond"/>
          <w:i/>
          <w:iCs/>
          <w:sz w:val="32"/>
          <w:szCs w:val="32"/>
        </w:rPr>
        <w:t>bis</w:t>
      </w:r>
      <w:r w:rsidRPr="000A57EC">
        <w:rPr>
          <w:rFonts w:ascii="Garamond" w:hAnsi="Garamond"/>
          <w:sz w:val="32"/>
          <w:szCs w:val="32"/>
        </w:rPr>
        <w:t xml:space="preserve"> della legge n. 400 del 1988 dispone tra l'altro che il Governo, nell'ambito delle proprie competenze, provvede “a che ogni norma che sia diretta a sostituire, </w:t>
      </w:r>
      <w:r w:rsidRPr="000A57EC">
        <w:rPr>
          <w:rFonts w:ascii="Garamond" w:hAnsi="Garamond"/>
          <w:sz w:val="32"/>
          <w:szCs w:val="32"/>
        </w:rPr>
        <w:lastRenderedPageBreak/>
        <w:t xml:space="preserve">modificare o abrogare norme vigenti ovvero a stabilire deroghe indichi espressamente le norme sostituite, modificate, abrogate o derogate” (comma 1, lettera </w:t>
      </w:r>
      <w:r w:rsidRPr="000A57EC">
        <w:rPr>
          <w:rFonts w:ascii="Garamond" w:hAnsi="Garamond"/>
          <w:i/>
          <w:iCs/>
          <w:sz w:val="32"/>
          <w:szCs w:val="32"/>
        </w:rPr>
        <w:t>a)</w:t>
      </w:r>
      <w:r w:rsidRPr="000A57EC">
        <w:rPr>
          <w:rFonts w:ascii="Garamond" w:hAnsi="Garamond"/>
          <w:sz w:val="32"/>
          <w:szCs w:val="32"/>
        </w:rPr>
        <w:t xml:space="preserve"> ) e che “Le disposizioni della presente legge in materia di chiarezza dei testi normativi costituiscono princìpi generali per la produzione normativa e non possono essere derogate, modificate o abrogate se non in modo esplicito” (comma 2); a titolo esemplificativo, deroghe sono riscontrabili: all'articolo 14, comma 3 (che autorizza spese “anche in deroga alle disposizioni di contabilità generale dello Stato”); all'articolo 15, comma 1 (trattamento del personale in missione); all'articolo 15, comma 4 (compenso forfettario di impiego per il personale in missione); all'articolo 15, comma 5 (deroghe alla competenza territoriale dei tribunali militari, alla procedura penale militare, al codice penale ed al codice di procedura penale); all'articolo 16, comma 1, in materia contabile</w:t>
      </w:r>
      <w:r w:rsidR="00413518">
        <w:rPr>
          <w:rFonts w:ascii="Garamond" w:hAnsi="Garamond"/>
          <w:sz w:val="32"/>
          <w:szCs w:val="32"/>
        </w:rPr>
        <w:t>;</w:t>
      </w:r>
    </w:p>
    <w:p w:rsidR="000A57EC" w:rsidRDefault="00413518" w:rsidP="000A57EC">
      <w:pPr>
        <w:rPr>
          <w:rFonts w:ascii="Garamond" w:hAnsi="Garamond"/>
          <w:sz w:val="32"/>
          <w:szCs w:val="32"/>
        </w:rPr>
      </w:pPr>
      <w:r w:rsidRPr="00413518">
        <w:rPr>
          <w:rFonts w:ascii="Garamond" w:hAnsi="Garamond"/>
          <w:sz w:val="32"/>
          <w:szCs w:val="32"/>
        </w:rPr>
        <w:t>l'articolo 5, comma 1, primo periodo, incrementa di 1.800 unità il contingente di 3.000 unità di cui all'articolo 4, comma 6, del decreto-legge 31 dicembre 2014, n.</w:t>
      </w:r>
      <w:r w:rsidR="00355865">
        <w:rPr>
          <w:rFonts w:ascii="Garamond" w:hAnsi="Garamond"/>
          <w:sz w:val="32"/>
          <w:szCs w:val="32"/>
        </w:rPr>
        <w:t xml:space="preserve"> </w:t>
      </w:r>
      <w:r w:rsidRPr="00413518">
        <w:rPr>
          <w:rFonts w:ascii="Garamond" w:hAnsi="Garamond"/>
          <w:sz w:val="32"/>
          <w:szCs w:val="32"/>
        </w:rPr>
        <w:t xml:space="preserve">192, prorogandone l'operatività dal 31 marzo al 30 giugno 2015, con ciò integrando senza gli opportuni coordinamenti una disposizione di recentissima emanazione, recata, per di più, in un decreto-legge il cui </w:t>
      </w:r>
      <w:r w:rsidRPr="00413518">
        <w:rPr>
          <w:rFonts w:ascii="Garamond" w:hAnsi="Garamond"/>
          <w:i/>
          <w:iCs/>
          <w:sz w:val="32"/>
          <w:szCs w:val="32"/>
        </w:rPr>
        <w:t xml:space="preserve">iter </w:t>
      </w:r>
      <w:r w:rsidRPr="00413518">
        <w:rPr>
          <w:rFonts w:ascii="Garamond" w:hAnsi="Garamond"/>
          <w:sz w:val="32"/>
          <w:szCs w:val="32"/>
        </w:rPr>
        <w:t>di conversione era ancora in corso al momento della deliberazione del decreto oggi in esame</w:t>
      </w:r>
      <w:r w:rsidR="000A57EC" w:rsidRPr="000A57EC">
        <w:rPr>
          <w:rFonts w:ascii="Garamond" w:hAnsi="Garamond"/>
          <w:sz w:val="32"/>
          <w:szCs w:val="32"/>
        </w:rPr>
        <w:t>»</w:t>
      </w:r>
      <w:r w:rsidR="000A57EC">
        <w:rPr>
          <w:rFonts w:ascii="Garamond" w:hAnsi="Garamond"/>
          <w:sz w:val="32"/>
          <w:szCs w:val="32"/>
        </w:rPr>
        <w:t xml:space="preserve"> (</w:t>
      </w:r>
      <w:hyperlink w:anchor="S04a02" w:history="1">
        <w:r w:rsidR="000A57EC" w:rsidRPr="00D04964">
          <w:rPr>
            <w:rStyle w:val="Collegamentoipertestuale"/>
            <w:rFonts w:ascii="Garamond" w:hAnsi="Garamond"/>
            <w:sz w:val="32"/>
            <w:szCs w:val="32"/>
          </w:rPr>
          <w:t xml:space="preserve">Scheda 4, punti </w:t>
        </w:r>
        <w:r w:rsidRPr="00D04964">
          <w:rPr>
            <w:rStyle w:val="Collegamentoipertestuale"/>
            <w:rFonts w:ascii="Garamond" w:hAnsi="Garamond"/>
            <w:sz w:val="32"/>
            <w:szCs w:val="32"/>
          </w:rPr>
          <w:t>2</w:t>
        </w:r>
      </w:hyperlink>
      <w:r w:rsidRPr="00793A4D">
        <w:rPr>
          <w:rFonts w:ascii="Garamond" w:hAnsi="Garamond"/>
          <w:sz w:val="32"/>
          <w:szCs w:val="32"/>
        </w:rPr>
        <w:t xml:space="preserve">, </w:t>
      </w:r>
      <w:hyperlink w:anchor="S04a03" w:history="1">
        <w:r w:rsidR="000A57EC" w:rsidRPr="00D04964">
          <w:rPr>
            <w:rStyle w:val="Collegamentoipertestuale"/>
            <w:rFonts w:ascii="Garamond" w:hAnsi="Garamond"/>
            <w:sz w:val="32"/>
            <w:szCs w:val="32"/>
          </w:rPr>
          <w:t>3</w:t>
        </w:r>
      </w:hyperlink>
      <w:r w:rsidR="000A57EC" w:rsidRPr="00793A4D">
        <w:rPr>
          <w:rFonts w:ascii="Garamond" w:hAnsi="Garamond"/>
          <w:sz w:val="32"/>
          <w:szCs w:val="32"/>
        </w:rPr>
        <w:t xml:space="preserve">, </w:t>
      </w:r>
      <w:hyperlink w:anchor="S04a04" w:history="1">
        <w:r w:rsidR="000A57EC" w:rsidRPr="00D04964">
          <w:rPr>
            <w:rStyle w:val="Collegamentoipertestuale"/>
            <w:rFonts w:ascii="Garamond" w:hAnsi="Garamond"/>
            <w:sz w:val="32"/>
            <w:szCs w:val="32"/>
          </w:rPr>
          <w:t>4</w:t>
        </w:r>
      </w:hyperlink>
      <w:r w:rsidR="000A57EC" w:rsidRPr="00793A4D">
        <w:rPr>
          <w:rFonts w:ascii="Garamond" w:hAnsi="Garamond"/>
          <w:sz w:val="32"/>
          <w:szCs w:val="32"/>
        </w:rPr>
        <w:t xml:space="preserve"> e </w:t>
      </w:r>
      <w:hyperlink w:anchor="S04a05" w:history="1">
        <w:r w:rsidR="000A57EC" w:rsidRPr="00D04964">
          <w:rPr>
            <w:rStyle w:val="Collegamentoipertestuale"/>
            <w:rFonts w:ascii="Garamond" w:hAnsi="Garamond"/>
            <w:sz w:val="32"/>
            <w:szCs w:val="32"/>
          </w:rPr>
          <w:t>5</w:t>
        </w:r>
      </w:hyperlink>
      <w:r w:rsidR="000A57EC" w:rsidRPr="00793A4D">
        <w:rPr>
          <w:rFonts w:ascii="Garamond" w:hAnsi="Garamond"/>
          <w:sz w:val="32"/>
          <w:szCs w:val="32"/>
        </w:rPr>
        <w:t>).</w:t>
      </w:r>
    </w:p>
    <w:p w:rsidR="000A57EC" w:rsidRDefault="000A57EC" w:rsidP="000A57EC">
      <w:pPr>
        <w:rPr>
          <w:rFonts w:ascii="Garamond" w:hAnsi="Garamond"/>
          <w:sz w:val="32"/>
          <w:szCs w:val="32"/>
        </w:rPr>
      </w:pPr>
      <w:r>
        <w:rPr>
          <w:rFonts w:ascii="Garamond" w:hAnsi="Garamond"/>
          <w:sz w:val="32"/>
          <w:szCs w:val="32"/>
        </w:rPr>
        <w:t>Dal circostanziato quadro tracciato nelle premesse conseguono una condizione, una osservazione ed una raccomandazione (che riprende analoghe raccomandazioni già formulate dal Comitato in precedenti occasioni</w:t>
      </w:r>
      <w:r w:rsidR="006769E4">
        <w:rPr>
          <w:rFonts w:ascii="Garamond" w:hAnsi="Garamond"/>
          <w:sz w:val="32"/>
          <w:szCs w:val="32"/>
        </w:rPr>
        <w:t>)</w:t>
      </w:r>
      <w:r>
        <w:rPr>
          <w:rFonts w:ascii="Garamond" w:hAnsi="Garamond"/>
          <w:sz w:val="32"/>
          <w:szCs w:val="32"/>
        </w:rPr>
        <w:t>:</w:t>
      </w:r>
    </w:p>
    <w:p w:rsidR="000A57EC" w:rsidRDefault="000A57EC" w:rsidP="000A57EC">
      <w:pPr>
        <w:rPr>
          <w:rFonts w:ascii="Garamond" w:hAnsi="Garamond"/>
          <w:sz w:val="32"/>
          <w:szCs w:val="32"/>
        </w:rPr>
      </w:pPr>
      <w:r>
        <w:rPr>
          <w:rFonts w:ascii="Garamond" w:hAnsi="Garamond"/>
          <w:sz w:val="32"/>
          <w:szCs w:val="32"/>
        </w:rPr>
        <w:t xml:space="preserve">la condizione è così formulata: </w:t>
      </w:r>
      <w:r w:rsidRPr="000A57EC">
        <w:rPr>
          <w:rFonts w:ascii="Garamond" w:hAnsi="Garamond"/>
          <w:sz w:val="32"/>
          <w:szCs w:val="32"/>
        </w:rPr>
        <w:t>«si valuti l'opportunità di individuare più specificamente le normative cui, per effetto del provvedimento in esame, si potrà derogare»</w:t>
      </w:r>
      <w:r>
        <w:rPr>
          <w:rFonts w:ascii="Garamond" w:hAnsi="Garamond"/>
          <w:sz w:val="32"/>
          <w:szCs w:val="32"/>
        </w:rPr>
        <w:t xml:space="preserve"> (</w:t>
      </w:r>
      <w:hyperlink w:anchor="S04c01" w:history="1">
        <w:r w:rsidRPr="00D04964">
          <w:rPr>
            <w:rStyle w:val="Collegamentoipertestuale"/>
            <w:rFonts w:ascii="Garamond" w:hAnsi="Garamond"/>
            <w:sz w:val="32"/>
            <w:szCs w:val="32"/>
          </w:rPr>
          <w:t>Scheda 4, condizione 1</w:t>
        </w:r>
      </w:hyperlink>
      <w:r w:rsidRPr="00A951CC">
        <w:rPr>
          <w:rFonts w:ascii="Garamond" w:hAnsi="Garamond"/>
          <w:sz w:val="32"/>
          <w:szCs w:val="32"/>
        </w:rPr>
        <w:t>);</w:t>
      </w:r>
    </w:p>
    <w:p w:rsidR="000A57EC" w:rsidRPr="000A57EC" w:rsidRDefault="000A57EC" w:rsidP="000A57EC">
      <w:pPr>
        <w:rPr>
          <w:rFonts w:ascii="Garamond" w:hAnsi="Garamond"/>
          <w:sz w:val="32"/>
          <w:szCs w:val="32"/>
        </w:rPr>
      </w:pPr>
      <w:r>
        <w:rPr>
          <w:rFonts w:ascii="Garamond" w:hAnsi="Garamond"/>
          <w:sz w:val="32"/>
          <w:szCs w:val="32"/>
        </w:rPr>
        <w:t xml:space="preserve">l’osservazione </w:t>
      </w:r>
      <w:r w:rsidR="00413518">
        <w:rPr>
          <w:rFonts w:ascii="Garamond" w:hAnsi="Garamond"/>
          <w:sz w:val="32"/>
          <w:szCs w:val="32"/>
        </w:rPr>
        <w:t xml:space="preserve">invita le Commissioni di merito a </w:t>
      </w:r>
      <w:r>
        <w:rPr>
          <w:rFonts w:ascii="Garamond" w:hAnsi="Garamond"/>
          <w:sz w:val="32"/>
          <w:szCs w:val="32"/>
        </w:rPr>
        <w:t xml:space="preserve"> </w:t>
      </w:r>
      <w:r w:rsidR="00413518" w:rsidRPr="000A57EC">
        <w:rPr>
          <w:rFonts w:ascii="Garamond" w:hAnsi="Garamond"/>
          <w:sz w:val="32"/>
          <w:szCs w:val="32"/>
        </w:rPr>
        <w:t>«</w:t>
      </w:r>
      <w:r w:rsidR="00413518" w:rsidRPr="00413518">
        <w:rPr>
          <w:rFonts w:ascii="Garamond" w:hAnsi="Garamond"/>
          <w:sz w:val="32"/>
          <w:szCs w:val="32"/>
        </w:rPr>
        <w:t xml:space="preserve">verificare se le disposizioni di cui all'articolo 15, commi 1, 4 e 5, e </w:t>
      </w:r>
      <w:r w:rsidR="00413518" w:rsidRPr="00413518">
        <w:rPr>
          <w:rFonts w:ascii="Garamond" w:hAnsi="Garamond"/>
          <w:sz w:val="32"/>
          <w:szCs w:val="32"/>
        </w:rPr>
        <w:lastRenderedPageBreak/>
        <w:t>all'articolo 16, comma 1, debbano mantenere natura temporanea, con l'eventualità di essere soggette a successive proroghe, ovvero possano essere trasformate in previsioni a regime</w:t>
      </w:r>
      <w:r w:rsidR="00413518" w:rsidRPr="000A57EC">
        <w:rPr>
          <w:rFonts w:ascii="Garamond" w:hAnsi="Garamond"/>
          <w:sz w:val="32"/>
          <w:szCs w:val="32"/>
        </w:rPr>
        <w:t>»</w:t>
      </w:r>
      <w:r w:rsidR="00413518">
        <w:rPr>
          <w:rFonts w:ascii="Garamond" w:hAnsi="Garamond"/>
          <w:sz w:val="32"/>
          <w:szCs w:val="32"/>
        </w:rPr>
        <w:t xml:space="preserve"> (</w:t>
      </w:r>
      <w:hyperlink w:anchor="S04o01" w:history="1">
        <w:r w:rsidR="00413518" w:rsidRPr="00D04964">
          <w:rPr>
            <w:rStyle w:val="Collegamentoipertestuale"/>
            <w:rFonts w:ascii="Garamond" w:hAnsi="Garamond"/>
            <w:sz w:val="32"/>
            <w:szCs w:val="32"/>
          </w:rPr>
          <w:t>Scheda 4, osservazione 1</w:t>
        </w:r>
      </w:hyperlink>
      <w:r w:rsidR="00413518">
        <w:rPr>
          <w:rFonts w:ascii="Garamond" w:hAnsi="Garamond"/>
          <w:sz w:val="32"/>
          <w:szCs w:val="32"/>
        </w:rPr>
        <w:t>);</w:t>
      </w:r>
      <w:r w:rsidR="00413518" w:rsidRPr="000A57EC">
        <w:rPr>
          <w:rFonts w:ascii="Garamond" w:hAnsi="Garamond"/>
          <w:sz w:val="32"/>
          <w:szCs w:val="32"/>
        </w:rPr>
        <w:t xml:space="preserve"> </w:t>
      </w:r>
    </w:p>
    <w:p w:rsidR="00413518" w:rsidRDefault="00413518" w:rsidP="000A57EC">
      <w:pPr>
        <w:rPr>
          <w:rFonts w:ascii="Garamond" w:hAnsi="Garamond"/>
          <w:sz w:val="32"/>
          <w:szCs w:val="32"/>
        </w:rPr>
      </w:pPr>
      <w:r>
        <w:rPr>
          <w:rFonts w:ascii="Garamond" w:hAnsi="Garamond"/>
          <w:sz w:val="32"/>
          <w:szCs w:val="32"/>
        </w:rPr>
        <w:t xml:space="preserve">la raccomandazione è del seguente tenore: </w:t>
      </w:r>
      <w:r w:rsidRPr="000A57EC">
        <w:rPr>
          <w:rFonts w:ascii="Garamond" w:hAnsi="Garamond"/>
          <w:sz w:val="32"/>
          <w:szCs w:val="32"/>
        </w:rPr>
        <w:t>«</w:t>
      </w:r>
      <w:r w:rsidRPr="00413518">
        <w:rPr>
          <w:rFonts w:ascii="Garamond" w:hAnsi="Garamond"/>
          <w:sz w:val="32"/>
          <w:szCs w:val="32"/>
        </w:rPr>
        <w:t>richiamando quanto più volte rilevato in occasione dell'esame dei decreti-legge che regolano la partecipazione italiana alle missioni internazionali (da ultimo nei pareri sui decreti-legge n. 2 e n. 109 del 2014), si ribadisce la necessità che venga adottata una disciplina unitaria che regolamenti stabilmente i profili giuridico-economici delle missioni, al fine così di evitare che si perpetuino le catene di rinvii normativi alla disciplina contenuta in molteplici fonti normative ed aggiornando contestualmente i rinvii a disposizioni che, in quanto confluite nel Codice dell'ordinamento militare, di cui al decreto legislativo 15 marzo 2010, n. 66, sono state abrogate nella fonte originaria, in termini di rinvii alle disposizioni e agli istituti disciplinati dal codice in questione</w:t>
      </w:r>
      <w:r w:rsidRPr="000A57EC">
        <w:rPr>
          <w:rFonts w:ascii="Garamond" w:hAnsi="Garamond"/>
          <w:sz w:val="32"/>
          <w:szCs w:val="32"/>
        </w:rPr>
        <w:t>»</w:t>
      </w:r>
      <w:r>
        <w:rPr>
          <w:rFonts w:ascii="Garamond" w:hAnsi="Garamond"/>
          <w:sz w:val="32"/>
          <w:szCs w:val="32"/>
        </w:rPr>
        <w:t xml:space="preserve"> (</w:t>
      </w:r>
      <w:hyperlink w:anchor="S04r01" w:history="1">
        <w:r w:rsidRPr="00285FFF">
          <w:rPr>
            <w:rStyle w:val="Collegamentoipertestuale"/>
            <w:rFonts w:ascii="Garamond" w:hAnsi="Garamond"/>
            <w:sz w:val="32"/>
            <w:szCs w:val="32"/>
          </w:rPr>
          <w:t>Scheda 4, raccomandazione 1</w:t>
        </w:r>
      </w:hyperlink>
      <w:r>
        <w:rPr>
          <w:rFonts w:ascii="Garamond" w:hAnsi="Garamond"/>
          <w:sz w:val="32"/>
          <w:szCs w:val="32"/>
        </w:rPr>
        <w:t>).</w:t>
      </w:r>
    </w:p>
    <w:p w:rsidR="000A57EC" w:rsidRPr="000A57EC" w:rsidRDefault="00413518" w:rsidP="000A57EC">
      <w:pPr>
        <w:rPr>
          <w:rFonts w:ascii="Garamond" w:hAnsi="Garamond"/>
          <w:sz w:val="32"/>
          <w:szCs w:val="32"/>
        </w:rPr>
      </w:pPr>
      <w:r>
        <w:rPr>
          <w:rFonts w:ascii="Garamond" w:hAnsi="Garamond"/>
          <w:sz w:val="32"/>
          <w:szCs w:val="32"/>
        </w:rPr>
        <w:t xml:space="preserve">Nel parere sul decreto-legge n. 99 del 2015 il Comitato non formula rilievi né ripete la raccomandazione, </w:t>
      </w:r>
      <w:r w:rsidRPr="000A57EC">
        <w:rPr>
          <w:rFonts w:ascii="Garamond" w:hAnsi="Garamond"/>
          <w:sz w:val="32"/>
          <w:szCs w:val="32"/>
        </w:rPr>
        <w:t>«</w:t>
      </w:r>
      <w:r w:rsidRPr="00413518">
        <w:rPr>
          <w:rFonts w:ascii="Garamond" w:hAnsi="Garamond"/>
          <w:sz w:val="32"/>
          <w:szCs w:val="32"/>
        </w:rPr>
        <w:t xml:space="preserve">in attesa dell'approvazione in via definitiva del disegno di legge S. 1917, recante </w:t>
      </w:r>
      <w:r w:rsidRPr="00413518">
        <w:rPr>
          <w:rFonts w:ascii="Garamond" w:hAnsi="Garamond"/>
          <w:i/>
          <w:sz w:val="32"/>
          <w:szCs w:val="32"/>
        </w:rPr>
        <w:t>Disposizioni concernenti la partecipazione dell'Italia alle missioni internazionali</w:t>
      </w:r>
      <w:r w:rsidRPr="00413518">
        <w:rPr>
          <w:rFonts w:ascii="Garamond" w:hAnsi="Garamond"/>
          <w:sz w:val="32"/>
          <w:szCs w:val="32"/>
        </w:rPr>
        <w:t>, approvato dalla Camera dei deputati il 13 maggio 2015 ed in avanzato stato di esame presso il Senato</w:t>
      </w:r>
      <w:r w:rsidRPr="000A57EC">
        <w:rPr>
          <w:rFonts w:ascii="Garamond" w:hAnsi="Garamond"/>
          <w:sz w:val="32"/>
          <w:szCs w:val="32"/>
        </w:rPr>
        <w:t>»</w:t>
      </w:r>
      <w:r>
        <w:rPr>
          <w:rFonts w:ascii="Garamond" w:hAnsi="Garamond"/>
          <w:sz w:val="32"/>
          <w:szCs w:val="32"/>
        </w:rPr>
        <w:t xml:space="preserve"> </w:t>
      </w:r>
      <w:r w:rsidRPr="0023549E">
        <w:rPr>
          <w:rFonts w:ascii="Garamond" w:hAnsi="Garamond"/>
          <w:sz w:val="32"/>
          <w:szCs w:val="32"/>
        </w:rPr>
        <w:t>(</w:t>
      </w:r>
      <w:hyperlink w:anchor="S19a02" w:history="1">
        <w:r w:rsidRPr="00285FFF">
          <w:rPr>
            <w:rStyle w:val="Collegamentoipertestuale"/>
            <w:rFonts w:ascii="Garamond" w:hAnsi="Garamond"/>
            <w:sz w:val="32"/>
            <w:szCs w:val="32"/>
          </w:rPr>
          <w:t>Scheda 19, punto 2</w:t>
        </w:r>
      </w:hyperlink>
      <w:r w:rsidRPr="0023549E">
        <w:rPr>
          <w:rFonts w:ascii="Garamond" w:hAnsi="Garamond"/>
          <w:sz w:val="32"/>
          <w:szCs w:val="32"/>
        </w:rPr>
        <w:t>).</w:t>
      </w:r>
    </w:p>
    <w:p w:rsidR="00426CE5" w:rsidRDefault="00413518" w:rsidP="00BB539E">
      <w:pPr>
        <w:rPr>
          <w:rFonts w:ascii="Garamond" w:hAnsi="Garamond"/>
          <w:sz w:val="32"/>
          <w:szCs w:val="32"/>
        </w:rPr>
      </w:pPr>
      <w:r>
        <w:rPr>
          <w:rFonts w:ascii="Garamond" w:hAnsi="Garamond"/>
          <w:sz w:val="32"/>
          <w:szCs w:val="32"/>
        </w:rPr>
        <w:t>Un’osservazione analoga a quella sopra riportata con riguardo alla possib</w:t>
      </w:r>
      <w:r w:rsidR="00426CE5">
        <w:rPr>
          <w:rFonts w:ascii="Garamond" w:hAnsi="Garamond"/>
          <w:sz w:val="32"/>
          <w:szCs w:val="32"/>
        </w:rPr>
        <w:t>i</w:t>
      </w:r>
      <w:r>
        <w:rPr>
          <w:rFonts w:ascii="Garamond" w:hAnsi="Garamond"/>
          <w:sz w:val="32"/>
          <w:szCs w:val="32"/>
        </w:rPr>
        <w:t>lità di trasformare disposizioni nate come tem</w:t>
      </w:r>
      <w:r w:rsidR="00426CE5">
        <w:rPr>
          <w:rFonts w:ascii="Garamond" w:hAnsi="Garamond"/>
          <w:sz w:val="32"/>
          <w:szCs w:val="32"/>
        </w:rPr>
        <w:t>p</w:t>
      </w:r>
      <w:r>
        <w:rPr>
          <w:rFonts w:ascii="Garamond" w:hAnsi="Garamond"/>
          <w:sz w:val="32"/>
          <w:szCs w:val="32"/>
        </w:rPr>
        <w:t>oranee in discipline a regime è contenuta nel parere sul decreto-legge</w:t>
      </w:r>
      <w:r w:rsidR="00426CE5">
        <w:rPr>
          <w:rFonts w:ascii="Garamond" w:hAnsi="Garamond"/>
          <w:sz w:val="32"/>
          <w:szCs w:val="32"/>
        </w:rPr>
        <w:t xml:space="preserve"> mille proroghe</w:t>
      </w:r>
      <w:r w:rsidR="00B64AA2">
        <w:rPr>
          <w:rFonts w:ascii="Garamond" w:hAnsi="Garamond"/>
          <w:sz w:val="32"/>
          <w:szCs w:val="32"/>
        </w:rPr>
        <w:t xml:space="preserve"> (C. 2803)</w:t>
      </w:r>
      <w:r w:rsidR="00426CE5">
        <w:rPr>
          <w:rFonts w:ascii="Garamond" w:hAnsi="Garamond"/>
          <w:sz w:val="32"/>
          <w:szCs w:val="32"/>
        </w:rPr>
        <w:t xml:space="preserve">, che proprio per la sua natura si presta a valutazioni di questo tipo, soprattutto in presenza di norme che, </w:t>
      </w:r>
      <w:r w:rsidR="00426CE5" w:rsidRPr="000A57EC">
        <w:rPr>
          <w:rFonts w:ascii="Garamond" w:hAnsi="Garamond"/>
          <w:sz w:val="32"/>
          <w:szCs w:val="32"/>
        </w:rPr>
        <w:t>«</w:t>
      </w:r>
      <w:r w:rsidR="00426CE5">
        <w:rPr>
          <w:rFonts w:ascii="Garamond" w:hAnsi="Garamond"/>
          <w:sz w:val="32"/>
          <w:szCs w:val="32"/>
        </w:rPr>
        <w:t>a seguito  di successive proroghe, si applicano ininterrottamente anche da numerosi anni</w:t>
      </w:r>
      <w:r w:rsidR="008C5339">
        <w:rPr>
          <w:rFonts w:ascii="Garamond" w:hAnsi="Garamond"/>
          <w:sz w:val="32"/>
          <w:szCs w:val="32"/>
        </w:rPr>
        <w:t>»</w:t>
      </w:r>
      <w:r>
        <w:rPr>
          <w:rFonts w:ascii="Garamond" w:hAnsi="Garamond"/>
          <w:sz w:val="32"/>
          <w:szCs w:val="32"/>
        </w:rPr>
        <w:t xml:space="preserve"> </w:t>
      </w:r>
      <w:r w:rsidRPr="0023549E">
        <w:rPr>
          <w:rFonts w:ascii="Garamond" w:hAnsi="Garamond"/>
          <w:sz w:val="32"/>
          <w:szCs w:val="32"/>
        </w:rPr>
        <w:t>(</w:t>
      </w:r>
      <w:hyperlink w:anchor="S01a08" w:history="1">
        <w:r w:rsidRPr="00285FFF">
          <w:rPr>
            <w:rStyle w:val="Collegamentoipertestuale"/>
            <w:rFonts w:ascii="Garamond" w:hAnsi="Garamond"/>
            <w:sz w:val="32"/>
            <w:szCs w:val="32"/>
          </w:rPr>
          <w:t xml:space="preserve">Scheda </w:t>
        </w:r>
        <w:r w:rsidR="00426CE5" w:rsidRPr="00285FFF">
          <w:rPr>
            <w:rStyle w:val="Collegamentoipertestuale"/>
            <w:rFonts w:ascii="Garamond" w:hAnsi="Garamond"/>
            <w:sz w:val="32"/>
            <w:szCs w:val="32"/>
          </w:rPr>
          <w:t>1, punto 8</w:t>
        </w:r>
      </w:hyperlink>
      <w:r w:rsidR="00426CE5" w:rsidRPr="0023549E">
        <w:rPr>
          <w:rFonts w:ascii="Garamond" w:hAnsi="Garamond"/>
          <w:sz w:val="32"/>
          <w:szCs w:val="32"/>
        </w:rPr>
        <w:t xml:space="preserve"> e </w:t>
      </w:r>
      <w:hyperlink w:anchor="S01o03" w:history="1">
        <w:r w:rsidR="00426CE5" w:rsidRPr="00285FFF">
          <w:rPr>
            <w:rStyle w:val="Collegamentoipertestuale"/>
            <w:rFonts w:ascii="Garamond" w:hAnsi="Garamond"/>
            <w:sz w:val="32"/>
            <w:szCs w:val="32"/>
          </w:rPr>
          <w:t>osservazione 3</w:t>
        </w:r>
      </w:hyperlink>
      <w:r w:rsidR="00426CE5">
        <w:rPr>
          <w:rFonts w:ascii="Garamond" w:hAnsi="Garamond"/>
          <w:sz w:val="32"/>
          <w:szCs w:val="32"/>
        </w:rPr>
        <w:t>).</w:t>
      </w:r>
    </w:p>
    <w:p w:rsidR="00426CE5" w:rsidRPr="00426CE5" w:rsidRDefault="00426CE5" w:rsidP="00426CE5">
      <w:pPr>
        <w:rPr>
          <w:rFonts w:ascii="Garamond" w:hAnsi="Garamond"/>
          <w:sz w:val="32"/>
          <w:szCs w:val="32"/>
        </w:rPr>
      </w:pPr>
      <w:r>
        <w:rPr>
          <w:rFonts w:ascii="Garamond" w:hAnsi="Garamond"/>
          <w:sz w:val="32"/>
          <w:szCs w:val="32"/>
        </w:rPr>
        <w:t xml:space="preserve">In relazione a discipline derogatorie rispetto alla normativa vigente, è di particolare interesse il parere sul decreto-legge n. 3 </w:t>
      </w:r>
      <w:r>
        <w:rPr>
          <w:rFonts w:ascii="Garamond" w:hAnsi="Garamond"/>
          <w:sz w:val="32"/>
          <w:szCs w:val="32"/>
        </w:rPr>
        <w:lastRenderedPageBreak/>
        <w:t xml:space="preserve">del 2015 (C. 2844 – sistema bancario) ove nelle premesse si rileva che </w:t>
      </w:r>
      <w:r w:rsidRPr="00426CE5">
        <w:rPr>
          <w:rFonts w:ascii="Garamond" w:hAnsi="Garamond"/>
          <w:sz w:val="32"/>
          <w:szCs w:val="32"/>
        </w:rPr>
        <w:t xml:space="preserve">«l'articolo 1, comma 1, lettera </w:t>
      </w:r>
      <w:r w:rsidRPr="00426CE5">
        <w:rPr>
          <w:rFonts w:ascii="Garamond" w:hAnsi="Garamond"/>
          <w:i/>
          <w:iCs/>
          <w:sz w:val="32"/>
          <w:szCs w:val="32"/>
        </w:rPr>
        <w:t>a)</w:t>
      </w:r>
      <w:r w:rsidRPr="00426CE5">
        <w:rPr>
          <w:rFonts w:ascii="Garamond" w:hAnsi="Garamond"/>
          <w:sz w:val="32"/>
          <w:szCs w:val="32"/>
        </w:rPr>
        <w:t xml:space="preserve">, già trattato sotto il profilo dell'immediata applicabilità, novella il testo unico bancario prevedendo che, in taluni casi, nelle banche popolari il diritto al rimborso delle azioni e di altri strumenti di capitale “è limitato secondo quanto previsto dalla Banca d'Italia, </w:t>
      </w:r>
      <w:r w:rsidRPr="00426CE5">
        <w:rPr>
          <w:rFonts w:ascii="Garamond" w:hAnsi="Garamond"/>
          <w:i/>
          <w:iCs/>
          <w:sz w:val="32"/>
          <w:szCs w:val="32"/>
        </w:rPr>
        <w:t>anche in deroga a norme di legge</w:t>
      </w:r>
      <w:r w:rsidRPr="00426CE5">
        <w:rPr>
          <w:rFonts w:ascii="Garamond" w:hAnsi="Garamond"/>
          <w:sz w:val="32"/>
          <w:szCs w:val="32"/>
        </w:rPr>
        <w:t>, laddove ciò è necessario ad assicurare la computabilità delle azioni nel patrimonio di vigilanza di qualità primaria della banca”. Con ciò il decreto-legge in esame:</w:t>
      </w:r>
    </w:p>
    <w:p w:rsidR="00426CE5" w:rsidRPr="00426CE5" w:rsidRDefault="00426CE5" w:rsidP="00426CE5">
      <w:pPr>
        <w:rPr>
          <w:rFonts w:ascii="Garamond" w:hAnsi="Garamond"/>
          <w:sz w:val="32"/>
          <w:szCs w:val="32"/>
        </w:rPr>
      </w:pPr>
      <w:r w:rsidRPr="00426CE5">
        <w:rPr>
          <w:rFonts w:ascii="Garamond" w:hAnsi="Garamond"/>
          <w:i/>
          <w:iCs/>
          <w:sz w:val="32"/>
          <w:szCs w:val="32"/>
        </w:rPr>
        <w:t>a)</w:t>
      </w:r>
      <w:r w:rsidRPr="00426CE5">
        <w:rPr>
          <w:rFonts w:ascii="Garamond" w:hAnsi="Garamond"/>
          <w:sz w:val="32"/>
          <w:szCs w:val="32"/>
        </w:rPr>
        <w:t xml:space="preserve"> consente a una fonte del diritto subordinata di derogare alle previsioni di fonti legislative di rango primario senza che il legislatore individui puntualmente quali siano le disposizioni derogabili, bensì solamente la finalità per cui tale potere regolamentare è attribuito e l'oggetto;</w:t>
      </w:r>
    </w:p>
    <w:p w:rsidR="000A57EC" w:rsidRDefault="00426CE5" w:rsidP="00426CE5">
      <w:pPr>
        <w:rPr>
          <w:rFonts w:ascii="Garamond" w:hAnsi="Garamond"/>
          <w:sz w:val="32"/>
          <w:szCs w:val="32"/>
        </w:rPr>
      </w:pPr>
      <w:r w:rsidRPr="00426CE5">
        <w:rPr>
          <w:rFonts w:ascii="Garamond" w:hAnsi="Garamond"/>
          <w:i/>
          <w:iCs/>
          <w:sz w:val="32"/>
          <w:szCs w:val="32"/>
        </w:rPr>
        <w:t>b)</w:t>
      </w:r>
      <w:r w:rsidRPr="00426CE5">
        <w:rPr>
          <w:rFonts w:ascii="Garamond" w:hAnsi="Garamond"/>
          <w:sz w:val="32"/>
          <w:szCs w:val="32"/>
        </w:rPr>
        <w:t xml:space="preserve"> deroga, inoltre, implicitamente alla disciplina dell'articolo 2535 del codice civile (circa il rimborso delle azioni del socio uscente nelle società cooperative) senza esplicitare tale carattere derogatorio: ciò ha luogo senza che il predetto articolo 2535 sia incluso fra quelli che il decreto stesso (articolo 1, comma 1) prevede come inapplicabili alle banche popolari»</w:t>
      </w:r>
      <w:r>
        <w:rPr>
          <w:rFonts w:ascii="Garamond" w:hAnsi="Garamond"/>
          <w:sz w:val="32"/>
          <w:szCs w:val="32"/>
        </w:rPr>
        <w:t xml:space="preserve"> (</w:t>
      </w:r>
      <w:hyperlink w:anchor="S02a03" w:history="1">
        <w:r w:rsidRPr="00285FFF">
          <w:rPr>
            <w:rStyle w:val="Collegamentoipertestuale"/>
            <w:rFonts w:ascii="Garamond" w:hAnsi="Garamond"/>
            <w:sz w:val="32"/>
            <w:szCs w:val="32"/>
          </w:rPr>
          <w:t>Scheda 2, punto 3</w:t>
        </w:r>
      </w:hyperlink>
      <w:r w:rsidRPr="0023549E">
        <w:rPr>
          <w:rFonts w:ascii="Garamond" w:hAnsi="Garamond"/>
          <w:sz w:val="32"/>
          <w:szCs w:val="32"/>
        </w:rPr>
        <w:t>).</w:t>
      </w:r>
      <w:r>
        <w:rPr>
          <w:rFonts w:ascii="Garamond" w:hAnsi="Garamond"/>
          <w:sz w:val="32"/>
          <w:szCs w:val="32"/>
        </w:rPr>
        <w:t xml:space="preserve"> Ne consegue una condizione che impegna le Commissioni di merito ad individuare </w:t>
      </w:r>
      <w:r w:rsidR="00413518">
        <w:rPr>
          <w:rFonts w:ascii="Garamond" w:hAnsi="Garamond"/>
          <w:sz w:val="32"/>
          <w:szCs w:val="32"/>
        </w:rPr>
        <w:t xml:space="preserve"> </w:t>
      </w:r>
      <w:r w:rsidRPr="00426CE5">
        <w:rPr>
          <w:rFonts w:ascii="Garamond" w:hAnsi="Garamond"/>
          <w:sz w:val="32"/>
          <w:szCs w:val="32"/>
        </w:rPr>
        <w:t>«le disposizioni di legge cui, per effetto del provvedimento in esame, la Banca d'Italia è abilitata a derogare mediante norme di rango secondario, e si espliciti il carattere derogatorio della disposizione rispetto all'articolo 2535 del codice civile</w:t>
      </w:r>
      <w:r w:rsidR="008A214F" w:rsidRPr="00426CE5">
        <w:rPr>
          <w:rFonts w:ascii="Garamond" w:hAnsi="Garamond"/>
          <w:sz w:val="32"/>
          <w:szCs w:val="32"/>
        </w:rPr>
        <w:t>»</w:t>
      </w:r>
      <w:r w:rsidR="008A214F">
        <w:rPr>
          <w:rFonts w:ascii="Garamond" w:hAnsi="Garamond"/>
          <w:sz w:val="32"/>
          <w:szCs w:val="32"/>
        </w:rPr>
        <w:t xml:space="preserve"> (</w:t>
      </w:r>
      <w:hyperlink w:anchor="S02c02" w:history="1">
        <w:r w:rsidR="008A214F" w:rsidRPr="00285FFF">
          <w:rPr>
            <w:rStyle w:val="Collegamentoipertestuale"/>
            <w:rFonts w:ascii="Garamond" w:hAnsi="Garamond"/>
            <w:sz w:val="32"/>
            <w:szCs w:val="32"/>
          </w:rPr>
          <w:t>Scheda 2, condizione 2</w:t>
        </w:r>
      </w:hyperlink>
      <w:r w:rsidR="008A214F" w:rsidRPr="0023549E">
        <w:rPr>
          <w:rFonts w:ascii="Garamond" w:hAnsi="Garamond"/>
          <w:sz w:val="32"/>
          <w:szCs w:val="32"/>
        </w:rPr>
        <w:t>).</w:t>
      </w:r>
    </w:p>
    <w:p w:rsidR="007932BC" w:rsidRDefault="007932BC" w:rsidP="00BB539E">
      <w:pPr>
        <w:rPr>
          <w:rFonts w:ascii="Garamond" w:hAnsi="Garamond"/>
          <w:sz w:val="32"/>
          <w:szCs w:val="32"/>
        </w:rPr>
      </w:pPr>
    </w:p>
    <w:p w:rsidR="007932BC" w:rsidRPr="00F00BA0" w:rsidRDefault="00F038C0" w:rsidP="00F00BA0">
      <w:pPr>
        <w:pStyle w:val="Titolo2"/>
        <w:rPr>
          <w:rFonts w:ascii="Garamond" w:hAnsi="Garamond"/>
          <w:i/>
          <w:color w:val="0000FF"/>
          <w:sz w:val="28"/>
          <w:szCs w:val="28"/>
        </w:rPr>
      </w:pPr>
      <w:bookmarkStart w:id="75" w:name="_Toc439082243"/>
      <w:bookmarkStart w:id="76" w:name="_Toc439953659"/>
      <w:bookmarkStart w:id="77" w:name="_Toc440030373"/>
      <w:r>
        <w:rPr>
          <w:rFonts w:ascii="Garamond" w:hAnsi="Garamond"/>
          <w:i/>
          <w:color w:val="0000FF"/>
          <w:sz w:val="28"/>
          <w:szCs w:val="28"/>
        </w:rPr>
        <w:t>4.4.4</w:t>
      </w:r>
      <w:r w:rsidR="00976D09">
        <w:rPr>
          <w:rFonts w:ascii="Garamond" w:hAnsi="Garamond"/>
          <w:i/>
          <w:color w:val="0000FF"/>
          <w:sz w:val="28"/>
          <w:szCs w:val="28"/>
        </w:rPr>
        <w:t>.</w:t>
      </w:r>
      <w:r w:rsidR="00CA7AB6" w:rsidRPr="00F00BA0">
        <w:rPr>
          <w:rFonts w:ascii="Garamond" w:hAnsi="Garamond"/>
          <w:i/>
          <w:color w:val="0000FF"/>
          <w:sz w:val="28"/>
          <w:szCs w:val="28"/>
        </w:rPr>
        <w:t xml:space="preserve"> </w:t>
      </w:r>
      <w:r w:rsidR="00F1747C" w:rsidRPr="00F00BA0">
        <w:rPr>
          <w:rFonts w:ascii="Garamond" w:hAnsi="Garamond"/>
          <w:i/>
          <w:color w:val="0000FF"/>
          <w:sz w:val="28"/>
          <w:szCs w:val="28"/>
        </w:rPr>
        <w:t>Parti descrittive, ricognitive, programmatiche o di principio</w:t>
      </w:r>
      <w:bookmarkEnd w:id="75"/>
      <w:bookmarkEnd w:id="76"/>
      <w:bookmarkEnd w:id="77"/>
    </w:p>
    <w:p w:rsidR="00E765B0" w:rsidRPr="00E765B0" w:rsidRDefault="00E765B0" w:rsidP="00BB539E">
      <w:pPr>
        <w:rPr>
          <w:rFonts w:ascii="Garamond" w:hAnsi="Garamond" w:cs="Arial"/>
          <w:sz w:val="32"/>
          <w:szCs w:val="32"/>
        </w:rPr>
      </w:pPr>
      <w:r w:rsidRPr="00E765B0">
        <w:rPr>
          <w:rFonts w:ascii="Garamond" w:hAnsi="Garamond" w:cs="Arial"/>
          <w:sz w:val="32"/>
          <w:szCs w:val="32"/>
        </w:rPr>
        <w:t>Il ricorso a preamboli esplicativi e a periodi privi di contenuto immediatamente precettivo, in quanto si limitano a dare indicazioni di contesto, descrittive, ricognitive, di principio o programmatiche, ha trovato notevole diffusione a partire dal decreto-legge n</w:t>
      </w:r>
      <w:r>
        <w:rPr>
          <w:rFonts w:ascii="Garamond" w:hAnsi="Garamond" w:cs="Arial"/>
          <w:sz w:val="32"/>
          <w:szCs w:val="32"/>
        </w:rPr>
        <w:t>.</w:t>
      </w:r>
      <w:r w:rsidRPr="00E765B0">
        <w:rPr>
          <w:rFonts w:ascii="Garamond" w:hAnsi="Garamond" w:cs="Arial"/>
          <w:sz w:val="32"/>
          <w:szCs w:val="32"/>
        </w:rPr>
        <w:t xml:space="preserve"> 70/</w:t>
      </w:r>
      <w:r w:rsidR="00D504E4">
        <w:rPr>
          <w:rFonts w:ascii="Garamond" w:hAnsi="Garamond" w:cs="Arial"/>
          <w:sz w:val="32"/>
          <w:szCs w:val="32"/>
        </w:rPr>
        <w:t>2011, nella scorsa legislatura.</w:t>
      </w:r>
    </w:p>
    <w:p w:rsidR="009A1DF2" w:rsidRDefault="00637844" w:rsidP="00436C73">
      <w:pPr>
        <w:rPr>
          <w:rFonts w:ascii="Garamond" w:hAnsi="Garamond" w:cs="Arial"/>
          <w:sz w:val="32"/>
          <w:szCs w:val="32"/>
        </w:rPr>
      </w:pPr>
      <w:r>
        <w:rPr>
          <w:rFonts w:ascii="Garamond" w:hAnsi="Garamond" w:cs="Arial"/>
          <w:sz w:val="32"/>
          <w:szCs w:val="32"/>
        </w:rPr>
        <w:lastRenderedPageBreak/>
        <w:t>Nel periodo di riferimento del presente rapporto,</w:t>
      </w:r>
      <w:r w:rsidR="00FE34EB">
        <w:rPr>
          <w:rFonts w:ascii="Garamond" w:hAnsi="Garamond" w:cs="Arial"/>
          <w:sz w:val="32"/>
          <w:szCs w:val="32"/>
        </w:rPr>
        <w:t xml:space="preserve"> </w:t>
      </w:r>
      <w:r w:rsidR="00CF054D">
        <w:rPr>
          <w:rFonts w:ascii="Garamond" w:hAnsi="Garamond" w:cs="Arial"/>
          <w:sz w:val="32"/>
          <w:szCs w:val="32"/>
        </w:rPr>
        <w:t>si segnala</w:t>
      </w:r>
      <w:r w:rsidR="00436C73">
        <w:rPr>
          <w:rFonts w:ascii="Garamond" w:hAnsi="Garamond" w:cs="Arial"/>
          <w:sz w:val="32"/>
          <w:szCs w:val="32"/>
        </w:rPr>
        <w:t>no</w:t>
      </w:r>
      <w:r w:rsidR="00CF054D">
        <w:rPr>
          <w:rFonts w:ascii="Garamond" w:hAnsi="Garamond" w:cs="Arial"/>
          <w:sz w:val="32"/>
          <w:szCs w:val="32"/>
        </w:rPr>
        <w:t>, tra gli altri, i</w:t>
      </w:r>
      <w:r w:rsidR="00436C73">
        <w:rPr>
          <w:rFonts w:ascii="Garamond" w:hAnsi="Garamond" w:cs="Arial"/>
          <w:sz w:val="32"/>
          <w:szCs w:val="32"/>
        </w:rPr>
        <w:t xml:space="preserve"> pareri</w:t>
      </w:r>
      <w:r w:rsidR="00CF054D">
        <w:rPr>
          <w:rFonts w:ascii="Garamond" w:hAnsi="Garamond" w:cs="Arial"/>
          <w:sz w:val="32"/>
          <w:szCs w:val="32"/>
        </w:rPr>
        <w:t xml:space="preserve"> </w:t>
      </w:r>
      <w:r w:rsidR="00A97B28">
        <w:rPr>
          <w:rFonts w:ascii="Garamond" w:hAnsi="Garamond" w:cs="Arial"/>
          <w:sz w:val="32"/>
          <w:szCs w:val="32"/>
        </w:rPr>
        <w:t>sui</w:t>
      </w:r>
      <w:r w:rsidR="00CF054D">
        <w:rPr>
          <w:rFonts w:ascii="Garamond" w:hAnsi="Garamond" w:cs="Arial"/>
          <w:sz w:val="32"/>
          <w:szCs w:val="32"/>
        </w:rPr>
        <w:t xml:space="preserve"> decret</w:t>
      </w:r>
      <w:r w:rsidR="00436C73">
        <w:rPr>
          <w:rFonts w:ascii="Garamond" w:hAnsi="Garamond" w:cs="Arial"/>
          <w:sz w:val="32"/>
          <w:szCs w:val="32"/>
        </w:rPr>
        <w:t>i</w:t>
      </w:r>
      <w:r w:rsidR="00CF054D">
        <w:rPr>
          <w:rFonts w:ascii="Garamond" w:hAnsi="Garamond" w:cs="Arial"/>
          <w:sz w:val="32"/>
          <w:szCs w:val="32"/>
        </w:rPr>
        <w:t>-legge</w:t>
      </w:r>
      <w:r w:rsidR="00436C73">
        <w:rPr>
          <w:rFonts w:ascii="Garamond" w:hAnsi="Garamond" w:cs="Arial"/>
          <w:sz w:val="32"/>
          <w:szCs w:val="32"/>
        </w:rPr>
        <w:t xml:space="preserve"> n. </w:t>
      </w:r>
      <w:r w:rsidR="00A97B28">
        <w:rPr>
          <w:rFonts w:ascii="Garamond" w:hAnsi="Garamond" w:cs="Arial"/>
          <w:sz w:val="32"/>
          <w:szCs w:val="32"/>
        </w:rPr>
        <w:t>3</w:t>
      </w:r>
      <w:r w:rsidR="00436C73">
        <w:rPr>
          <w:rFonts w:ascii="Garamond" w:hAnsi="Garamond" w:cs="Arial"/>
          <w:sz w:val="32"/>
          <w:szCs w:val="32"/>
        </w:rPr>
        <w:t xml:space="preserve"> (C. 28</w:t>
      </w:r>
      <w:r w:rsidR="00A97B28">
        <w:rPr>
          <w:rFonts w:ascii="Garamond" w:hAnsi="Garamond" w:cs="Arial"/>
          <w:sz w:val="32"/>
          <w:szCs w:val="32"/>
        </w:rPr>
        <w:t>44</w:t>
      </w:r>
      <w:r w:rsidR="00436C73">
        <w:rPr>
          <w:rFonts w:ascii="Garamond" w:hAnsi="Garamond" w:cs="Arial"/>
          <w:sz w:val="32"/>
          <w:szCs w:val="32"/>
        </w:rPr>
        <w:t xml:space="preserve"> –</w:t>
      </w:r>
      <w:r w:rsidR="00A97B28">
        <w:rPr>
          <w:rFonts w:ascii="Garamond" w:hAnsi="Garamond" w:cs="Arial"/>
          <w:sz w:val="32"/>
          <w:szCs w:val="32"/>
        </w:rPr>
        <w:t xml:space="preserve"> Sistema bancario) e n. 1 del 2015 (C. 2894 – ILVA e Taranto)</w:t>
      </w:r>
      <w:r w:rsidR="00436C73">
        <w:rPr>
          <w:rFonts w:ascii="Garamond" w:hAnsi="Garamond" w:cs="Arial"/>
          <w:sz w:val="32"/>
          <w:szCs w:val="32"/>
        </w:rPr>
        <w:t xml:space="preserve"> e </w:t>
      </w:r>
      <w:r w:rsidR="00A97B28">
        <w:rPr>
          <w:rFonts w:ascii="Garamond" w:hAnsi="Garamond" w:cs="Arial"/>
          <w:sz w:val="32"/>
          <w:szCs w:val="32"/>
        </w:rPr>
        <w:t>sul disegno di legge C. 2994 (“Buona scuola”)</w:t>
      </w:r>
      <w:r w:rsidR="00CF054D">
        <w:rPr>
          <w:rFonts w:ascii="Garamond" w:hAnsi="Garamond" w:cs="Arial"/>
          <w:sz w:val="32"/>
          <w:szCs w:val="32"/>
        </w:rPr>
        <w:t>,</w:t>
      </w:r>
      <w:r w:rsidR="00436C73">
        <w:rPr>
          <w:rFonts w:ascii="Garamond" w:hAnsi="Garamond" w:cs="Arial"/>
          <w:sz w:val="32"/>
          <w:szCs w:val="32"/>
        </w:rPr>
        <w:t xml:space="preserve"> che offrono</w:t>
      </w:r>
      <w:r w:rsidR="00CF054D">
        <w:rPr>
          <w:rFonts w:ascii="Garamond" w:hAnsi="Garamond" w:cs="Arial"/>
          <w:sz w:val="32"/>
          <w:szCs w:val="32"/>
        </w:rPr>
        <w:t xml:space="preserve"> un ampio campionario di disposizioni di dubbia portata normati</w:t>
      </w:r>
      <w:r w:rsidR="00436C73">
        <w:rPr>
          <w:rFonts w:ascii="Garamond" w:hAnsi="Garamond" w:cs="Arial"/>
          <w:sz w:val="32"/>
          <w:szCs w:val="32"/>
        </w:rPr>
        <w:t xml:space="preserve">va. Nelle premesse del </w:t>
      </w:r>
      <w:r w:rsidR="00A97B28">
        <w:rPr>
          <w:rFonts w:ascii="Garamond" w:hAnsi="Garamond" w:cs="Arial"/>
          <w:sz w:val="32"/>
          <w:szCs w:val="32"/>
        </w:rPr>
        <w:t xml:space="preserve">primo </w:t>
      </w:r>
      <w:r w:rsidR="00436C73">
        <w:rPr>
          <w:rFonts w:ascii="Garamond" w:hAnsi="Garamond" w:cs="Arial"/>
          <w:sz w:val="32"/>
          <w:szCs w:val="32"/>
        </w:rPr>
        <w:t>parere si rileva che</w:t>
      </w:r>
      <w:r w:rsidR="00CF054D">
        <w:rPr>
          <w:rFonts w:ascii="Garamond" w:hAnsi="Garamond" w:cs="Arial"/>
          <w:sz w:val="32"/>
          <w:szCs w:val="32"/>
        </w:rPr>
        <w:t xml:space="preserve"> </w:t>
      </w:r>
      <w:r w:rsidR="00CF054D" w:rsidRPr="00CF054D">
        <w:rPr>
          <w:rFonts w:ascii="Garamond" w:hAnsi="Garamond" w:cs="Arial"/>
          <w:sz w:val="32"/>
          <w:szCs w:val="32"/>
        </w:rPr>
        <w:t>«</w:t>
      </w:r>
      <w:r w:rsidR="00A97B28" w:rsidRPr="00A97B28">
        <w:rPr>
          <w:rFonts w:ascii="Garamond" w:hAnsi="Garamond" w:cs="Arial"/>
          <w:sz w:val="32"/>
          <w:szCs w:val="32"/>
        </w:rPr>
        <w:t xml:space="preserve">l'articolo 3, che consente alla SACE di esercitare l'attività creditizia, reca numerose previsioni prive ovvero di </w:t>
      </w:r>
      <w:r w:rsidR="00A97B28" w:rsidRPr="006769E4">
        <w:rPr>
          <w:rFonts w:ascii="Garamond" w:hAnsi="Garamond" w:cs="Arial"/>
          <w:sz w:val="32"/>
          <w:szCs w:val="32"/>
        </w:rPr>
        <w:t xml:space="preserve">dubbia portata normativa, in quanto dichiarative di finalità, </w:t>
      </w:r>
      <w:r w:rsidR="00A97B28" w:rsidRPr="00A97B28">
        <w:rPr>
          <w:rFonts w:ascii="Garamond" w:hAnsi="Garamond" w:cs="Arial"/>
          <w:sz w:val="32"/>
          <w:szCs w:val="32"/>
        </w:rPr>
        <w:t>volte a richiamare l'osservanza della normativa vigente, o a disporre, piuttosto pleonasticamente, che la società applichi le disposizioni secondo “le modalità operative più idonee”</w:t>
      </w:r>
      <w:r w:rsidR="00CF054D" w:rsidRPr="00CF054D">
        <w:rPr>
          <w:rFonts w:ascii="Garamond" w:hAnsi="Garamond" w:cs="Arial"/>
          <w:sz w:val="32"/>
          <w:szCs w:val="32"/>
        </w:rPr>
        <w:t>»</w:t>
      </w:r>
      <w:r w:rsidR="00CF054D">
        <w:rPr>
          <w:rFonts w:ascii="Garamond" w:hAnsi="Garamond" w:cs="Arial"/>
          <w:sz w:val="32"/>
          <w:szCs w:val="32"/>
        </w:rPr>
        <w:t xml:space="preserve"> </w:t>
      </w:r>
      <w:r w:rsidR="00CF054D" w:rsidRPr="00876DBB">
        <w:rPr>
          <w:rFonts w:ascii="Garamond" w:hAnsi="Garamond" w:cs="Arial"/>
          <w:sz w:val="32"/>
          <w:szCs w:val="32"/>
        </w:rPr>
        <w:t>(</w:t>
      </w:r>
      <w:hyperlink r:id="rId18" w:anchor="S02a10" w:history="1">
        <w:r w:rsidR="00CF054D" w:rsidRPr="006D1A37">
          <w:rPr>
            <w:rStyle w:val="Collegamentoipertestuale"/>
            <w:rFonts w:ascii="Garamond" w:hAnsi="Garamond" w:cs="Arial"/>
            <w:sz w:val="32"/>
            <w:szCs w:val="32"/>
          </w:rPr>
          <w:t xml:space="preserve">Scheda 2, punto </w:t>
        </w:r>
        <w:r w:rsidR="00A97B28" w:rsidRPr="006D1A37">
          <w:rPr>
            <w:rStyle w:val="Collegamentoipertestuale"/>
            <w:rFonts w:ascii="Garamond" w:hAnsi="Garamond" w:cs="Arial"/>
            <w:sz w:val="32"/>
            <w:szCs w:val="32"/>
          </w:rPr>
          <w:t>10</w:t>
        </w:r>
      </w:hyperlink>
      <w:r w:rsidR="00CF054D" w:rsidRPr="00876DBB">
        <w:rPr>
          <w:rFonts w:ascii="Garamond" w:hAnsi="Garamond" w:cs="Arial"/>
          <w:sz w:val="32"/>
          <w:szCs w:val="32"/>
        </w:rPr>
        <w:t>).</w:t>
      </w:r>
      <w:r w:rsidR="00A97B28">
        <w:rPr>
          <w:rFonts w:ascii="Garamond" w:hAnsi="Garamond" w:cs="Arial"/>
          <w:sz w:val="32"/>
          <w:szCs w:val="32"/>
        </w:rPr>
        <w:t xml:space="preserve"> Elenchi più dettagliati sono contenuti negli altri due pareri (</w:t>
      </w:r>
      <w:hyperlink w:anchor="S03a05" w:history="1">
        <w:r w:rsidR="00A97B28" w:rsidRPr="00285FFF">
          <w:rPr>
            <w:rStyle w:val="Collegamentoipertestuale"/>
            <w:rFonts w:ascii="Garamond" w:hAnsi="Garamond" w:cs="Arial"/>
            <w:sz w:val="32"/>
            <w:szCs w:val="32"/>
          </w:rPr>
          <w:t>Scheda 3, punto 5</w:t>
        </w:r>
      </w:hyperlink>
      <w:r w:rsidR="00A97B28" w:rsidRPr="006D1A37">
        <w:rPr>
          <w:rFonts w:ascii="Garamond" w:hAnsi="Garamond" w:cs="Arial"/>
          <w:sz w:val="32"/>
          <w:szCs w:val="32"/>
        </w:rPr>
        <w:t xml:space="preserve">; </w:t>
      </w:r>
      <w:hyperlink w:anchor="S09a06" w:history="1">
        <w:r w:rsidR="00A97B28" w:rsidRPr="00285FFF">
          <w:rPr>
            <w:rStyle w:val="Collegamentoipertestuale"/>
            <w:rFonts w:ascii="Garamond" w:hAnsi="Garamond" w:cs="Arial"/>
            <w:sz w:val="32"/>
            <w:szCs w:val="32"/>
          </w:rPr>
          <w:t>Scheda 9, punti 6</w:t>
        </w:r>
      </w:hyperlink>
      <w:r w:rsidR="00A97B28" w:rsidRPr="006D1A37">
        <w:rPr>
          <w:rFonts w:ascii="Garamond" w:hAnsi="Garamond" w:cs="Arial"/>
          <w:sz w:val="32"/>
          <w:szCs w:val="32"/>
        </w:rPr>
        <w:t xml:space="preserve"> e </w:t>
      </w:r>
      <w:hyperlink w:anchor="S09a07" w:history="1">
        <w:r w:rsidR="00A97B28" w:rsidRPr="00285FFF">
          <w:rPr>
            <w:rStyle w:val="Collegamentoipertestuale"/>
            <w:rFonts w:ascii="Garamond" w:hAnsi="Garamond" w:cs="Arial"/>
            <w:sz w:val="32"/>
            <w:szCs w:val="32"/>
          </w:rPr>
          <w:t>7</w:t>
        </w:r>
      </w:hyperlink>
      <w:r w:rsidR="00A97B28" w:rsidRPr="006D1A37">
        <w:rPr>
          <w:rFonts w:ascii="Garamond" w:hAnsi="Garamond" w:cs="Arial"/>
          <w:sz w:val="32"/>
          <w:szCs w:val="32"/>
        </w:rPr>
        <w:t>).</w:t>
      </w:r>
    </w:p>
    <w:p w:rsidR="00A97B28" w:rsidRDefault="00A97B28" w:rsidP="00A97B28">
      <w:pPr>
        <w:rPr>
          <w:rFonts w:ascii="Garamond" w:hAnsi="Garamond" w:cs="Arial"/>
          <w:sz w:val="32"/>
          <w:szCs w:val="32"/>
        </w:rPr>
      </w:pPr>
      <w:r>
        <w:rPr>
          <w:rFonts w:ascii="Garamond" w:hAnsi="Garamond" w:cs="Arial"/>
          <w:sz w:val="32"/>
          <w:szCs w:val="32"/>
        </w:rPr>
        <w:t>Alla enumerazione delle diverse categorie di disposizioni consegue in genere una osservazione finalizzata ad una valutazione della loro portata normativa.</w:t>
      </w:r>
    </w:p>
    <w:p w:rsidR="00A97B28" w:rsidRDefault="00A97B28" w:rsidP="00436C73">
      <w:pPr>
        <w:rPr>
          <w:rFonts w:ascii="Garamond" w:hAnsi="Garamond" w:cs="Arial"/>
          <w:sz w:val="32"/>
          <w:szCs w:val="32"/>
        </w:rPr>
      </w:pPr>
    </w:p>
    <w:p w:rsidR="00A97B28" w:rsidRDefault="005D7EDF" w:rsidP="00436C73">
      <w:pPr>
        <w:rPr>
          <w:rFonts w:ascii="Garamond" w:hAnsi="Garamond" w:cs="Arial"/>
          <w:sz w:val="32"/>
          <w:szCs w:val="32"/>
        </w:rPr>
      </w:pPr>
      <w:r>
        <w:rPr>
          <w:rFonts w:ascii="Garamond" w:hAnsi="Garamond" w:cs="Arial"/>
          <w:sz w:val="32"/>
          <w:szCs w:val="32"/>
        </w:rPr>
        <w:t>A</w:t>
      </w:r>
      <w:r w:rsidR="00A97B28">
        <w:rPr>
          <w:rFonts w:ascii="Garamond" w:hAnsi="Garamond" w:cs="Arial"/>
          <w:sz w:val="32"/>
          <w:szCs w:val="32"/>
        </w:rPr>
        <w:t>ppaiono di particolare interesse due pareri nei quali il Comitato riconosce l’opportunità di disposizioni apparentemente prive o di dubbia portata normativa:</w:t>
      </w:r>
    </w:p>
    <w:p w:rsidR="00A97B28" w:rsidRDefault="00A97B28" w:rsidP="00436C73">
      <w:pPr>
        <w:rPr>
          <w:rFonts w:ascii="Garamond" w:hAnsi="Garamond" w:cs="Arial"/>
          <w:sz w:val="32"/>
          <w:szCs w:val="32"/>
        </w:rPr>
      </w:pPr>
      <w:r>
        <w:rPr>
          <w:rFonts w:ascii="Garamond" w:hAnsi="Garamond" w:cs="Arial"/>
          <w:sz w:val="32"/>
          <w:szCs w:val="32"/>
        </w:rPr>
        <w:t>nelle premesse del parere sul testo unificato C. 3-</w:t>
      </w:r>
      <w:r w:rsidRPr="00C94A09">
        <w:rPr>
          <w:rFonts w:ascii="Garamond" w:hAnsi="Garamond" w:cs="Arial"/>
          <w:i/>
          <w:sz w:val="32"/>
          <w:szCs w:val="32"/>
        </w:rPr>
        <w:t>bis</w:t>
      </w:r>
      <w:r>
        <w:rPr>
          <w:rFonts w:ascii="Garamond" w:hAnsi="Garamond" w:cs="Arial"/>
          <w:sz w:val="32"/>
          <w:szCs w:val="32"/>
        </w:rPr>
        <w:t xml:space="preserve">-B ed abb. </w:t>
      </w:r>
      <w:r w:rsidR="00D17B7F">
        <w:rPr>
          <w:rFonts w:ascii="Garamond" w:hAnsi="Garamond" w:cs="Arial"/>
          <w:sz w:val="32"/>
          <w:szCs w:val="32"/>
        </w:rPr>
        <w:t>s</w:t>
      </w:r>
      <w:r>
        <w:rPr>
          <w:rFonts w:ascii="Garamond" w:hAnsi="Garamond" w:cs="Arial"/>
          <w:sz w:val="32"/>
          <w:szCs w:val="32"/>
        </w:rPr>
        <w:t xml:space="preserve">i rileva che </w:t>
      </w:r>
      <w:r w:rsidRPr="00A97B28">
        <w:rPr>
          <w:rFonts w:ascii="Garamond" w:hAnsi="Garamond" w:cs="Arial"/>
          <w:sz w:val="32"/>
          <w:szCs w:val="32"/>
        </w:rPr>
        <w:t>«l'articolo 14</w:t>
      </w:r>
      <w:r w:rsidRPr="00A97B28">
        <w:rPr>
          <w:rFonts w:ascii="Garamond" w:hAnsi="Garamond" w:cs="Arial"/>
          <w:i/>
          <w:iCs/>
          <w:sz w:val="32"/>
          <w:szCs w:val="32"/>
        </w:rPr>
        <w:t>-bis</w:t>
      </w:r>
      <w:r w:rsidRPr="00A97B28">
        <w:rPr>
          <w:rFonts w:ascii="Garamond" w:hAnsi="Garamond" w:cs="Arial"/>
          <w:sz w:val="32"/>
          <w:szCs w:val="32"/>
        </w:rPr>
        <w:t xml:space="preserve"> del TUE (come novellato dall'articolo 2, comma 8, della proposta di legge in esame), prevede che le forze politiche dichiarino, fra l'altro, </w:t>
      </w:r>
      <w:r w:rsidR="00FE3FFF">
        <w:rPr>
          <w:rFonts w:ascii="Garamond" w:hAnsi="Garamond" w:cs="Arial"/>
          <w:sz w:val="32"/>
          <w:szCs w:val="32"/>
        </w:rPr>
        <w:t>“</w:t>
      </w:r>
      <w:r w:rsidRPr="00A97B28">
        <w:rPr>
          <w:rFonts w:ascii="Garamond" w:hAnsi="Garamond" w:cs="Arial"/>
          <w:sz w:val="32"/>
          <w:szCs w:val="32"/>
        </w:rPr>
        <w:t>il nome e cognome della persona da loro indicata come capo della forza politica</w:t>
      </w:r>
      <w:r w:rsidR="00FE3FFF">
        <w:rPr>
          <w:rFonts w:ascii="Garamond" w:hAnsi="Garamond" w:cs="Arial"/>
          <w:sz w:val="32"/>
          <w:szCs w:val="32"/>
        </w:rPr>
        <w:t>”</w:t>
      </w:r>
      <w:r w:rsidRPr="00A97B28">
        <w:rPr>
          <w:rFonts w:ascii="Garamond" w:hAnsi="Garamond" w:cs="Arial"/>
          <w:sz w:val="32"/>
          <w:szCs w:val="32"/>
        </w:rPr>
        <w:t xml:space="preserve">, e fa salve le prerogative che l'articolo 92, secondo comma, della Costituzione attribuisce al Presidente della Repubblica: tale previsione – che di per sé parrebbe priva di portata normativa in quanto si limita a richiamare una disposizione vigente, peraltro di rango sovraordinato – tuttavia nel predetto contesto normativo può essere considerata come finalizzata ad orientare maggiormente la lettura della disposizione in senso costituzionalmente orientato; la previsione è, inoltre, già presente, negli stessi termini benché </w:t>
      </w:r>
      <w:r w:rsidRPr="00A97B28">
        <w:rPr>
          <w:rFonts w:ascii="Garamond" w:hAnsi="Garamond" w:cs="Arial"/>
          <w:sz w:val="32"/>
          <w:szCs w:val="32"/>
        </w:rPr>
        <w:lastRenderedPageBreak/>
        <w:t>riferita sia alle liste singole sia alle coalizioni, nel TUE, essendo stata inserita dalla riforma elettorale di cui alla legge n. 270 del 2005</w:t>
      </w:r>
      <w:r w:rsidRPr="006D1A37">
        <w:rPr>
          <w:rFonts w:ascii="Garamond" w:hAnsi="Garamond" w:cs="Arial"/>
          <w:sz w:val="32"/>
          <w:szCs w:val="32"/>
        </w:rPr>
        <w:t>» (</w:t>
      </w:r>
      <w:hyperlink w:anchor="S06a07" w:history="1">
        <w:r w:rsidRPr="00285FFF">
          <w:rPr>
            <w:rStyle w:val="Collegamentoipertestuale"/>
            <w:rFonts w:ascii="Garamond" w:hAnsi="Garamond" w:cs="Arial"/>
            <w:sz w:val="32"/>
            <w:szCs w:val="32"/>
          </w:rPr>
          <w:t>Scheda 6, punto 7</w:t>
        </w:r>
      </w:hyperlink>
      <w:r w:rsidRPr="006D1A37">
        <w:rPr>
          <w:rFonts w:ascii="Garamond" w:hAnsi="Garamond" w:cs="Arial"/>
          <w:sz w:val="32"/>
          <w:szCs w:val="32"/>
        </w:rPr>
        <w:t>);</w:t>
      </w:r>
    </w:p>
    <w:p w:rsidR="00A97B28" w:rsidRDefault="00A97B28" w:rsidP="00436C73">
      <w:pPr>
        <w:rPr>
          <w:rFonts w:ascii="Garamond" w:hAnsi="Garamond" w:cs="Arial"/>
          <w:sz w:val="32"/>
          <w:szCs w:val="32"/>
        </w:rPr>
      </w:pPr>
      <w:r>
        <w:rPr>
          <w:rFonts w:ascii="Garamond" w:hAnsi="Garamond" w:cs="Arial"/>
          <w:sz w:val="32"/>
          <w:szCs w:val="32"/>
        </w:rPr>
        <w:t>analogamente, le premesse del parere sul decreto-legge n. 65 del 2015 (C. 3134 – pensioni, ammortizzatori sociali e TFR)</w:t>
      </w:r>
      <w:r w:rsidR="00082F96">
        <w:rPr>
          <w:rFonts w:ascii="Garamond" w:hAnsi="Garamond" w:cs="Arial"/>
          <w:sz w:val="32"/>
          <w:szCs w:val="32"/>
        </w:rPr>
        <w:t xml:space="preserve"> desumono</w:t>
      </w:r>
      <w:r>
        <w:rPr>
          <w:rFonts w:ascii="Garamond" w:hAnsi="Garamond" w:cs="Arial"/>
          <w:sz w:val="32"/>
          <w:szCs w:val="32"/>
        </w:rPr>
        <w:t xml:space="preserve"> l’opportunità di </w:t>
      </w:r>
      <w:r w:rsidR="00082F96">
        <w:rPr>
          <w:rFonts w:ascii="Garamond" w:hAnsi="Garamond" w:cs="Arial"/>
          <w:sz w:val="32"/>
          <w:szCs w:val="32"/>
        </w:rPr>
        <w:t>una previsione meramente descrittiva da una sentenza della Corte costituzionale cui il decreto dà attuazione</w:t>
      </w:r>
      <w:r w:rsidR="0077331C">
        <w:rPr>
          <w:rFonts w:ascii="Garamond" w:hAnsi="Garamond" w:cs="Arial"/>
          <w:sz w:val="32"/>
          <w:szCs w:val="32"/>
        </w:rPr>
        <w:t xml:space="preserve"> (v. infra, il paragrafo 4.11.2 e la </w:t>
      </w:r>
      <w:hyperlink w:anchor="S11a05" w:history="1">
        <w:r w:rsidR="00082F96" w:rsidRPr="00285FFF">
          <w:rPr>
            <w:rStyle w:val="Collegamentoipertestuale"/>
            <w:rFonts w:ascii="Garamond" w:hAnsi="Garamond" w:cs="Arial"/>
            <w:sz w:val="32"/>
            <w:szCs w:val="32"/>
          </w:rPr>
          <w:t>Scheda 11, punto 5</w:t>
        </w:r>
      </w:hyperlink>
      <w:r w:rsidR="00082F96" w:rsidRPr="006D1A37">
        <w:rPr>
          <w:rFonts w:ascii="Garamond" w:hAnsi="Garamond" w:cs="Arial"/>
          <w:sz w:val="32"/>
          <w:szCs w:val="32"/>
        </w:rPr>
        <w:t>).</w:t>
      </w:r>
      <w:r w:rsidR="00082F96">
        <w:rPr>
          <w:rFonts w:ascii="Garamond" w:hAnsi="Garamond" w:cs="Arial"/>
          <w:sz w:val="32"/>
          <w:szCs w:val="32"/>
        </w:rPr>
        <w:t xml:space="preserve"> </w:t>
      </w:r>
      <w:r>
        <w:rPr>
          <w:rFonts w:ascii="Garamond" w:hAnsi="Garamond" w:cs="Arial"/>
          <w:sz w:val="32"/>
          <w:szCs w:val="32"/>
        </w:rPr>
        <w:t xml:space="preserve"> </w:t>
      </w:r>
    </w:p>
    <w:p w:rsidR="00D504E4" w:rsidRPr="00B929EE" w:rsidRDefault="00082F96" w:rsidP="00436C73">
      <w:pPr>
        <w:rPr>
          <w:rFonts w:ascii="Garamond" w:hAnsi="Garamond"/>
          <w:sz w:val="32"/>
          <w:szCs w:val="32"/>
        </w:rPr>
      </w:pPr>
      <w:r>
        <w:rPr>
          <w:rFonts w:ascii="Garamond" w:hAnsi="Garamond" w:cs="Arial"/>
          <w:sz w:val="32"/>
          <w:szCs w:val="32"/>
        </w:rPr>
        <w:t xml:space="preserve">Di peculiare interesse è anche il parere sul disegno di legge di delegazione europea 2014 (C. 3123), ove il Comitato si sofferma sulle disposizioni volte a normare profili endoprocedimentali della delega: </w:t>
      </w:r>
      <w:r w:rsidRPr="00082F96">
        <w:rPr>
          <w:rFonts w:ascii="Garamond" w:hAnsi="Garamond" w:cs="Arial"/>
          <w:sz w:val="32"/>
          <w:szCs w:val="32"/>
        </w:rPr>
        <w:t xml:space="preserve">«il disegno di legge contiene alcune disposizioni sprovviste di un contenuto innovativo dell’ordinamento, in quanto volte a riprodurre o richiamare la disciplina già vigente ovvero riferite ad aspetti endoprocedimentali connessi all’attuazione della delega; con riferimento al primo aspetto, gli articoli 4, comma 1, lettera </w:t>
      </w:r>
      <w:r w:rsidRPr="00082F96">
        <w:rPr>
          <w:rFonts w:ascii="Garamond" w:hAnsi="Garamond" w:cs="Arial"/>
          <w:i/>
          <w:sz w:val="32"/>
          <w:szCs w:val="32"/>
        </w:rPr>
        <w:t>c</w:t>
      </w:r>
      <w:r w:rsidRPr="00082F96">
        <w:rPr>
          <w:rFonts w:ascii="Garamond" w:hAnsi="Garamond" w:cs="Arial"/>
          <w:sz w:val="32"/>
          <w:szCs w:val="32"/>
        </w:rPr>
        <w:t xml:space="preserve">) e 10, comma 1, lettera </w:t>
      </w:r>
      <w:r w:rsidRPr="00082F96">
        <w:rPr>
          <w:rFonts w:ascii="Garamond" w:hAnsi="Garamond" w:cs="Arial"/>
          <w:i/>
          <w:sz w:val="32"/>
          <w:szCs w:val="32"/>
        </w:rPr>
        <w:t>e</w:t>
      </w:r>
      <w:r w:rsidRPr="00082F96">
        <w:rPr>
          <w:rFonts w:ascii="Garamond" w:hAnsi="Garamond" w:cs="Arial"/>
          <w:sz w:val="32"/>
          <w:szCs w:val="32"/>
        </w:rPr>
        <w:t xml:space="preserve">) riproducono quanto già previsto dall’articolo 32, comma 1, lettera </w:t>
      </w:r>
      <w:r w:rsidRPr="00082F96">
        <w:rPr>
          <w:rFonts w:ascii="Garamond" w:hAnsi="Garamond" w:cs="Arial"/>
          <w:i/>
          <w:sz w:val="32"/>
          <w:szCs w:val="32"/>
        </w:rPr>
        <w:t>b</w:t>
      </w:r>
      <w:r w:rsidRPr="00082F96">
        <w:rPr>
          <w:rFonts w:ascii="Garamond" w:hAnsi="Garamond" w:cs="Arial"/>
          <w:sz w:val="32"/>
          <w:szCs w:val="32"/>
        </w:rPr>
        <w:t xml:space="preserve">), della legge n. 234 del 2012; l’articolo 6, comma 1, mantiene fermo quanto stabilito dall’articolo 1, commi 5, 6 e 7, del decreto legislativo n. 188 del 2014; i principi direttivi di cui agli articoli 19, comma 1, lettera </w:t>
      </w:r>
      <w:r w:rsidRPr="00082F96">
        <w:rPr>
          <w:rFonts w:ascii="Garamond" w:hAnsi="Garamond" w:cs="Arial"/>
          <w:i/>
          <w:sz w:val="32"/>
          <w:szCs w:val="32"/>
        </w:rPr>
        <w:t>a</w:t>
      </w:r>
      <w:r w:rsidRPr="00082F96">
        <w:rPr>
          <w:rFonts w:ascii="Garamond" w:hAnsi="Garamond" w:cs="Arial"/>
          <w:sz w:val="32"/>
          <w:szCs w:val="32"/>
        </w:rPr>
        <w:t xml:space="preserve">) e 21, comma 1, lettera </w:t>
      </w:r>
      <w:r w:rsidRPr="00082F96">
        <w:rPr>
          <w:rFonts w:ascii="Garamond" w:hAnsi="Garamond" w:cs="Arial"/>
          <w:i/>
          <w:sz w:val="32"/>
          <w:szCs w:val="32"/>
        </w:rPr>
        <w:t>a</w:t>
      </w:r>
      <w:r w:rsidRPr="00082F96">
        <w:rPr>
          <w:rFonts w:ascii="Garamond" w:hAnsi="Garamond" w:cs="Arial"/>
          <w:sz w:val="32"/>
          <w:szCs w:val="32"/>
        </w:rPr>
        <w:t>) vincolano il legislatore delegato a prevedere che le definizioni siano conformi alle definizioni delle decisioni quadro oggetto di delega; con riferimento al secondo aspetto, l’articolo 6, comma 1, alinea, fa riferimento al coordinamento del Dipartimento per le politiche europee della Presidenza del Consiglio per l’attuazione della delega oggetto dell’articolo»</w:t>
      </w:r>
      <w:r>
        <w:rPr>
          <w:rFonts w:ascii="Garamond" w:hAnsi="Garamond" w:cs="Arial"/>
          <w:sz w:val="32"/>
          <w:szCs w:val="32"/>
        </w:rPr>
        <w:t xml:space="preserve"> (</w:t>
      </w:r>
      <w:hyperlink w:anchor="S13a03" w:history="1">
        <w:r w:rsidRPr="00285FFF">
          <w:rPr>
            <w:rStyle w:val="Collegamentoipertestuale"/>
            <w:rFonts w:ascii="Garamond" w:hAnsi="Garamond" w:cs="Arial"/>
            <w:sz w:val="32"/>
            <w:szCs w:val="32"/>
          </w:rPr>
          <w:t>Scheda 13, punto 3</w:t>
        </w:r>
      </w:hyperlink>
      <w:r w:rsidRPr="00B929EE">
        <w:rPr>
          <w:rFonts w:ascii="Garamond" w:hAnsi="Garamond" w:cs="Arial"/>
          <w:sz w:val="32"/>
          <w:szCs w:val="32"/>
        </w:rPr>
        <w:t>).</w:t>
      </w:r>
    </w:p>
    <w:p w:rsidR="008446C9" w:rsidRDefault="006D669D" w:rsidP="00D504E4">
      <w:pPr>
        <w:spacing w:line="240" w:lineRule="auto"/>
        <w:rPr>
          <w:rFonts w:ascii="Garamond" w:hAnsi="Garamond"/>
          <w:sz w:val="32"/>
          <w:szCs w:val="32"/>
        </w:rPr>
      </w:pPr>
      <w:r>
        <w:rPr>
          <w:rFonts w:ascii="Garamond" w:hAnsi="Garamond" w:cs="Arial"/>
          <w:sz w:val="32"/>
          <w:szCs w:val="32"/>
        </w:rPr>
        <w:br w:type="page"/>
      </w:r>
    </w:p>
    <w:p w:rsidR="004C7B32" w:rsidRDefault="004C7B32" w:rsidP="00D504E4">
      <w:pPr>
        <w:pStyle w:val="Titolo2"/>
        <w:spacing w:before="0"/>
        <w:ind w:left="0" w:firstLine="0"/>
        <w:rPr>
          <w:rFonts w:ascii="Garamond" w:hAnsi="Garamond"/>
          <w:i/>
          <w:color w:val="0000FF"/>
          <w:sz w:val="40"/>
          <w:szCs w:val="40"/>
        </w:rPr>
      </w:pPr>
      <w:bookmarkStart w:id="78" w:name="_Toc439082244"/>
      <w:bookmarkStart w:id="79" w:name="_Toc439953660"/>
      <w:bookmarkStart w:id="80" w:name="_Toc440030374"/>
      <w:r w:rsidRPr="00063D88">
        <w:rPr>
          <w:rFonts w:ascii="Garamond" w:hAnsi="Garamond"/>
          <w:i/>
          <w:color w:val="0000FF"/>
          <w:sz w:val="40"/>
          <w:szCs w:val="40"/>
        </w:rPr>
        <w:lastRenderedPageBreak/>
        <w:t>4.</w:t>
      </w:r>
      <w:r w:rsidR="004B31C5">
        <w:rPr>
          <w:rFonts w:ascii="Garamond" w:hAnsi="Garamond"/>
          <w:i/>
          <w:color w:val="0000FF"/>
          <w:sz w:val="40"/>
          <w:szCs w:val="40"/>
        </w:rPr>
        <w:t>5</w:t>
      </w:r>
      <w:r w:rsidRPr="00063D88">
        <w:rPr>
          <w:rFonts w:ascii="Garamond" w:hAnsi="Garamond"/>
          <w:i/>
          <w:color w:val="0000FF"/>
          <w:sz w:val="40"/>
          <w:szCs w:val="40"/>
        </w:rPr>
        <w:t xml:space="preserve">. </w:t>
      </w:r>
      <w:r>
        <w:rPr>
          <w:rFonts w:ascii="Garamond" w:hAnsi="Garamond"/>
          <w:i/>
          <w:color w:val="0000FF"/>
          <w:sz w:val="40"/>
          <w:szCs w:val="40"/>
        </w:rPr>
        <w:t>Sistema delle fonti</w:t>
      </w:r>
      <w:bookmarkEnd w:id="78"/>
      <w:bookmarkEnd w:id="79"/>
      <w:bookmarkEnd w:id="80"/>
      <w:r w:rsidRPr="00063D88">
        <w:rPr>
          <w:rFonts w:ascii="Garamond" w:hAnsi="Garamond"/>
          <w:i/>
          <w:color w:val="0000FF"/>
          <w:sz w:val="40"/>
          <w:szCs w:val="40"/>
        </w:rPr>
        <w:t xml:space="preserve"> </w:t>
      </w:r>
    </w:p>
    <w:p w:rsidR="00D95B76" w:rsidRDefault="00707041" w:rsidP="00707041">
      <w:pPr>
        <w:rPr>
          <w:rFonts w:ascii="Garamond" w:hAnsi="Garamond"/>
          <w:sz w:val="32"/>
          <w:szCs w:val="32"/>
        </w:rPr>
      </w:pPr>
      <w:r w:rsidRPr="00707041">
        <w:rPr>
          <w:rFonts w:ascii="Garamond" w:hAnsi="Garamond"/>
          <w:sz w:val="32"/>
          <w:szCs w:val="32"/>
        </w:rPr>
        <w:t xml:space="preserve">Il Comitato ha </w:t>
      </w:r>
      <w:r>
        <w:rPr>
          <w:rFonts w:ascii="Garamond" w:hAnsi="Garamond"/>
          <w:sz w:val="32"/>
          <w:szCs w:val="32"/>
        </w:rPr>
        <w:t xml:space="preserve">sempre dedicato una grande attenzione nei suoi pareri agli aspetti critici legati al </w:t>
      </w:r>
      <w:r w:rsidRPr="00B107C3">
        <w:rPr>
          <w:rFonts w:ascii="Garamond" w:hAnsi="Garamond"/>
          <w:sz w:val="32"/>
          <w:szCs w:val="32"/>
        </w:rPr>
        <w:t>sistema delle fonti</w:t>
      </w:r>
      <w:r>
        <w:rPr>
          <w:rFonts w:ascii="Garamond" w:hAnsi="Garamond"/>
          <w:sz w:val="32"/>
          <w:szCs w:val="32"/>
        </w:rPr>
        <w:t xml:space="preserve">, </w:t>
      </w:r>
      <w:r w:rsidR="00D95B76">
        <w:rPr>
          <w:rFonts w:ascii="Garamond" w:hAnsi="Garamond"/>
          <w:sz w:val="32"/>
          <w:szCs w:val="32"/>
        </w:rPr>
        <w:t>analizzando:</w:t>
      </w:r>
    </w:p>
    <w:p w:rsidR="00D95B76" w:rsidRDefault="00D95B76" w:rsidP="00707041">
      <w:pPr>
        <w:rPr>
          <w:rFonts w:ascii="Garamond" w:hAnsi="Garamond"/>
          <w:sz w:val="32"/>
          <w:szCs w:val="32"/>
        </w:rPr>
      </w:pPr>
      <w:r w:rsidRPr="00063D88">
        <w:rPr>
          <w:rFonts w:ascii="Garamond" w:hAnsi="Garamond" w:cs="Arial"/>
          <w:sz w:val="32"/>
          <w:szCs w:val="32"/>
        </w:rPr>
        <w:t>♦</w:t>
      </w:r>
      <w:r>
        <w:rPr>
          <w:rFonts w:ascii="Garamond" w:hAnsi="Garamond"/>
          <w:sz w:val="32"/>
          <w:szCs w:val="32"/>
        </w:rPr>
        <w:t xml:space="preserve"> </w:t>
      </w:r>
      <w:r w:rsidR="00707041">
        <w:rPr>
          <w:rFonts w:ascii="Garamond" w:hAnsi="Garamond"/>
          <w:sz w:val="32"/>
          <w:szCs w:val="32"/>
        </w:rPr>
        <w:t>i rapporti tra le fonti del diritto</w:t>
      </w:r>
      <w:r>
        <w:rPr>
          <w:rFonts w:ascii="Garamond" w:hAnsi="Garamond"/>
          <w:sz w:val="32"/>
          <w:szCs w:val="32"/>
        </w:rPr>
        <w:t>;</w:t>
      </w:r>
    </w:p>
    <w:p w:rsidR="008F5F88" w:rsidRDefault="00D95B76" w:rsidP="00707041">
      <w:pPr>
        <w:rPr>
          <w:rFonts w:ascii="Garamond" w:hAnsi="Garamond"/>
          <w:sz w:val="32"/>
          <w:szCs w:val="32"/>
        </w:rPr>
      </w:pPr>
      <w:r w:rsidRPr="00063D88">
        <w:rPr>
          <w:rFonts w:ascii="Garamond" w:hAnsi="Garamond" w:cs="Arial"/>
          <w:sz w:val="32"/>
          <w:szCs w:val="32"/>
        </w:rPr>
        <w:t>♦</w:t>
      </w:r>
      <w:r w:rsidR="00707041">
        <w:rPr>
          <w:rFonts w:ascii="Garamond" w:hAnsi="Garamond"/>
          <w:sz w:val="32"/>
          <w:szCs w:val="32"/>
        </w:rPr>
        <w:t xml:space="preserve"> </w:t>
      </w:r>
      <w:r>
        <w:rPr>
          <w:rFonts w:ascii="Garamond" w:hAnsi="Garamond"/>
          <w:sz w:val="32"/>
          <w:szCs w:val="32"/>
        </w:rPr>
        <w:t>i</w:t>
      </w:r>
      <w:r w:rsidR="00707041">
        <w:rPr>
          <w:rFonts w:ascii="Garamond" w:hAnsi="Garamond"/>
          <w:sz w:val="32"/>
          <w:szCs w:val="32"/>
        </w:rPr>
        <w:t>l</w:t>
      </w:r>
      <w:r w:rsidR="008F5F88">
        <w:rPr>
          <w:rFonts w:ascii="Garamond" w:hAnsi="Garamond"/>
          <w:sz w:val="32"/>
          <w:szCs w:val="32"/>
        </w:rPr>
        <w:t xml:space="preserve"> coerente utilizzo delle fonti;</w:t>
      </w:r>
    </w:p>
    <w:p w:rsidR="008F5F88" w:rsidRDefault="008F5F88" w:rsidP="00707041">
      <w:pPr>
        <w:rPr>
          <w:rFonts w:ascii="Garamond" w:hAnsi="Garamond"/>
          <w:sz w:val="32"/>
          <w:szCs w:val="32"/>
        </w:rPr>
      </w:pPr>
      <w:r w:rsidRPr="00063D88">
        <w:rPr>
          <w:rFonts w:ascii="Garamond" w:hAnsi="Garamond" w:cs="Arial"/>
          <w:sz w:val="32"/>
          <w:szCs w:val="32"/>
        </w:rPr>
        <w:t>♦</w:t>
      </w:r>
      <w:r>
        <w:rPr>
          <w:rFonts w:ascii="Garamond" w:hAnsi="Garamond" w:cs="Arial"/>
          <w:sz w:val="32"/>
          <w:szCs w:val="32"/>
        </w:rPr>
        <w:t xml:space="preserve"> </w:t>
      </w:r>
      <w:r w:rsidR="00707041">
        <w:rPr>
          <w:rFonts w:ascii="Garamond" w:hAnsi="Garamond"/>
          <w:sz w:val="32"/>
          <w:szCs w:val="32"/>
        </w:rPr>
        <w:t>la sovrapposizione</w:t>
      </w:r>
      <w:r>
        <w:rPr>
          <w:rFonts w:ascii="Garamond" w:hAnsi="Garamond"/>
          <w:sz w:val="32"/>
          <w:szCs w:val="32"/>
        </w:rPr>
        <w:t xml:space="preserve"> di fonti;</w:t>
      </w:r>
    </w:p>
    <w:p w:rsidR="008F5F88" w:rsidRDefault="008F5F88" w:rsidP="00707041">
      <w:pPr>
        <w:rPr>
          <w:rFonts w:ascii="Garamond" w:hAnsi="Garamond"/>
          <w:sz w:val="32"/>
          <w:szCs w:val="32"/>
        </w:rPr>
      </w:pPr>
      <w:r w:rsidRPr="00063D88">
        <w:rPr>
          <w:rFonts w:ascii="Garamond" w:hAnsi="Garamond" w:cs="Arial"/>
          <w:sz w:val="32"/>
          <w:szCs w:val="32"/>
        </w:rPr>
        <w:t>♦</w:t>
      </w:r>
      <w:r>
        <w:rPr>
          <w:rFonts w:ascii="Garamond" w:hAnsi="Garamond" w:cs="Arial"/>
          <w:sz w:val="32"/>
          <w:szCs w:val="32"/>
        </w:rPr>
        <w:t xml:space="preserve"> </w:t>
      </w:r>
      <w:r w:rsidR="00C73F95">
        <w:rPr>
          <w:rFonts w:ascii="Garamond" w:hAnsi="Garamond"/>
          <w:sz w:val="32"/>
          <w:szCs w:val="32"/>
        </w:rPr>
        <w:t>la previsione di adempimenti particolari</w:t>
      </w:r>
      <w:r>
        <w:rPr>
          <w:rFonts w:ascii="Garamond" w:hAnsi="Garamond"/>
          <w:sz w:val="32"/>
          <w:szCs w:val="32"/>
        </w:rPr>
        <w:t>;</w:t>
      </w:r>
    </w:p>
    <w:p w:rsidR="00707041" w:rsidRDefault="008F5F88" w:rsidP="00707041">
      <w:pPr>
        <w:rPr>
          <w:rFonts w:ascii="Garamond" w:hAnsi="Garamond"/>
          <w:sz w:val="32"/>
          <w:szCs w:val="32"/>
        </w:rPr>
      </w:pPr>
      <w:r w:rsidRPr="00063D88">
        <w:rPr>
          <w:rFonts w:ascii="Garamond" w:hAnsi="Garamond" w:cs="Arial"/>
          <w:sz w:val="32"/>
          <w:szCs w:val="32"/>
        </w:rPr>
        <w:t>♦</w:t>
      </w:r>
      <w:r w:rsidR="00C73F95">
        <w:rPr>
          <w:rFonts w:ascii="Garamond" w:hAnsi="Garamond"/>
          <w:sz w:val="32"/>
          <w:szCs w:val="32"/>
        </w:rPr>
        <w:t xml:space="preserve"> gli intrecci con altri atti, in particolare con altri decreti-legge in corso di conversione.</w:t>
      </w:r>
    </w:p>
    <w:p w:rsidR="00075C01" w:rsidRDefault="00075C01" w:rsidP="00707041">
      <w:pPr>
        <w:rPr>
          <w:rFonts w:ascii="Garamond" w:hAnsi="Garamond"/>
          <w:sz w:val="32"/>
          <w:szCs w:val="32"/>
        </w:rPr>
      </w:pPr>
    </w:p>
    <w:p w:rsidR="00075C01" w:rsidRDefault="00075C01" w:rsidP="00707041">
      <w:pPr>
        <w:rPr>
          <w:rFonts w:ascii="Garamond" w:hAnsi="Garamond"/>
          <w:sz w:val="32"/>
          <w:szCs w:val="32"/>
        </w:rPr>
      </w:pPr>
    </w:p>
    <w:p w:rsidR="00C73F95" w:rsidRDefault="00B107C3" w:rsidP="00707041">
      <w:pPr>
        <w:rPr>
          <w:rFonts w:ascii="Garamond" w:hAnsi="Garamond"/>
          <w:sz w:val="32"/>
          <w:szCs w:val="32"/>
        </w:rPr>
      </w:pPr>
      <w:r>
        <w:rPr>
          <w:rFonts w:ascii="Garamond" w:hAnsi="Garamond"/>
          <w:sz w:val="32"/>
          <w:szCs w:val="32"/>
        </w:rPr>
        <w:t>L</w:t>
      </w:r>
      <w:r w:rsidR="0039748A">
        <w:rPr>
          <w:rFonts w:ascii="Garamond" w:hAnsi="Garamond"/>
          <w:sz w:val="32"/>
          <w:szCs w:val="32"/>
        </w:rPr>
        <w:t xml:space="preserve">a tabella </w:t>
      </w:r>
      <w:r w:rsidR="00075C01">
        <w:rPr>
          <w:rFonts w:ascii="Garamond" w:hAnsi="Garamond"/>
          <w:sz w:val="32"/>
          <w:szCs w:val="32"/>
        </w:rPr>
        <w:t xml:space="preserve">che </w:t>
      </w:r>
      <w:r w:rsidR="0039748A">
        <w:rPr>
          <w:rFonts w:ascii="Garamond" w:hAnsi="Garamond"/>
          <w:sz w:val="32"/>
          <w:szCs w:val="32"/>
        </w:rPr>
        <w:t xml:space="preserve">segue </w:t>
      </w:r>
      <w:r>
        <w:rPr>
          <w:rFonts w:ascii="Garamond" w:hAnsi="Garamond"/>
          <w:sz w:val="32"/>
          <w:szCs w:val="32"/>
        </w:rPr>
        <w:t xml:space="preserve">mostra in maniera eloquente </w:t>
      </w:r>
      <w:r w:rsidR="0039748A">
        <w:rPr>
          <w:rFonts w:ascii="Garamond" w:hAnsi="Garamond"/>
          <w:sz w:val="32"/>
          <w:szCs w:val="32"/>
        </w:rPr>
        <w:t xml:space="preserve">la frequenza con la quale </w:t>
      </w:r>
      <w:r>
        <w:rPr>
          <w:rFonts w:ascii="Garamond" w:hAnsi="Garamond"/>
          <w:sz w:val="32"/>
          <w:szCs w:val="32"/>
        </w:rPr>
        <w:t xml:space="preserve">il Comitato si è soffermato su tali </w:t>
      </w:r>
      <w:r w:rsidR="0039748A">
        <w:rPr>
          <w:rFonts w:ascii="Garamond" w:hAnsi="Garamond"/>
          <w:sz w:val="32"/>
          <w:szCs w:val="32"/>
        </w:rPr>
        <w:t>problematiche</w:t>
      </w:r>
      <w:r w:rsidR="008879C6">
        <w:rPr>
          <w:rFonts w:ascii="Garamond" w:hAnsi="Garamond"/>
          <w:sz w:val="32"/>
          <w:szCs w:val="32"/>
        </w:rPr>
        <w:t>, trattate in 20 dei 27 pareri espressi.</w:t>
      </w:r>
    </w:p>
    <w:p w:rsidR="004A5B05" w:rsidRDefault="004A5B05" w:rsidP="00707041">
      <w:pPr>
        <w:rPr>
          <w:rFonts w:ascii="Garamond" w:hAnsi="Garamond"/>
          <w:sz w:val="32"/>
          <w:szCs w:val="32"/>
        </w:rPr>
      </w:pPr>
    </w:p>
    <w:tbl>
      <w:tblPr>
        <w:tblW w:w="5000" w:type="pct"/>
        <w:jc w:val="center"/>
        <w:tblCellMar>
          <w:left w:w="70" w:type="dxa"/>
          <w:right w:w="70" w:type="dxa"/>
        </w:tblCellMar>
        <w:tblLook w:val="0000" w:firstRow="0" w:lastRow="0" w:firstColumn="0" w:lastColumn="0" w:noHBand="0" w:noVBand="0"/>
      </w:tblPr>
      <w:tblGrid>
        <w:gridCol w:w="5375"/>
        <w:gridCol w:w="2701"/>
      </w:tblGrid>
      <w:tr w:rsidR="00A17797" w:rsidRPr="00A17797" w:rsidTr="00B107C3">
        <w:trPr>
          <w:trHeight w:val="799"/>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FFFF99"/>
            <w:vAlign w:val="center"/>
          </w:tcPr>
          <w:p w:rsidR="00A17797" w:rsidRPr="00A17797" w:rsidRDefault="00A17797" w:rsidP="00A17797">
            <w:pPr>
              <w:keepNext/>
              <w:spacing w:line="240" w:lineRule="auto"/>
              <w:ind w:firstLine="0"/>
              <w:jc w:val="center"/>
              <w:rPr>
                <w:rFonts w:ascii="Garamond" w:hAnsi="Garamond" w:cs="Arial"/>
                <w:b/>
                <w:bCs/>
                <w:color w:val="0000FF"/>
                <w:sz w:val="28"/>
                <w:szCs w:val="28"/>
              </w:rPr>
            </w:pPr>
            <w:r w:rsidRPr="00A17797">
              <w:rPr>
                <w:rFonts w:ascii="Garamond" w:hAnsi="Garamond" w:cs="Arial"/>
                <w:b/>
                <w:bCs/>
                <w:color w:val="0000FF"/>
                <w:sz w:val="28"/>
                <w:szCs w:val="28"/>
              </w:rPr>
              <w:lastRenderedPageBreak/>
              <w:t>Sistema delle fonti: pareri con notazioni rispetto al totale</w:t>
            </w:r>
          </w:p>
        </w:tc>
      </w:tr>
      <w:tr w:rsidR="00EE2CD5" w:rsidRPr="00A17797" w:rsidTr="00EE2CD5">
        <w:trPr>
          <w:trHeight w:val="799"/>
          <w:jc w:val="center"/>
        </w:trPr>
        <w:tc>
          <w:tcPr>
            <w:tcW w:w="3328" w:type="pct"/>
            <w:tcBorders>
              <w:top w:val="nil"/>
              <w:left w:val="single" w:sz="8" w:space="0" w:color="auto"/>
              <w:bottom w:val="single" w:sz="4" w:space="0" w:color="auto"/>
              <w:right w:val="single" w:sz="8" w:space="0" w:color="auto"/>
            </w:tcBorders>
            <w:shd w:val="clear" w:color="auto" w:fill="auto"/>
            <w:vAlign w:val="center"/>
          </w:tcPr>
          <w:p w:rsidR="00EE2CD5" w:rsidRPr="00B929EE" w:rsidRDefault="00EE2CD5" w:rsidP="00637844">
            <w:pPr>
              <w:keepNext/>
              <w:spacing w:line="240" w:lineRule="auto"/>
              <w:ind w:firstLine="0"/>
              <w:jc w:val="left"/>
              <w:rPr>
                <w:rFonts w:ascii="Garamond" w:hAnsi="Garamond" w:cs="Arial"/>
                <w:sz w:val="28"/>
                <w:szCs w:val="28"/>
              </w:rPr>
            </w:pPr>
            <w:r w:rsidRPr="00B929EE">
              <w:rPr>
                <w:rFonts w:ascii="Garamond" w:hAnsi="Garamond" w:cs="Arial"/>
                <w:sz w:val="28"/>
                <w:szCs w:val="28"/>
              </w:rPr>
              <w:t>Coordinamento con vigenti fonti normative</w:t>
            </w:r>
          </w:p>
        </w:tc>
        <w:tc>
          <w:tcPr>
            <w:tcW w:w="1672" w:type="pct"/>
            <w:tcBorders>
              <w:top w:val="nil"/>
              <w:left w:val="nil"/>
              <w:bottom w:val="single" w:sz="4" w:space="0" w:color="auto"/>
              <w:right w:val="single" w:sz="8" w:space="0" w:color="auto"/>
            </w:tcBorders>
            <w:shd w:val="clear" w:color="auto" w:fill="auto"/>
            <w:vAlign w:val="center"/>
          </w:tcPr>
          <w:p w:rsidR="00EE2CD5" w:rsidRPr="000F54C3" w:rsidRDefault="00EE2CD5" w:rsidP="00EE2CD5">
            <w:pPr>
              <w:keepNext/>
              <w:spacing w:line="240" w:lineRule="auto"/>
              <w:ind w:firstLine="0"/>
              <w:jc w:val="center"/>
              <w:rPr>
                <w:rFonts w:ascii="Garamond" w:hAnsi="Garamond" w:cs="Arial"/>
                <w:b/>
                <w:bCs/>
                <w:i/>
                <w:sz w:val="28"/>
                <w:szCs w:val="28"/>
              </w:rPr>
            </w:pPr>
            <w:r w:rsidRPr="00B929EE">
              <w:rPr>
                <w:rFonts w:ascii="Garamond" w:hAnsi="Garamond" w:cs="Arial"/>
                <w:b/>
                <w:bCs/>
                <w:sz w:val="28"/>
                <w:szCs w:val="28"/>
              </w:rPr>
              <w:t>15</w:t>
            </w:r>
          </w:p>
        </w:tc>
      </w:tr>
      <w:tr w:rsidR="00EE2CD5" w:rsidRPr="00A17797"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A17797" w:rsidRDefault="00EE2CD5" w:rsidP="00F25FC5">
            <w:pPr>
              <w:keepNext/>
              <w:spacing w:line="240" w:lineRule="auto"/>
              <w:ind w:firstLine="0"/>
              <w:jc w:val="left"/>
              <w:rPr>
                <w:rFonts w:ascii="Garamond" w:hAnsi="Garamond" w:cs="Arial"/>
                <w:sz w:val="28"/>
                <w:szCs w:val="28"/>
              </w:rPr>
            </w:pPr>
            <w:r>
              <w:rPr>
                <w:rFonts w:ascii="Garamond" w:hAnsi="Garamond" w:cs="Arial"/>
                <w:sz w:val="28"/>
                <w:szCs w:val="28"/>
              </w:rPr>
              <w:t>Confluenza di più decreti-legge in una legge di conversione</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0F54C3" w:rsidRDefault="00EE2CD5"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1</w:t>
            </w:r>
          </w:p>
        </w:tc>
      </w:tr>
      <w:tr w:rsidR="00EE2CD5" w:rsidRPr="00A17797"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A17797" w:rsidRDefault="00EE2CD5" w:rsidP="00C23867">
            <w:pPr>
              <w:keepNext/>
              <w:spacing w:line="240" w:lineRule="auto"/>
              <w:ind w:firstLine="0"/>
              <w:jc w:val="left"/>
              <w:rPr>
                <w:rFonts w:ascii="Garamond" w:hAnsi="Garamond" w:cs="Arial"/>
                <w:sz w:val="28"/>
                <w:szCs w:val="28"/>
              </w:rPr>
            </w:pPr>
            <w:r w:rsidRPr="00A17797">
              <w:rPr>
                <w:rFonts w:ascii="Garamond" w:hAnsi="Garamond" w:cs="Arial"/>
                <w:sz w:val="28"/>
                <w:szCs w:val="28"/>
              </w:rPr>
              <w:t>Intreccio con DL in corso di conversione</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0F54C3" w:rsidRDefault="00EE2CD5"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1</w:t>
            </w:r>
          </w:p>
        </w:tc>
      </w:tr>
      <w:tr w:rsidR="00EE2CD5" w:rsidRPr="00A17797"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A17797" w:rsidRDefault="00EE2CD5" w:rsidP="00C23867">
            <w:pPr>
              <w:keepNext/>
              <w:spacing w:line="240" w:lineRule="auto"/>
              <w:ind w:firstLine="0"/>
              <w:jc w:val="left"/>
              <w:rPr>
                <w:rFonts w:ascii="Garamond" w:hAnsi="Garamond" w:cs="Arial"/>
                <w:sz w:val="28"/>
                <w:szCs w:val="28"/>
              </w:rPr>
            </w:pPr>
            <w:r w:rsidRPr="00A17797">
              <w:rPr>
                <w:rFonts w:ascii="Garamond" w:hAnsi="Garamond" w:cs="Arial"/>
                <w:sz w:val="28"/>
                <w:szCs w:val="28"/>
              </w:rPr>
              <w:t>Sovrapposizione di fonti normative</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0F54C3" w:rsidRDefault="00EE2CD5"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7</w:t>
            </w:r>
          </w:p>
        </w:tc>
      </w:tr>
      <w:tr w:rsidR="00EE2CD5" w:rsidRPr="00A17797"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A17797" w:rsidRDefault="00EE2CD5" w:rsidP="00C23867">
            <w:pPr>
              <w:keepNext/>
              <w:spacing w:line="240" w:lineRule="auto"/>
              <w:ind w:firstLine="0"/>
              <w:jc w:val="left"/>
              <w:rPr>
                <w:rFonts w:ascii="Garamond" w:hAnsi="Garamond" w:cs="Arial"/>
                <w:sz w:val="28"/>
                <w:szCs w:val="28"/>
              </w:rPr>
            </w:pPr>
            <w:r w:rsidRPr="00A17797">
              <w:rPr>
                <w:rFonts w:ascii="Garamond" w:hAnsi="Garamond" w:cs="Arial"/>
                <w:sz w:val="28"/>
                <w:szCs w:val="28"/>
              </w:rPr>
              <w:t>Coerente utilizzo delle fonti normative</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0F54C3" w:rsidRDefault="00EE2CD5"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4</w:t>
            </w:r>
          </w:p>
        </w:tc>
      </w:tr>
      <w:tr w:rsidR="00EE2CD5" w:rsidRPr="00A17797" w:rsidTr="00EE2CD5">
        <w:trPr>
          <w:trHeight w:val="799"/>
          <w:jc w:val="center"/>
        </w:trPr>
        <w:tc>
          <w:tcPr>
            <w:tcW w:w="3328" w:type="pct"/>
            <w:tcBorders>
              <w:top w:val="nil"/>
              <w:left w:val="single" w:sz="8" w:space="0" w:color="auto"/>
              <w:bottom w:val="single" w:sz="4" w:space="0" w:color="auto"/>
              <w:right w:val="single" w:sz="8" w:space="0" w:color="auto"/>
            </w:tcBorders>
            <w:shd w:val="clear" w:color="auto" w:fill="auto"/>
            <w:vAlign w:val="center"/>
          </w:tcPr>
          <w:p w:rsidR="00EE2CD5" w:rsidRPr="00A17797" w:rsidRDefault="00EE2CD5" w:rsidP="00637844">
            <w:pPr>
              <w:keepNext/>
              <w:spacing w:line="240" w:lineRule="auto"/>
              <w:ind w:firstLine="0"/>
              <w:jc w:val="left"/>
              <w:rPr>
                <w:rFonts w:ascii="Garamond" w:hAnsi="Garamond" w:cs="Arial"/>
                <w:sz w:val="28"/>
                <w:szCs w:val="28"/>
              </w:rPr>
            </w:pPr>
            <w:r>
              <w:rPr>
                <w:rFonts w:ascii="Garamond" w:hAnsi="Garamond" w:cs="Arial"/>
                <w:sz w:val="28"/>
                <w:szCs w:val="28"/>
              </w:rPr>
              <w:t>Rapporti con</w:t>
            </w:r>
            <w:r w:rsidRPr="00A17797">
              <w:rPr>
                <w:rFonts w:ascii="Garamond" w:hAnsi="Garamond" w:cs="Arial"/>
                <w:sz w:val="28"/>
                <w:szCs w:val="28"/>
              </w:rPr>
              <w:t xml:space="preserve"> fonti subordinate</w:t>
            </w:r>
          </w:p>
        </w:tc>
        <w:tc>
          <w:tcPr>
            <w:tcW w:w="1672" w:type="pct"/>
            <w:tcBorders>
              <w:top w:val="nil"/>
              <w:left w:val="nil"/>
              <w:bottom w:val="single" w:sz="4" w:space="0" w:color="auto"/>
              <w:right w:val="single" w:sz="8" w:space="0" w:color="auto"/>
            </w:tcBorders>
            <w:shd w:val="clear" w:color="auto" w:fill="auto"/>
            <w:vAlign w:val="center"/>
          </w:tcPr>
          <w:p w:rsidR="00EE2CD5" w:rsidRPr="000F54C3" w:rsidRDefault="00EE2CD5"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1</w:t>
            </w:r>
          </w:p>
        </w:tc>
      </w:tr>
      <w:tr w:rsidR="00EE2CD5" w:rsidRPr="00A17797"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A17797" w:rsidRDefault="00EE2CD5" w:rsidP="00A17797">
            <w:pPr>
              <w:keepNext/>
              <w:spacing w:line="240" w:lineRule="auto"/>
              <w:ind w:firstLine="0"/>
              <w:jc w:val="left"/>
              <w:rPr>
                <w:rFonts w:ascii="Garamond" w:hAnsi="Garamond" w:cs="Arial"/>
                <w:sz w:val="28"/>
                <w:szCs w:val="28"/>
              </w:rPr>
            </w:pPr>
            <w:r w:rsidRPr="00A17797">
              <w:rPr>
                <w:rFonts w:ascii="Garamond" w:hAnsi="Garamond" w:cs="Arial"/>
                <w:sz w:val="28"/>
                <w:szCs w:val="28"/>
              </w:rPr>
              <w:t>Delegificazione spuria</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0F54C3" w:rsidRDefault="00EE2CD5"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1</w:t>
            </w:r>
          </w:p>
        </w:tc>
      </w:tr>
      <w:tr w:rsidR="00EE2CD5" w:rsidRPr="00A17797"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A17797" w:rsidRDefault="00EE2CD5" w:rsidP="00A17797">
            <w:pPr>
              <w:keepNext/>
              <w:spacing w:line="240" w:lineRule="auto"/>
              <w:ind w:firstLine="0"/>
              <w:jc w:val="left"/>
              <w:rPr>
                <w:rFonts w:ascii="Garamond" w:hAnsi="Garamond" w:cs="Arial"/>
                <w:sz w:val="28"/>
                <w:szCs w:val="28"/>
              </w:rPr>
            </w:pPr>
            <w:r w:rsidRPr="00A17797">
              <w:rPr>
                <w:rFonts w:ascii="Garamond" w:hAnsi="Garamond" w:cs="Arial"/>
                <w:sz w:val="28"/>
                <w:szCs w:val="28"/>
              </w:rPr>
              <w:t>DPCM con contenuto normativo</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0F54C3" w:rsidRDefault="00EE2CD5"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2</w:t>
            </w:r>
          </w:p>
        </w:tc>
      </w:tr>
      <w:tr w:rsidR="00EE2CD5" w:rsidRPr="00A17797"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A17797" w:rsidRDefault="00EE2CD5" w:rsidP="00A17797">
            <w:pPr>
              <w:keepNext/>
              <w:spacing w:line="240" w:lineRule="auto"/>
              <w:ind w:firstLine="0"/>
              <w:jc w:val="left"/>
              <w:rPr>
                <w:rFonts w:ascii="Garamond" w:hAnsi="Garamond" w:cs="Arial"/>
                <w:sz w:val="28"/>
                <w:szCs w:val="28"/>
              </w:rPr>
            </w:pPr>
            <w:r w:rsidRPr="00A17797">
              <w:rPr>
                <w:rFonts w:ascii="Garamond" w:hAnsi="Garamond" w:cs="Arial"/>
                <w:sz w:val="28"/>
                <w:szCs w:val="28"/>
              </w:rPr>
              <w:t>Adempimenti</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0F54C3" w:rsidRDefault="00EE2CD5"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4</w:t>
            </w:r>
          </w:p>
        </w:tc>
      </w:tr>
      <w:tr w:rsidR="00EE2CD5" w:rsidRPr="00A17797"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A17797" w:rsidRDefault="00EE2CD5" w:rsidP="00A17797">
            <w:pPr>
              <w:keepNext/>
              <w:spacing w:line="240" w:lineRule="auto"/>
              <w:ind w:firstLine="0"/>
              <w:jc w:val="left"/>
              <w:rPr>
                <w:rFonts w:ascii="Garamond" w:hAnsi="Garamond" w:cs="Arial"/>
                <w:sz w:val="28"/>
                <w:szCs w:val="28"/>
              </w:rPr>
            </w:pPr>
            <w:r>
              <w:rPr>
                <w:rFonts w:ascii="Garamond" w:hAnsi="Garamond" w:cs="Arial"/>
                <w:sz w:val="28"/>
                <w:szCs w:val="28"/>
              </w:rPr>
              <w:t>Efficacia temporale</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0F54C3" w:rsidRDefault="00EE2CD5"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8</w:t>
            </w:r>
          </w:p>
        </w:tc>
      </w:tr>
    </w:tbl>
    <w:p w:rsidR="0039748A" w:rsidRDefault="0039748A" w:rsidP="00707041">
      <w:pPr>
        <w:rPr>
          <w:rFonts w:ascii="Garamond" w:hAnsi="Garamond"/>
          <w:sz w:val="32"/>
          <w:szCs w:val="32"/>
        </w:rPr>
      </w:pPr>
    </w:p>
    <w:p w:rsidR="00D504E4" w:rsidRDefault="00D504E4" w:rsidP="00707041">
      <w:pPr>
        <w:rPr>
          <w:rFonts w:ascii="Garamond" w:hAnsi="Garamond"/>
          <w:sz w:val="32"/>
          <w:szCs w:val="32"/>
        </w:rPr>
      </w:pPr>
    </w:p>
    <w:p w:rsidR="002D4953" w:rsidRDefault="006D669D" w:rsidP="00707041">
      <w:pPr>
        <w:rPr>
          <w:rFonts w:ascii="Garamond" w:hAnsi="Garamond"/>
          <w:sz w:val="32"/>
          <w:szCs w:val="32"/>
        </w:rPr>
      </w:pPr>
      <w:r>
        <w:rPr>
          <w:rFonts w:ascii="Garamond" w:hAnsi="Garamond"/>
          <w:sz w:val="32"/>
          <w:szCs w:val="32"/>
        </w:rPr>
        <w:t xml:space="preserve">La </w:t>
      </w:r>
      <w:hyperlink w:anchor="Tab04" w:history="1">
        <w:r w:rsidRPr="0007765B">
          <w:rPr>
            <w:rStyle w:val="Collegamentoipertestuale"/>
            <w:rFonts w:ascii="Garamond" w:hAnsi="Garamond"/>
            <w:sz w:val="32"/>
            <w:szCs w:val="32"/>
          </w:rPr>
          <w:t>tabella 4</w:t>
        </w:r>
      </w:hyperlink>
      <w:r>
        <w:rPr>
          <w:rFonts w:ascii="Garamond" w:hAnsi="Garamond"/>
          <w:sz w:val="32"/>
          <w:szCs w:val="32"/>
        </w:rPr>
        <w:t xml:space="preserve"> illustra nel dettaglio i pareri espressi dal Comitato sugli specifici aspetti.</w:t>
      </w:r>
    </w:p>
    <w:p w:rsidR="002D4953" w:rsidRDefault="002D4953" w:rsidP="00707041">
      <w:pPr>
        <w:rPr>
          <w:rFonts w:ascii="Garamond" w:hAnsi="Garamond"/>
          <w:sz w:val="32"/>
          <w:szCs w:val="32"/>
        </w:rPr>
      </w:pPr>
    </w:p>
    <w:p w:rsidR="00240DC8" w:rsidRDefault="00240DC8" w:rsidP="00707041">
      <w:pPr>
        <w:rPr>
          <w:rFonts w:ascii="Garamond" w:hAnsi="Garamond"/>
          <w:sz w:val="32"/>
          <w:szCs w:val="32"/>
        </w:rPr>
      </w:pPr>
      <w:r>
        <w:rPr>
          <w:rFonts w:ascii="Garamond" w:hAnsi="Garamond"/>
          <w:sz w:val="32"/>
          <w:szCs w:val="32"/>
        </w:rPr>
        <w:t xml:space="preserve">Alcuni elementi vanno evidenziati: </w:t>
      </w:r>
    </w:p>
    <w:p w:rsidR="00240DC8" w:rsidRDefault="00240DC8" w:rsidP="00707041">
      <w:pPr>
        <w:rPr>
          <w:rFonts w:ascii="Garamond" w:hAnsi="Garamond"/>
          <w:sz w:val="32"/>
          <w:szCs w:val="32"/>
        </w:rPr>
      </w:pPr>
      <w:r>
        <w:rPr>
          <w:rFonts w:ascii="Garamond" w:hAnsi="Garamond"/>
          <w:sz w:val="32"/>
          <w:szCs w:val="32"/>
        </w:rPr>
        <w:t>l’assenza di previsioni relative all’emanazione di decreti ministeriali di natura non regolamentare, oggetto di ripetuti rilievi nei precedenti turni di presidenza;</w:t>
      </w:r>
    </w:p>
    <w:p w:rsidR="002D4953" w:rsidRDefault="00240DC8" w:rsidP="00707041">
      <w:pPr>
        <w:rPr>
          <w:rFonts w:ascii="Garamond" w:hAnsi="Garamond"/>
          <w:sz w:val="32"/>
          <w:szCs w:val="32"/>
        </w:rPr>
      </w:pPr>
      <w:r>
        <w:rPr>
          <w:rFonts w:ascii="Garamond" w:hAnsi="Garamond"/>
          <w:sz w:val="32"/>
          <w:szCs w:val="32"/>
        </w:rPr>
        <w:lastRenderedPageBreak/>
        <w:t xml:space="preserve">l’esiguo numero di pareri che richiamano questioni attinenti alla fuga dal sistema delle fonti, come la delegificazione spuria ed i rapporti con le fonti subordinate ed il coerente utilizzo delle fonti normative. </w:t>
      </w:r>
    </w:p>
    <w:p w:rsidR="00FB7A6A" w:rsidRDefault="00FB7A6A" w:rsidP="00707041">
      <w:pPr>
        <w:rPr>
          <w:rFonts w:ascii="Garamond" w:hAnsi="Garamond"/>
          <w:sz w:val="32"/>
          <w:szCs w:val="32"/>
        </w:rPr>
      </w:pPr>
    </w:p>
    <w:p w:rsidR="001967DB" w:rsidRDefault="001967DB" w:rsidP="00707041">
      <w:pPr>
        <w:rPr>
          <w:rFonts w:ascii="Garamond" w:hAnsi="Garamond"/>
          <w:sz w:val="32"/>
          <w:szCs w:val="32"/>
        </w:rPr>
      </w:pPr>
      <w:r>
        <w:rPr>
          <w:rFonts w:ascii="Garamond" w:hAnsi="Garamond"/>
          <w:sz w:val="32"/>
          <w:szCs w:val="32"/>
        </w:rPr>
        <w:t xml:space="preserve">Il parere che si sofferma sul maggior numero di profili problematici </w:t>
      </w:r>
      <w:r w:rsidR="00382257">
        <w:rPr>
          <w:rFonts w:ascii="Garamond" w:hAnsi="Garamond"/>
          <w:sz w:val="32"/>
          <w:szCs w:val="32"/>
        </w:rPr>
        <w:t>riguarda il decreto-legge n. 192 del 2014 (C. 2803 – mille proroghe), nel quale si toccano i seguenti temi:</w:t>
      </w:r>
    </w:p>
    <w:p w:rsidR="00382257" w:rsidRDefault="00382257" w:rsidP="00707041">
      <w:pPr>
        <w:rPr>
          <w:rFonts w:ascii="Garamond" w:hAnsi="Garamond"/>
          <w:sz w:val="32"/>
          <w:szCs w:val="32"/>
        </w:rPr>
      </w:pPr>
      <w:r w:rsidRPr="00113F2F">
        <w:rPr>
          <w:rFonts w:ascii="Garamond" w:hAnsi="Garamond"/>
          <w:sz w:val="32"/>
          <w:szCs w:val="32"/>
          <w:u w:val="single"/>
        </w:rPr>
        <w:t>rapporti con fonti subordinate</w:t>
      </w:r>
      <w:r>
        <w:rPr>
          <w:rFonts w:ascii="Garamond" w:hAnsi="Garamond"/>
          <w:sz w:val="32"/>
          <w:szCs w:val="32"/>
        </w:rPr>
        <w:t>:</w:t>
      </w:r>
      <w:r w:rsidR="004F109B">
        <w:rPr>
          <w:rFonts w:ascii="Garamond" w:hAnsi="Garamond"/>
          <w:sz w:val="32"/>
          <w:szCs w:val="32"/>
        </w:rPr>
        <w:t xml:space="preserve"> l’articolo 6, comma 5 incide in maniera non testuale sull’articolo 357 del regolamento di esecuzione ed attuazione del codice dei contratti pubblici: è il settimo decreto-legge, nell’arco di quattro anni, che novella questo articolo del regolamento; «tale circostanza – annota il Comitato – </w:t>
      </w:r>
      <w:r w:rsidR="004F109B" w:rsidRPr="004F109B">
        <w:rPr>
          <w:rFonts w:ascii="Garamond" w:hAnsi="Garamond"/>
          <w:sz w:val="32"/>
          <w:szCs w:val="32"/>
        </w:rPr>
        <w:t xml:space="preserve">non appare coerente con le esigenze di semplificazione dell'ordinamento vigente: si integra infatti una modalità di produzione legislativa che, secondo i costanti indirizzi del Comitato, non appare funzionale alle esigenze di coerente utilizzo delle fonti, in quanto può derivarne l'effetto secondo cui atti non aventi forza di legge presentano </w:t>
      </w:r>
      <w:r w:rsidR="00CF7370">
        <w:rPr>
          <w:rFonts w:ascii="Garamond" w:hAnsi="Garamond"/>
          <w:sz w:val="32"/>
          <w:szCs w:val="32"/>
        </w:rPr>
        <w:t>“</w:t>
      </w:r>
      <w:r w:rsidR="004F109B" w:rsidRPr="004F109B">
        <w:rPr>
          <w:rFonts w:ascii="Garamond" w:hAnsi="Garamond"/>
          <w:sz w:val="32"/>
          <w:szCs w:val="32"/>
        </w:rPr>
        <w:t xml:space="preserve">un diverso grado di </w:t>
      </w:r>
      <w:r w:rsidR="00CF7370">
        <w:rPr>
          <w:rFonts w:ascii="Garamond" w:hAnsi="Garamond"/>
          <w:sz w:val="32"/>
          <w:szCs w:val="32"/>
        </w:rPr>
        <w:t>‘</w:t>
      </w:r>
      <w:r w:rsidR="004F109B" w:rsidRPr="004F109B">
        <w:rPr>
          <w:rFonts w:ascii="Garamond" w:hAnsi="Garamond"/>
          <w:sz w:val="32"/>
          <w:szCs w:val="32"/>
        </w:rPr>
        <w:t>resistenza</w:t>
      </w:r>
      <w:r w:rsidR="00CF7370">
        <w:rPr>
          <w:rFonts w:ascii="Garamond" w:hAnsi="Garamond"/>
          <w:sz w:val="32"/>
          <w:szCs w:val="32"/>
        </w:rPr>
        <w:t>’</w:t>
      </w:r>
      <w:r w:rsidR="004F109B" w:rsidRPr="004F109B">
        <w:rPr>
          <w:rFonts w:ascii="Garamond" w:hAnsi="Garamond"/>
          <w:sz w:val="32"/>
          <w:szCs w:val="32"/>
        </w:rPr>
        <w:t xml:space="preserve"> ad interventi modificativi successivi</w:t>
      </w:r>
      <w:r w:rsidR="00CF7370">
        <w:rPr>
          <w:rFonts w:ascii="Garamond" w:hAnsi="Garamond"/>
          <w:sz w:val="32"/>
          <w:szCs w:val="32"/>
        </w:rPr>
        <w:t>”</w:t>
      </w:r>
      <w:r w:rsidR="004F109B" w:rsidRPr="004F109B">
        <w:rPr>
          <w:rFonts w:ascii="Garamond" w:hAnsi="Garamond"/>
          <w:sz w:val="32"/>
          <w:szCs w:val="32"/>
        </w:rPr>
        <w:t xml:space="preserve"> [si veda il punto 3, lettera </w:t>
      </w:r>
      <w:r w:rsidR="004F109B" w:rsidRPr="004F109B">
        <w:rPr>
          <w:rFonts w:ascii="Garamond" w:hAnsi="Garamond"/>
          <w:i/>
          <w:iCs/>
          <w:sz w:val="32"/>
          <w:szCs w:val="32"/>
        </w:rPr>
        <w:t>e</w:t>
      </w:r>
      <w:r w:rsidR="004F109B" w:rsidRPr="004F109B">
        <w:rPr>
          <w:rFonts w:ascii="Garamond" w:hAnsi="Garamond"/>
          <w:sz w:val="32"/>
          <w:szCs w:val="32"/>
        </w:rPr>
        <w:t>), della circolare congiunta dei Presidenti di Camera e Senato del 20 aprile 2001]</w:t>
      </w:r>
      <w:r w:rsidR="004F109B">
        <w:rPr>
          <w:rFonts w:ascii="Garamond" w:hAnsi="Garamond"/>
          <w:sz w:val="32"/>
          <w:szCs w:val="32"/>
        </w:rPr>
        <w:t>»</w:t>
      </w:r>
      <w:r w:rsidR="00D069F6">
        <w:rPr>
          <w:rFonts w:ascii="Garamond" w:hAnsi="Garamond"/>
          <w:sz w:val="32"/>
          <w:szCs w:val="32"/>
        </w:rPr>
        <w:t xml:space="preserve"> </w:t>
      </w:r>
      <w:r w:rsidR="00D069F6" w:rsidRPr="00B929EE">
        <w:rPr>
          <w:rFonts w:ascii="Garamond" w:hAnsi="Garamond"/>
          <w:sz w:val="32"/>
          <w:szCs w:val="32"/>
        </w:rPr>
        <w:t>(</w:t>
      </w:r>
      <w:hyperlink r:id="rId19" w:anchor="S01a12" w:history="1">
        <w:r w:rsidR="00D069F6" w:rsidRPr="00B929EE">
          <w:rPr>
            <w:rStyle w:val="Collegamentoipertestuale"/>
            <w:rFonts w:ascii="Garamond" w:hAnsi="Garamond"/>
            <w:sz w:val="32"/>
            <w:szCs w:val="32"/>
          </w:rPr>
          <w:t>Scheda 1, punto 12</w:t>
        </w:r>
      </w:hyperlink>
      <w:r w:rsidR="00D069F6" w:rsidRPr="00B929EE">
        <w:rPr>
          <w:rFonts w:ascii="Garamond" w:hAnsi="Garamond"/>
          <w:sz w:val="32"/>
          <w:szCs w:val="32"/>
        </w:rPr>
        <w:t>)</w:t>
      </w:r>
      <w:r w:rsidR="004F109B" w:rsidRPr="00B929EE">
        <w:rPr>
          <w:rFonts w:ascii="Garamond" w:hAnsi="Garamond"/>
          <w:sz w:val="32"/>
          <w:szCs w:val="32"/>
        </w:rPr>
        <w:t>. Ne consegue una condizione che offre</w:t>
      </w:r>
      <w:r w:rsidR="004F109B">
        <w:rPr>
          <w:rFonts w:ascii="Garamond" w:hAnsi="Garamond"/>
          <w:sz w:val="32"/>
          <w:szCs w:val="32"/>
        </w:rPr>
        <w:t xml:space="preserve"> un’alternativa</w:t>
      </w:r>
      <w:r w:rsidR="004352CC">
        <w:rPr>
          <w:rFonts w:ascii="Garamond" w:hAnsi="Garamond"/>
          <w:sz w:val="32"/>
          <w:szCs w:val="32"/>
        </w:rPr>
        <w:t xml:space="preserve"> </w:t>
      </w:r>
      <w:r>
        <w:rPr>
          <w:rFonts w:ascii="Garamond" w:hAnsi="Garamond"/>
          <w:sz w:val="32"/>
          <w:szCs w:val="32"/>
        </w:rPr>
        <w:t xml:space="preserve"> </w:t>
      </w:r>
      <w:r w:rsidR="00D069F6">
        <w:rPr>
          <w:rFonts w:ascii="Garamond" w:hAnsi="Garamond"/>
          <w:sz w:val="32"/>
          <w:szCs w:val="32"/>
        </w:rPr>
        <w:t>tra la soppressione della norma ed una sua riformulazione «</w:t>
      </w:r>
      <w:r w:rsidR="00D069F6" w:rsidRPr="00D069F6">
        <w:rPr>
          <w:rFonts w:ascii="Garamond" w:hAnsi="Garamond"/>
          <w:sz w:val="32"/>
          <w:szCs w:val="32"/>
        </w:rPr>
        <w:t>nel senso di autorizzare il Governo ad integrare la disciplina contenuta nelle fonti subordinate mediante atti aventi la medesima forza</w:t>
      </w:r>
      <w:r w:rsidR="00D069F6">
        <w:rPr>
          <w:rFonts w:ascii="Garamond" w:hAnsi="Garamond"/>
          <w:sz w:val="32"/>
          <w:szCs w:val="32"/>
        </w:rPr>
        <w:t xml:space="preserve">» </w:t>
      </w:r>
      <w:r w:rsidR="00D069F6" w:rsidRPr="00B929EE">
        <w:rPr>
          <w:rFonts w:ascii="Garamond" w:hAnsi="Garamond"/>
          <w:sz w:val="32"/>
          <w:szCs w:val="32"/>
        </w:rPr>
        <w:t>(</w:t>
      </w:r>
      <w:hyperlink w:anchor="S01c02" w:history="1">
        <w:r w:rsidR="00D069F6" w:rsidRPr="00B929EE">
          <w:rPr>
            <w:rStyle w:val="Collegamentoipertestuale"/>
            <w:rFonts w:ascii="Garamond" w:hAnsi="Garamond"/>
            <w:sz w:val="32"/>
            <w:szCs w:val="32"/>
          </w:rPr>
          <w:t>Scheda 1, condizione 2</w:t>
        </w:r>
      </w:hyperlink>
      <w:r w:rsidR="00D069F6" w:rsidRPr="00B929EE">
        <w:rPr>
          <w:rFonts w:ascii="Garamond" w:hAnsi="Garamond"/>
          <w:sz w:val="32"/>
          <w:szCs w:val="32"/>
        </w:rPr>
        <w:t>);</w:t>
      </w:r>
    </w:p>
    <w:p w:rsidR="004352CC" w:rsidRDefault="004352CC" w:rsidP="00707041">
      <w:pPr>
        <w:rPr>
          <w:rFonts w:ascii="Garamond" w:hAnsi="Garamond"/>
          <w:sz w:val="32"/>
          <w:szCs w:val="32"/>
        </w:rPr>
      </w:pPr>
      <w:r w:rsidRPr="00113F2F">
        <w:rPr>
          <w:rFonts w:ascii="Garamond" w:hAnsi="Garamond"/>
          <w:sz w:val="32"/>
          <w:szCs w:val="32"/>
          <w:u w:val="single"/>
        </w:rPr>
        <w:t>delegificazione spuria</w:t>
      </w:r>
      <w:r>
        <w:rPr>
          <w:rFonts w:ascii="Garamond" w:hAnsi="Garamond"/>
          <w:sz w:val="32"/>
          <w:szCs w:val="32"/>
        </w:rPr>
        <w:t>:</w:t>
      </w:r>
      <w:r w:rsidR="00D069F6">
        <w:rPr>
          <w:rFonts w:ascii="Garamond" w:hAnsi="Garamond"/>
          <w:sz w:val="32"/>
          <w:szCs w:val="32"/>
        </w:rPr>
        <w:t xml:space="preserve"> </w:t>
      </w:r>
      <w:r w:rsidR="00D069F6" w:rsidRPr="00D069F6">
        <w:rPr>
          <w:rFonts w:ascii="Garamond" w:hAnsi="Garamond"/>
          <w:sz w:val="32"/>
          <w:szCs w:val="32"/>
        </w:rPr>
        <w:t>«l'articolo 10, comma 9, in base alla procedura prevista dall'articolo 17, comma 12, della legge 31 dicembre 2009, n. 196, demanda ad un decreto del Ministro dell'economia e delle finanze la potestà di stabilire “l'aumento della misura degli acconti ai fini dell'IRES e dell'IRAP, dovuti per il periodo d'imposta 2015, e l'aumento, a decorrere dal 1</w:t>
      </w:r>
      <w:r w:rsidR="00D069F6" w:rsidRPr="00D069F6">
        <w:rPr>
          <w:rFonts w:ascii="Garamond" w:hAnsi="Garamond"/>
          <w:sz w:val="32"/>
          <w:szCs w:val="32"/>
          <w:vertAlign w:val="superscript"/>
        </w:rPr>
        <w:t>o</w:t>
      </w:r>
      <w:r w:rsidR="00D069F6" w:rsidRPr="00D069F6">
        <w:rPr>
          <w:rFonts w:ascii="Garamond" w:hAnsi="Garamond"/>
          <w:sz w:val="32"/>
          <w:szCs w:val="32"/>
        </w:rPr>
        <w:t xml:space="preserve"> gennaio 2016, delle accise di cui alla Direttiva del Consiglio 2008/118/CE del 16 dicembre 2008” in misura tale da </w:t>
      </w:r>
      <w:r w:rsidR="00D069F6" w:rsidRPr="00D069F6">
        <w:rPr>
          <w:rFonts w:ascii="Garamond" w:hAnsi="Garamond"/>
          <w:sz w:val="32"/>
          <w:szCs w:val="32"/>
        </w:rPr>
        <w:lastRenderedPageBreak/>
        <w:t>assicurare la copertura dei maggiori oneri risultanti dalle attività di monitoraggio della spesa: si attribuisce così ad una fonte subordinata il compito di modificare disposizioni di rango legislativo secondo una procedura difforme rispetto a quella prevista dall'articolo 17, comma 2, della legge n. 400 del 1988, che non offre le medesime garanzie individuate da tale ultima procedura, e della quale, come rilevato in altre circostanze dal Comitato, andrebbe altresì valutata la compatibilità con la riserva di legge prevista dall'articolo 23 della Costituzione, in assenza di qualsiasi indicazione relativa alla parametrazione dei profili quantitativi della prestazione»</w:t>
      </w:r>
      <w:r w:rsidR="00D069F6">
        <w:rPr>
          <w:rFonts w:ascii="Garamond" w:hAnsi="Garamond"/>
          <w:sz w:val="32"/>
          <w:szCs w:val="32"/>
        </w:rPr>
        <w:t xml:space="preserve"> </w:t>
      </w:r>
      <w:r w:rsidR="00D069F6" w:rsidRPr="00285FFF">
        <w:rPr>
          <w:rFonts w:ascii="Garamond" w:hAnsi="Garamond"/>
          <w:sz w:val="32"/>
          <w:szCs w:val="32"/>
        </w:rPr>
        <w:t>(</w:t>
      </w:r>
      <w:hyperlink w:anchor="S01a13" w:history="1">
        <w:r w:rsidR="00D069F6" w:rsidRPr="00285FFF">
          <w:rPr>
            <w:rStyle w:val="Collegamentoipertestuale"/>
            <w:rFonts w:ascii="Garamond" w:hAnsi="Garamond"/>
            <w:sz w:val="32"/>
            <w:szCs w:val="32"/>
          </w:rPr>
          <w:t>Scheda 1, punto 13</w:t>
        </w:r>
      </w:hyperlink>
      <w:r w:rsidR="00D069F6" w:rsidRPr="00285FFF">
        <w:rPr>
          <w:rFonts w:ascii="Garamond" w:hAnsi="Garamond"/>
          <w:sz w:val="32"/>
          <w:szCs w:val="32"/>
        </w:rPr>
        <w:t>).</w:t>
      </w:r>
      <w:r w:rsidR="00D069F6">
        <w:rPr>
          <w:rFonts w:ascii="Garamond" w:hAnsi="Garamond"/>
          <w:sz w:val="32"/>
          <w:szCs w:val="32"/>
        </w:rPr>
        <w:t xml:space="preserve"> La conseguente condizione è così formulata: «</w:t>
      </w:r>
      <w:r w:rsidR="00D069F6" w:rsidRPr="00D069F6">
        <w:rPr>
          <w:rFonts w:ascii="Garamond" w:hAnsi="Garamond"/>
          <w:sz w:val="32"/>
          <w:szCs w:val="32"/>
        </w:rPr>
        <w:t>previa valutazione della rispondenza alle previsioni dell'articolo 23 della Costituzione, si riconduca tale disposizione alla procedura prevista dall'articolo 17, comma 2, della legge n. 400 del 1988 per i regolamenti di delegificazione</w:t>
      </w:r>
      <w:r w:rsidR="00D069F6">
        <w:rPr>
          <w:rFonts w:ascii="Garamond" w:hAnsi="Garamond"/>
          <w:sz w:val="32"/>
          <w:szCs w:val="32"/>
        </w:rPr>
        <w:t xml:space="preserve">» </w:t>
      </w:r>
      <w:r w:rsidR="00D069F6" w:rsidRPr="00285FFF">
        <w:rPr>
          <w:rFonts w:ascii="Garamond" w:hAnsi="Garamond"/>
          <w:sz w:val="32"/>
          <w:szCs w:val="32"/>
        </w:rPr>
        <w:t>(</w:t>
      </w:r>
      <w:hyperlink w:anchor="S01c03" w:history="1">
        <w:r w:rsidR="00D069F6" w:rsidRPr="00285FFF">
          <w:rPr>
            <w:rStyle w:val="Collegamentoipertestuale"/>
            <w:rFonts w:ascii="Garamond" w:hAnsi="Garamond"/>
            <w:sz w:val="32"/>
            <w:szCs w:val="32"/>
          </w:rPr>
          <w:t>Scheda 1, condizione 3</w:t>
        </w:r>
      </w:hyperlink>
      <w:r w:rsidR="00D069F6" w:rsidRPr="00285FFF">
        <w:rPr>
          <w:rFonts w:ascii="Garamond" w:hAnsi="Garamond"/>
          <w:sz w:val="32"/>
          <w:szCs w:val="32"/>
        </w:rPr>
        <w:t>);</w:t>
      </w:r>
    </w:p>
    <w:p w:rsidR="00D069F6" w:rsidRPr="00F47553" w:rsidRDefault="00D069F6" w:rsidP="00707041">
      <w:pPr>
        <w:rPr>
          <w:rFonts w:ascii="Garamond" w:hAnsi="Garamond"/>
          <w:sz w:val="32"/>
          <w:szCs w:val="32"/>
        </w:rPr>
      </w:pPr>
      <w:r w:rsidRPr="00113F2F">
        <w:rPr>
          <w:rFonts w:ascii="Garamond" w:hAnsi="Garamond"/>
          <w:sz w:val="32"/>
          <w:szCs w:val="32"/>
          <w:u w:val="single"/>
        </w:rPr>
        <w:t>efficacia temporale</w:t>
      </w:r>
      <w:r w:rsidR="00CD46A4">
        <w:rPr>
          <w:rFonts w:ascii="Garamond" w:hAnsi="Garamond"/>
          <w:sz w:val="32"/>
          <w:szCs w:val="32"/>
        </w:rPr>
        <w:t xml:space="preserve">, </w:t>
      </w:r>
      <w:r w:rsidR="00F47553">
        <w:rPr>
          <w:rFonts w:ascii="Garamond" w:hAnsi="Garamond"/>
          <w:sz w:val="32"/>
          <w:szCs w:val="32"/>
        </w:rPr>
        <w:t>con un ampio campionario di proroghe,</w:t>
      </w:r>
      <w:r w:rsidR="00CD46A4">
        <w:rPr>
          <w:rFonts w:ascii="Garamond" w:hAnsi="Garamond"/>
          <w:sz w:val="32"/>
          <w:szCs w:val="32"/>
        </w:rPr>
        <w:t xml:space="preserve"> in pa</w:t>
      </w:r>
      <w:r w:rsidR="00F47553">
        <w:rPr>
          <w:rFonts w:ascii="Garamond" w:hAnsi="Garamond"/>
          <w:sz w:val="32"/>
          <w:szCs w:val="32"/>
        </w:rPr>
        <w:t>rte già segnalate</w:t>
      </w:r>
      <w:r w:rsidR="00CD46A4">
        <w:rPr>
          <w:rFonts w:ascii="Garamond" w:hAnsi="Garamond"/>
          <w:sz w:val="32"/>
          <w:szCs w:val="32"/>
        </w:rPr>
        <w:t>: il decreto infatti: a volte differisce termini già scaduti, con efficacia retroattiva (</w:t>
      </w:r>
      <w:hyperlink w:anchor="S01a07" w:history="1">
        <w:r w:rsidR="00CD46A4" w:rsidRPr="00285FFF">
          <w:rPr>
            <w:rStyle w:val="Collegamentoipertestuale"/>
            <w:rFonts w:ascii="Garamond" w:hAnsi="Garamond"/>
            <w:sz w:val="32"/>
            <w:szCs w:val="32"/>
          </w:rPr>
          <w:t>Scheda 1, punto 7</w:t>
        </w:r>
      </w:hyperlink>
      <w:r w:rsidR="00CD46A4" w:rsidRPr="00285FFF">
        <w:rPr>
          <w:rFonts w:ascii="Garamond" w:hAnsi="Garamond"/>
          <w:sz w:val="32"/>
          <w:szCs w:val="32"/>
        </w:rPr>
        <w:t>);</w:t>
      </w:r>
      <w:r w:rsidR="00CD46A4">
        <w:rPr>
          <w:rFonts w:ascii="Garamond" w:hAnsi="Garamond"/>
          <w:sz w:val="32"/>
          <w:szCs w:val="32"/>
        </w:rPr>
        <w:t xml:space="preserve"> «proroga disposizioni di carattere temporaneo, </w:t>
      </w:r>
      <w:r w:rsidR="00CD46A4" w:rsidRPr="00CD46A4">
        <w:rPr>
          <w:rFonts w:ascii="Garamond" w:hAnsi="Garamond"/>
          <w:sz w:val="32"/>
          <w:szCs w:val="32"/>
        </w:rPr>
        <w:t>di alcune delle quali andrebbe valutata la trasformazione a regime in quanto, a seguito di successive proroghe, si applicano ininterrottamente anche da numerosi anni</w:t>
      </w:r>
      <w:r w:rsidR="00CD46A4">
        <w:rPr>
          <w:rFonts w:ascii="Garamond" w:hAnsi="Garamond"/>
          <w:sz w:val="32"/>
          <w:szCs w:val="32"/>
        </w:rPr>
        <w:t xml:space="preserve">» </w:t>
      </w:r>
      <w:r w:rsidR="00CD46A4" w:rsidRPr="00285FFF">
        <w:rPr>
          <w:rFonts w:ascii="Garamond" w:hAnsi="Garamond"/>
          <w:sz w:val="32"/>
          <w:szCs w:val="32"/>
        </w:rPr>
        <w:t>(</w:t>
      </w:r>
      <w:hyperlink w:anchor="S01a08" w:history="1">
        <w:r w:rsidR="00CD46A4" w:rsidRPr="00285FFF">
          <w:rPr>
            <w:rStyle w:val="Collegamentoipertestuale"/>
            <w:rFonts w:ascii="Garamond" w:hAnsi="Garamond"/>
            <w:sz w:val="32"/>
            <w:szCs w:val="32"/>
          </w:rPr>
          <w:t>Scheda 1, punto 8</w:t>
        </w:r>
      </w:hyperlink>
      <w:r w:rsidR="00CD46A4" w:rsidRPr="00285FFF">
        <w:rPr>
          <w:rFonts w:ascii="Garamond" w:hAnsi="Garamond"/>
          <w:sz w:val="32"/>
          <w:szCs w:val="32"/>
        </w:rPr>
        <w:t>);</w:t>
      </w:r>
      <w:r w:rsidR="007D2525">
        <w:rPr>
          <w:rFonts w:ascii="Garamond" w:hAnsi="Garamond"/>
          <w:sz w:val="32"/>
          <w:szCs w:val="32"/>
        </w:rPr>
        <w:t xml:space="preserve"> pror</w:t>
      </w:r>
      <w:r w:rsidR="00F47553">
        <w:rPr>
          <w:rFonts w:ascii="Garamond" w:hAnsi="Garamond"/>
          <w:sz w:val="32"/>
          <w:szCs w:val="32"/>
        </w:rPr>
        <w:t>o</w:t>
      </w:r>
      <w:r w:rsidR="007D2525">
        <w:rPr>
          <w:rFonts w:ascii="Garamond" w:hAnsi="Garamond"/>
          <w:sz w:val="32"/>
          <w:szCs w:val="32"/>
        </w:rPr>
        <w:t xml:space="preserve">ga </w:t>
      </w:r>
      <w:r w:rsidR="00F47553">
        <w:rPr>
          <w:rFonts w:ascii="Garamond" w:hAnsi="Garamond"/>
          <w:sz w:val="32"/>
          <w:szCs w:val="32"/>
        </w:rPr>
        <w:t>«</w:t>
      </w:r>
      <w:r w:rsidR="00F47553" w:rsidRPr="00F47553">
        <w:rPr>
          <w:rFonts w:ascii="Garamond" w:hAnsi="Garamond"/>
          <w:sz w:val="32"/>
          <w:szCs w:val="32"/>
        </w:rPr>
        <w:t>in più punti il termine iniziale di entrata in vigore di discipline a regime alcune delle quali avrebbero dovuto trovare applicazione già da alcuni anni»</w:t>
      </w:r>
      <w:r w:rsidR="00F47553">
        <w:rPr>
          <w:rFonts w:ascii="Garamond" w:hAnsi="Garamond"/>
          <w:sz w:val="32"/>
          <w:szCs w:val="32"/>
        </w:rPr>
        <w:t xml:space="preserve"> </w:t>
      </w:r>
      <w:r w:rsidR="00F47553" w:rsidRPr="00213334">
        <w:rPr>
          <w:rFonts w:ascii="Garamond" w:hAnsi="Garamond"/>
          <w:sz w:val="32"/>
          <w:szCs w:val="32"/>
        </w:rPr>
        <w:t>(</w:t>
      </w:r>
      <w:hyperlink w:anchor="S01a09" w:history="1">
        <w:r w:rsidR="00F47553" w:rsidRPr="00213334">
          <w:rPr>
            <w:rStyle w:val="Collegamentoipertestuale"/>
            <w:rFonts w:ascii="Garamond" w:hAnsi="Garamond"/>
            <w:sz w:val="32"/>
            <w:szCs w:val="32"/>
          </w:rPr>
          <w:t>Scheda 1, punto 9</w:t>
        </w:r>
      </w:hyperlink>
      <w:r w:rsidR="00F47553" w:rsidRPr="00213334">
        <w:rPr>
          <w:rFonts w:ascii="Garamond" w:hAnsi="Garamond"/>
          <w:sz w:val="32"/>
          <w:szCs w:val="32"/>
        </w:rPr>
        <w:t>);</w:t>
      </w:r>
      <w:r w:rsidR="00F47553">
        <w:rPr>
          <w:rFonts w:ascii="Garamond" w:hAnsi="Garamond"/>
          <w:sz w:val="32"/>
          <w:szCs w:val="32"/>
        </w:rPr>
        <w:t xml:space="preserve"> proroga «</w:t>
      </w:r>
      <w:r w:rsidR="00F47553" w:rsidRPr="00F47553">
        <w:rPr>
          <w:rFonts w:cs="Arial"/>
          <w:szCs w:val="22"/>
        </w:rPr>
        <w:t xml:space="preserve"> </w:t>
      </w:r>
      <w:r w:rsidR="00F47553" w:rsidRPr="00F47553">
        <w:rPr>
          <w:rFonts w:ascii="Garamond" w:hAnsi="Garamond"/>
          <w:sz w:val="32"/>
          <w:szCs w:val="32"/>
        </w:rPr>
        <w:t>il termine per l'adozione di provvedimenti attuativi o applicativi di norme preesistenti che, conseguentemente, pur vigendo da tempo, non hanno mai trovato attuazione</w:t>
      </w:r>
      <w:r w:rsidR="00F47553">
        <w:rPr>
          <w:rFonts w:ascii="Garamond" w:hAnsi="Garamond"/>
          <w:sz w:val="32"/>
          <w:szCs w:val="32"/>
        </w:rPr>
        <w:t>» (</w:t>
      </w:r>
      <w:hyperlink w:anchor="S01a10" w:history="1">
        <w:r w:rsidR="00F47553" w:rsidRPr="00213334">
          <w:rPr>
            <w:rStyle w:val="Collegamentoipertestuale"/>
            <w:rFonts w:ascii="Garamond" w:hAnsi="Garamond"/>
            <w:sz w:val="32"/>
            <w:szCs w:val="32"/>
          </w:rPr>
          <w:t>Scheda 1, punto 10</w:t>
        </w:r>
      </w:hyperlink>
      <w:r w:rsidR="00F47553" w:rsidRPr="00213334">
        <w:rPr>
          <w:rFonts w:ascii="Garamond" w:hAnsi="Garamond"/>
          <w:sz w:val="32"/>
          <w:szCs w:val="32"/>
        </w:rPr>
        <w:t>);</w:t>
      </w:r>
      <w:r w:rsidR="00F47553">
        <w:rPr>
          <w:rFonts w:ascii="Garamond" w:hAnsi="Garamond"/>
          <w:sz w:val="32"/>
          <w:szCs w:val="32"/>
        </w:rPr>
        <w:t xml:space="preserve"> proroga disposizioni aventi carattere derogatorio (</w:t>
      </w:r>
      <w:hyperlink w:anchor="S01a11" w:history="1">
        <w:r w:rsidR="00F47553" w:rsidRPr="00213334">
          <w:rPr>
            <w:rStyle w:val="Collegamentoipertestuale"/>
            <w:rFonts w:ascii="Garamond" w:hAnsi="Garamond"/>
            <w:sz w:val="32"/>
            <w:szCs w:val="32"/>
          </w:rPr>
          <w:t>Scheda 1, punto 11</w:t>
        </w:r>
      </w:hyperlink>
      <w:r w:rsidR="00955E38" w:rsidRPr="00213334">
        <w:rPr>
          <w:rFonts w:ascii="Garamond" w:hAnsi="Garamond"/>
          <w:sz w:val="32"/>
          <w:szCs w:val="32"/>
        </w:rPr>
        <w:t>).</w:t>
      </w:r>
      <w:r w:rsidR="00F47553">
        <w:rPr>
          <w:rFonts w:ascii="Garamond" w:hAnsi="Garamond"/>
          <w:sz w:val="32"/>
          <w:szCs w:val="32"/>
        </w:rPr>
        <w:t xml:space="preserve"> </w:t>
      </w:r>
    </w:p>
    <w:p w:rsidR="006437B8" w:rsidRDefault="006437B8" w:rsidP="00707041">
      <w:pPr>
        <w:rPr>
          <w:rFonts w:ascii="Garamond" w:hAnsi="Garamond"/>
          <w:sz w:val="32"/>
          <w:szCs w:val="32"/>
        </w:rPr>
      </w:pPr>
    </w:p>
    <w:p w:rsidR="004352CC" w:rsidRDefault="004352CC" w:rsidP="00707041">
      <w:pPr>
        <w:rPr>
          <w:rFonts w:ascii="Garamond" w:hAnsi="Garamond"/>
          <w:sz w:val="32"/>
          <w:szCs w:val="32"/>
        </w:rPr>
      </w:pPr>
    </w:p>
    <w:p w:rsidR="001967DB" w:rsidRDefault="001967DB" w:rsidP="00707041">
      <w:pPr>
        <w:rPr>
          <w:rFonts w:ascii="Garamond" w:hAnsi="Garamond"/>
          <w:sz w:val="32"/>
          <w:szCs w:val="32"/>
        </w:rPr>
      </w:pPr>
    </w:p>
    <w:p w:rsidR="00955E38" w:rsidRDefault="00955E38" w:rsidP="00955E38">
      <w:pPr>
        <w:rPr>
          <w:rFonts w:ascii="Garamond" w:hAnsi="Garamond"/>
          <w:sz w:val="32"/>
          <w:szCs w:val="32"/>
        </w:rPr>
      </w:pPr>
      <w:r>
        <w:rPr>
          <w:rFonts w:ascii="Garamond" w:hAnsi="Garamond"/>
          <w:sz w:val="32"/>
          <w:szCs w:val="32"/>
        </w:rPr>
        <w:lastRenderedPageBreak/>
        <w:t>A</w:t>
      </w:r>
      <w:r w:rsidR="00993FB4">
        <w:rPr>
          <w:rFonts w:ascii="Garamond" w:hAnsi="Garamond"/>
          <w:sz w:val="32"/>
          <w:szCs w:val="32"/>
        </w:rPr>
        <w:t>ltri</w:t>
      </w:r>
      <w:r w:rsidR="002D4953">
        <w:rPr>
          <w:rFonts w:ascii="Garamond" w:hAnsi="Garamond"/>
          <w:sz w:val="32"/>
          <w:szCs w:val="32"/>
        </w:rPr>
        <w:t xml:space="preserve"> fenomeni ra</w:t>
      </w:r>
      <w:r w:rsidR="00975FEA">
        <w:rPr>
          <w:rFonts w:ascii="Garamond" w:hAnsi="Garamond"/>
          <w:sz w:val="32"/>
          <w:szCs w:val="32"/>
        </w:rPr>
        <w:t xml:space="preserve">dicati nel tempo </w:t>
      </w:r>
      <w:r w:rsidR="00993FB4">
        <w:rPr>
          <w:rFonts w:ascii="Garamond" w:hAnsi="Garamond"/>
          <w:sz w:val="32"/>
          <w:szCs w:val="32"/>
        </w:rPr>
        <w:t>che in questi dieci mesi hanno comunque avuto un numero limitato di ricorrenze sono i seguenti:</w:t>
      </w:r>
    </w:p>
    <w:p w:rsidR="00113F2F" w:rsidRPr="00213334" w:rsidRDefault="00955E38" w:rsidP="00E10E3E">
      <w:pPr>
        <w:numPr>
          <w:ilvl w:val="0"/>
          <w:numId w:val="13"/>
        </w:numPr>
        <w:rPr>
          <w:rFonts w:ascii="Garamond" w:hAnsi="Garamond"/>
          <w:sz w:val="32"/>
          <w:szCs w:val="32"/>
        </w:rPr>
      </w:pPr>
      <w:r>
        <w:rPr>
          <w:rFonts w:ascii="Garamond" w:hAnsi="Garamond"/>
          <w:sz w:val="32"/>
          <w:szCs w:val="32"/>
        </w:rPr>
        <w:t xml:space="preserve">il </w:t>
      </w:r>
      <w:r w:rsidR="00975FEA">
        <w:rPr>
          <w:rFonts w:ascii="Garamond" w:hAnsi="Garamond"/>
          <w:sz w:val="32"/>
          <w:szCs w:val="32"/>
        </w:rPr>
        <w:t>ricor</w:t>
      </w:r>
      <w:r>
        <w:rPr>
          <w:rFonts w:ascii="Garamond" w:hAnsi="Garamond"/>
          <w:sz w:val="32"/>
          <w:szCs w:val="32"/>
        </w:rPr>
        <w:t>so</w:t>
      </w:r>
      <w:r w:rsidR="00975FEA">
        <w:rPr>
          <w:rFonts w:ascii="Garamond" w:hAnsi="Garamond"/>
          <w:sz w:val="32"/>
          <w:szCs w:val="32"/>
        </w:rPr>
        <w:t xml:space="preserve"> a decreti del Presidente del Consiglio dei ministri come fonte intermedia tra i regolamenti ministeriali ed i regolamenti governativi (da emanare con DPR), andando oltre le previsioni della legge n. 400 del 1988</w:t>
      </w:r>
      <w:r w:rsidR="009A7ADA">
        <w:rPr>
          <w:rStyle w:val="Rimandonotaapidipagina"/>
          <w:rFonts w:ascii="Garamond" w:hAnsi="Garamond"/>
          <w:sz w:val="32"/>
          <w:szCs w:val="32"/>
        </w:rPr>
        <w:footnoteReference w:id="1"/>
      </w:r>
      <w:r w:rsidR="000238A9">
        <w:rPr>
          <w:rFonts w:ascii="Garamond" w:hAnsi="Garamond"/>
          <w:sz w:val="32"/>
          <w:szCs w:val="32"/>
        </w:rPr>
        <w:t xml:space="preserve"> </w:t>
      </w:r>
      <w:r w:rsidR="005D7EDF" w:rsidRPr="00332F29">
        <w:rPr>
          <w:rFonts w:ascii="Garamond" w:hAnsi="Garamond"/>
          <w:sz w:val="32"/>
          <w:szCs w:val="32"/>
        </w:rPr>
        <w:t>(</w:t>
      </w:r>
      <w:hyperlink w:anchor="S02a04" w:history="1">
        <w:r w:rsidR="000238A9" w:rsidRPr="00213334">
          <w:rPr>
            <w:rStyle w:val="Collegamentoipertestuale"/>
            <w:rFonts w:ascii="Garamond" w:hAnsi="Garamond"/>
            <w:sz w:val="32"/>
            <w:szCs w:val="32"/>
          </w:rPr>
          <w:t xml:space="preserve">Scheda 2, punto </w:t>
        </w:r>
        <w:r w:rsidRPr="00213334">
          <w:rPr>
            <w:rStyle w:val="Collegamentoipertestuale"/>
            <w:rFonts w:ascii="Garamond" w:hAnsi="Garamond"/>
            <w:sz w:val="32"/>
            <w:szCs w:val="32"/>
          </w:rPr>
          <w:t>4</w:t>
        </w:r>
      </w:hyperlink>
      <w:r w:rsidRPr="00213334">
        <w:rPr>
          <w:rFonts w:ascii="Garamond" w:hAnsi="Garamond"/>
          <w:sz w:val="32"/>
          <w:szCs w:val="32"/>
        </w:rPr>
        <w:t xml:space="preserve"> e </w:t>
      </w:r>
      <w:hyperlink w:anchor="S02c03" w:history="1">
        <w:r w:rsidRPr="00213334">
          <w:rPr>
            <w:rStyle w:val="Collegamentoipertestuale"/>
            <w:rFonts w:ascii="Garamond" w:hAnsi="Garamond"/>
            <w:sz w:val="32"/>
            <w:szCs w:val="32"/>
          </w:rPr>
          <w:t>condizione 3</w:t>
        </w:r>
      </w:hyperlink>
      <w:r w:rsidRPr="00213334">
        <w:rPr>
          <w:rFonts w:ascii="Garamond" w:hAnsi="Garamond"/>
          <w:sz w:val="32"/>
          <w:szCs w:val="32"/>
        </w:rPr>
        <w:t xml:space="preserve">; </w:t>
      </w:r>
      <w:hyperlink w:anchor="S09a13" w:history="1">
        <w:r w:rsidRPr="00213334">
          <w:rPr>
            <w:rStyle w:val="Collegamentoipertestuale"/>
            <w:rFonts w:ascii="Garamond" w:hAnsi="Garamond"/>
            <w:sz w:val="32"/>
            <w:szCs w:val="32"/>
          </w:rPr>
          <w:t>Scheda 9, punto 13</w:t>
        </w:r>
      </w:hyperlink>
      <w:r w:rsidRPr="00213334">
        <w:rPr>
          <w:rFonts w:ascii="Garamond" w:hAnsi="Garamond"/>
          <w:sz w:val="32"/>
          <w:szCs w:val="32"/>
        </w:rPr>
        <w:t>).</w:t>
      </w:r>
      <w:r>
        <w:rPr>
          <w:rFonts w:ascii="Garamond" w:hAnsi="Garamond"/>
          <w:sz w:val="32"/>
          <w:szCs w:val="32"/>
        </w:rPr>
        <w:t xml:space="preserve"> Di particolare interesse è </w:t>
      </w:r>
      <w:r w:rsidR="008759A5">
        <w:rPr>
          <w:rFonts w:ascii="Garamond" w:hAnsi="Garamond"/>
          <w:sz w:val="32"/>
          <w:szCs w:val="32"/>
        </w:rPr>
        <w:t xml:space="preserve">il </w:t>
      </w:r>
      <w:r>
        <w:rPr>
          <w:rFonts w:ascii="Garamond" w:hAnsi="Garamond"/>
          <w:sz w:val="32"/>
          <w:szCs w:val="32"/>
        </w:rPr>
        <w:t xml:space="preserve">decreto-legge n. 1 del </w:t>
      </w:r>
      <w:r w:rsidR="008759A5">
        <w:rPr>
          <w:rFonts w:ascii="Garamond" w:hAnsi="Garamond"/>
          <w:sz w:val="32"/>
          <w:szCs w:val="32"/>
        </w:rPr>
        <w:t>201</w:t>
      </w:r>
      <w:r>
        <w:rPr>
          <w:rFonts w:ascii="Garamond" w:hAnsi="Garamond"/>
          <w:sz w:val="32"/>
          <w:szCs w:val="32"/>
        </w:rPr>
        <w:t xml:space="preserve">5 (ILVA e Taranto – C. 2894), </w:t>
      </w:r>
      <w:r w:rsidR="008759A5">
        <w:rPr>
          <w:rFonts w:ascii="Garamond" w:hAnsi="Garamond"/>
          <w:sz w:val="32"/>
          <w:szCs w:val="32"/>
        </w:rPr>
        <w:t>a proposito del quale il Comitato formula la seguente osservazione:</w:t>
      </w:r>
      <w:r>
        <w:rPr>
          <w:rFonts w:ascii="Garamond" w:hAnsi="Garamond"/>
          <w:sz w:val="32"/>
          <w:szCs w:val="32"/>
        </w:rPr>
        <w:t xml:space="preserve"> «</w:t>
      </w:r>
      <w:r w:rsidR="008759A5" w:rsidRPr="008759A5">
        <w:rPr>
          <w:rFonts w:ascii="Garamond" w:hAnsi="Garamond"/>
          <w:sz w:val="32"/>
          <w:szCs w:val="32"/>
        </w:rPr>
        <w:t xml:space="preserve">con riferimento all'articolo 8, ove il comma 3 e il comma 4 (progetto di valorizzazione culturale e turistica dell'Arsenale marittimo di Taranto) demandano l'approvazione del progetto stesso a </w:t>
      </w:r>
      <w:r w:rsidR="008759A5" w:rsidRPr="0040754C">
        <w:rPr>
          <w:rFonts w:ascii="Garamond" w:hAnsi="Garamond"/>
          <w:sz w:val="32"/>
          <w:szCs w:val="32"/>
        </w:rPr>
        <w:t>un</w:t>
      </w:r>
      <w:r w:rsidR="008759A5" w:rsidRPr="008759A5">
        <w:rPr>
          <w:rFonts w:ascii="Garamond" w:hAnsi="Garamond"/>
          <w:b/>
          <w:sz w:val="32"/>
          <w:szCs w:val="32"/>
        </w:rPr>
        <w:t xml:space="preserve"> </w:t>
      </w:r>
      <w:r w:rsidR="008759A5" w:rsidRPr="008759A5">
        <w:rPr>
          <w:rFonts w:ascii="Garamond" w:hAnsi="Garamond"/>
          <w:sz w:val="32"/>
          <w:szCs w:val="32"/>
        </w:rPr>
        <w:t xml:space="preserve">DPCM che “sostituisce tutte le autorizzazioni, i pareri e gli atti di assenso comunque denominati di competenza del Ministero dei beni e delle attività culturali e del turismo”, derogando implicitamente alla legge n. 400 del 1988 (che non prevede in via generale l'adozione di DPCM su proposta di ministeri), alle procedure previste, in generale, dalla legge n. 241 del 1990 e a quelle previste dal codice ambientale e dal codice dei beni culturali, si dovrebbe valutare l'effettiva opportunità di tale articolata deroga e, comunque, l'opportunità di individuare puntualmente ed esplicitamente le normative cui – per effetto della </w:t>
      </w:r>
      <w:r w:rsidR="008759A5" w:rsidRPr="008759A5">
        <w:rPr>
          <w:rFonts w:ascii="Garamond" w:hAnsi="Garamond"/>
          <w:sz w:val="32"/>
          <w:szCs w:val="32"/>
        </w:rPr>
        <w:lastRenderedPageBreak/>
        <w:t>presente disposizione – si intende derogare</w:t>
      </w:r>
      <w:r w:rsidRPr="008759A5">
        <w:rPr>
          <w:rFonts w:ascii="Garamond" w:hAnsi="Garamond"/>
          <w:sz w:val="32"/>
          <w:szCs w:val="32"/>
        </w:rPr>
        <w:t>»</w:t>
      </w:r>
      <w:r w:rsidR="0040754C">
        <w:rPr>
          <w:rFonts w:ascii="Garamond" w:hAnsi="Garamond"/>
          <w:sz w:val="32"/>
          <w:szCs w:val="32"/>
        </w:rPr>
        <w:t xml:space="preserve"> (</w:t>
      </w:r>
      <w:hyperlink w:anchor="S03o03" w:history="1">
        <w:r w:rsidR="0040754C" w:rsidRPr="00213334">
          <w:rPr>
            <w:rStyle w:val="Collegamentoipertestuale"/>
            <w:rFonts w:ascii="Garamond" w:hAnsi="Garamond"/>
            <w:sz w:val="32"/>
            <w:szCs w:val="32"/>
          </w:rPr>
          <w:t>Scheda 3, osservazione 3</w:t>
        </w:r>
      </w:hyperlink>
      <w:r w:rsidR="0040754C" w:rsidRPr="00213334">
        <w:rPr>
          <w:rFonts w:ascii="Garamond" w:hAnsi="Garamond"/>
          <w:sz w:val="32"/>
          <w:szCs w:val="32"/>
        </w:rPr>
        <w:t>)</w:t>
      </w:r>
      <w:r w:rsidR="008759A5" w:rsidRPr="00213334">
        <w:rPr>
          <w:rFonts w:ascii="Garamond" w:hAnsi="Garamond"/>
          <w:sz w:val="32"/>
          <w:szCs w:val="32"/>
        </w:rPr>
        <w:t>;</w:t>
      </w:r>
    </w:p>
    <w:p w:rsidR="00286E9B" w:rsidRDefault="00286E9B" w:rsidP="00E10E3E">
      <w:pPr>
        <w:numPr>
          <w:ilvl w:val="0"/>
          <w:numId w:val="13"/>
        </w:numPr>
        <w:rPr>
          <w:rFonts w:ascii="Garamond" w:hAnsi="Garamond"/>
          <w:sz w:val="32"/>
          <w:szCs w:val="32"/>
        </w:rPr>
      </w:pPr>
      <w:r w:rsidRPr="00286E9B">
        <w:rPr>
          <w:rFonts w:ascii="Garamond" w:hAnsi="Garamond" w:cs="Arial"/>
          <w:sz w:val="32"/>
          <w:szCs w:val="32"/>
        </w:rPr>
        <w:t>t</w:t>
      </w:r>
      <w:r w:rsidR="00DA7C0A" w:rsidRPr="00286E9B">
        <w:rPr>
          <w:rFonts w:ascii="Garamond" w:hAnsi="Garamond" w:cs="Arial"/>
          <w:sz w:val="32"/>
          <w:szCs w:val="32"/>
        </w:rPr>
        <w:t>alora,</w:t>
      </w:r>
      <w:r w:rsidR="008A0D8D" w:rsidRPr="00286E9B">
        <w:rPr>
          <w:rFonts w:ascii="Garamond" w:hAnsi="Garamond" w:cs="Arial"/>
          <w:sz w:val="32"/>
          <w:szCs w:val="32"/>
        </w:rPr>
        <w:t xml:space="preserve"> </w:t>
      </w:r>
      <w:r w:rsidR="00DA7C0A" w:rsidRPr="00286E9B">
        <w:rPr>
          <w:rFonts w:ascii="Garamond" w:hAnsi="Garamond" w:cs="Arial"/>
          <w:sz w:val="32"/>
          <w:szCs w:val="32"/>
        </w:rPr>
        <w:t xml:space="preserve">i decreti-legge si intrecciano con altri in corso di conversione: </w:t>
      </w:r>
      <w:r w:rsidR="00D17B7F" w:rsidRPr="00D17B7F">
        <w:rPr>
          <w:rFonts w:ascii="Garamond" w:hAnsi="Garamond" w:cs="Arial"/>
          <w:sz w:val="32"/>
          <w:szCs w:val="32"/>
        </w:rPr>
        <w:t>«l'articolo 5, comma 1, primo periodo, incrementa di 1.800 unità il contingente di 3.000 unità di cui all'articolo 4, comma 6, del decreto-legge 31 dicembre 2014, n.</w:t>
      </w:r>
      <w:r w:rsidR="00213334">
        <w:rPr>
          <w:rFonts w:ascii="Garamond" w:hAnsi="Garamond" w:cs="Arial"/>
          <w:sz w:val="32"/>
          <w:szCs w:val="32"/>
        </w:rPr>
        <w:t xml:space="preserve"> </w:t>
      </w:r>
      <w:r w:rsidR="00D17B7F" w:rsidRPr="00D17B7F">
        <w:rPr>
          <w:rFonts w:ascii="Garamond" w:hAnsi="Garamond" w:cs="Arial"/>
          <w:sz w:val="32"/>
          <w:szCs w:val="32"/>
        </w:rPr>
        <w:t xml:space="preserve">192, prorogandone l'operatività dal 31 marzo al 30 giugno 2015, con ciò integrando senza gli opportuni coordinamenti una disposizione di recentissima emanazione, recata, per di più, in un decreto-legge il cui </w:t>
      </w:r>
      <w:r w:rsidR="00D17B7F" w:rsidRPr="00D17B7F">
        <w:rPr>
          <w:rFonts w:ascii="Garamond" w:hAnsi="Garamond" w:cs="Arial"/>
          <w:i/>
          <w:iCs/>
          <w:sz w:val="32"/>
          <w:szCs w:val="32"/>
        </w:rPr>
        <w:t xml:space="preserve">iter </w:t>
      </w:r>
      <w:r w:rsidR="00D17B7F" w:rsidRPr="00D17B7F">
        <w:rPr>
          <w:rFonts w:ascii="Garamond" w:hAnsi="Garamond" w:cs="Arial"/>
          <w:sz w:val="32"/>
          <w:szCs w:val="32"/>
        </w:rPr>
        <w:t>di conversione era ancora in corso al momento della deliberazione del decreto oggi in esame»</w:t>
      </w:r>
      <w:r w:rsidR="00D17B7F">
        <w:rPr>
          <w:rFonts w:ascii="Garamond" w:hAnsi="Garamond" w:cs="Arial"/>
          <w:sz w:val="32"/>
          <w:szCs w:val="32"/>
        </w:rPr>
        <w:t xml:space="preserve"> </w:t>
      </w:r>
      <w:r w:rsidR="00D17B7F" w:rsidRPr="00213334">
        <w:rPr>
          <w:rFonts w:ascii="Garamond" w:hAnsi="Garamond" w:cs="Arial"/>
          <w:sz w:val="32"/>
          <w:szCs w:val="32"/>
        </w:rPr>
        <w:t>(</w:t>
      </w:r>
      <w:hyperlink w:anchor="S04a05" w:history="1">
        <w:r w:rsidR="00D17B7F" w:rsidRPr="00213334">
          <w:rPr>
            <w:rStyle w:val="Collegamentoipertestuale"/>
            <w:rFonts w:ascii="Garamond" w:hAnsi="Garamond" w:cs="Arial"/>
            <w:sz w:val="32"/>
            <w:szCs w:val="32"/>
          </w:rPr>
          <w:t xml:space="preserve">Scheda </w:t>
        </w:r>
        <w:r w:rsidR="00213334" w:rsidRPr="00213334">
          <w:rPr>
            <w:rStyle w:val="Collegamentoipertestuale"/>
            <w:rFonts w:ascii="Garamond" w:hAnsi="Garamond" w:cs="Arial"/>
            <w:sz w:val="32"/>
            <w:szCs w:val="32"/>
          </w:rPr>
          <w:t>4</w:t>
        </w:r>
        <w:r w:rsidR="00D17B7F" w:rsidRPr="00213334">
          <w:rPr>
            <w:rStyle w:val="Collegamentoipertestuale"/>
            <w:rFonts w:ascii="Garamond" w:hAnsi="Garamond" w:cs="Arial"/>
            <w:sz w:val="32"/>
            <w:szCs w:val="32"/>
          </w:rPr>
          <w:t>, punto 5</w:t>
        </w:r>
      </w:hyperlink>
      <w:r w:rsidR="00D17B7F" w:rsidRPr="00213334">
        <w:rPr>
          <w:rFonts w:ascii="Garamond" w:hAnsi="Garamond" w:cs="Arial"/>
          <w:sz w:val="32"/>
          <w:szCs w:val="32"/>
        </w:rPr>
        <w:t>);</w:t>
      </w:r>
    </w:p>
    <w:p w:rsidR="00FA06F9" w:rsidRPr="00FA06F9" w:rsidRDefault="00286E9B" w:rsidP="00E10E3E">
      <w:pPr>
        <w:numPr>
          <w:ilvl w:val="0"/>
          <w:numId w:val="13"/>
        </w:numPr>
        <w:rPr>
          <w:rFonts w:ascii="Garamond" w:hAnsi="Garamond" w:cs="Arial"/>
          <w:sz w:val="32"/>
          <w:szCs w:val="32"/>
        </w:rPr>
      </w:pPr>
      <w:r w:rsidRPr="00286E9B">
        <w:rPr>
          <w:rFonts w:ascii="Garamond" w:hAnsi="Garamond" w:cs="Arial"/>
          <w:sz w:val="32"/>
          <w:szCs w:val="32"/>
        </w:rPr>
        <w:t>i</w:t>
      </w:r>
      <w:r w:rsidR="00461DEA" w:rsidRPr="00286E9B">
        <w:rPr>
          <w:rFonts w:ascii="Garamond" w:hAnsi="Garamond" w:cs="Arial"/>
          <w:sz w:val="32"/>
          <w:szCs w:val="32"/>
        </w:rPr>
        <w:t>nfine, i</w:t>
      </w:r>
      <w:r w:rsidR="00FA06F9">
        <w:rPr>
          <w:rFonts w:ascii="Garamond" w:hAnsi="Garamond" w:cs="Arial"/>
          <w:sz w:val="32"/>
          <w:szCs w:val="32"/>
        </w:rPr>
        <w:t>l disegno di legge di conversione del decreto</w:t>
      </w:r>
      <w:r w:rsidR="00461DEA" w:rsidRPr="00286E9B">
        <w:rPr>
          <w:rFonts w:ascii="Garamond" w:hAnsi="Garamond" w:cs="Arial"/>
          <w:sz w:val="32"/>
          <w:szCs w:val="32"/>
        </w:rPr>
        <w:t xml:space="preserve">-legge </w:t>
      </w:r>
      <w:r w:rsidR="00FA06F9">
        <w:rPr>
          <w:rFonts w:ascii="Garamond" w:hAnsi="Garamond" w:cs="Arial"/>
          <w:sz w:val="32"/>
          <w:szCs w:val="32"/>
        </w:rPr>
        <w:t>n. 78/2015 (C. 3262 – enti territoriali) «</w:t>
      </w:r>
      <w:r w:rsidR="00FA06F9" w:rsidRPr="00FA06F9">
        <w:rPr>
          <w:rFonts w:ascii="Garamond" w:hAnsi="Garamond" w:cs="Arial"/>
          <w:sz w:val="32"/>
          <w:szCs w:val="32"/>
        </w:rPr>
        <w:t>riproduce, all'articolo 5-</w:t>
      </w:r>
      <w:r w:rsidR="00FA06F9" w:rsidRPr="00FA06F9">
        <w:rPr>
          <w:rFonts w:ascii="Garamond" w:hAnsi="Garamond" w:cs="Arial"/>
          <w:i/>
          <w:iCs/>
          <w:sz w:val="32"/>
          <w:szCs w:val="32"/>
        </w:rPr>
        <w:t>bis</w:t>
      </w:r>
      <w:r w:rsidR="00FA06F9" w:rsidRPr="00FA06F9">
        <w:rPr>
          <w:rFonts w:ascii="Garamond" w:hAnsi="Garamond" w:cs="Arial"/>
          <w:sz w:val="32"/>
          <w:szCs w:val="32"/>
        </w:rPr>
        <w:t>, i contenuti del decreto-legge 1</w:t>
      </w:r>
      <w:r w:rsidR="00FA06F9" w:rsidRPr="00FA06F9">
        <w:rPr>
          <w:rFonts w:ascii="Garamond" w:hAnsi="Garamond" w:cs="Arial"/>
          <w:sz w:val="32"/>
          <w:szCs w:val="32"/>
          <w:vertAlign w:val="superscript"/>
        </w:rPr>
        <w:t>o</w:t>
      </w:r>
      <w:r w:rsidR="00FA06F9" w:rsidRPr="00FA06F9">
        <w:rPr>
          <w:rFonts w:ascii="Garamond" w:hAnsi="Garamond" w:cs="Arial"/>
          <w:sz w:val="32"/>
          <w:szCs w:val="32"/>
        </w:rPr>
        <w:t xml:space="preserve"> luglio 2015, n. 85 (S. 1992), recante disposizioni urgenti per garantire la continuità dei dispositivi di sicurezza e di controllo del territorio, assegnato alle Commissioni riunite 1</w:t>
      </w:r>
      <w:r w:rsidR="00FA06F9" w:rsidRPr="00FA06F9">
        <w:rPr>
          <w:rFonts w:ascii="Garamond" w:hAnsi="Garamond" w:cs="Arial"/>
          <w:sz w:val="32"/>
          <w:szCs w:val="32"/>
          <w:vertAlign w:val="superscript"/>
        </w:rPr>
        <w:t>a</w:t>
      </w:r>
      <w:r w:rsidR="00FA06F9" w:rsidRPr="00FA06F9">
        <w:rPr>
          <w:rFonts w:ascii="Garamond" w:hAnsi="Garamond" w:cs="Arial"/>
          <w:sz w:val="32"/>
          <w:szCs w:val="32"/>
        </w:rPr>
        <w:t xml:space="preserve"> e 4</w:t>
      </w:r>
      <w:r w:rsidR="00FA06F9" w:rsidRPr="00FA06F9">
        <w:rPr>
          <w:rFonts w:ascii="Garamond" w:hAnsi="Garamond" w:cs="Arial"/>
          <w:sz w:val="32"/>
          <w:szCs w:val="32"/>
          <w:vertAlign w:val="superscript"/>
        </w:rPr>
        <w:t>a</w:t>
      </w:r>
      <w:r w:rsidR="00FA06F9" w:rsidRPr="00FA06F9">
        <w:rPr>
          <w:rFonts w:ascii="Garamond" w:hAnsi="Garamond" w:cs="Arial"/>
          <w:sz w:val="32"/>
          <w:szCs w:val="32"/>
        </w:rPr>
        <w:t xml:space="preserve"> del Senato e, all'articolo 11, commi 16-</w:t>
      </w:r>
      <w:r w:rsidR="00FA06F9" w:rsidRPr="00FA06F9">
        <w:rPr>
          <w:rFonts w:ascii="Garamond" w:hAnsi="Garamond" w:cs="Arial"/>
          <w:i/>
          <w:iCs/>
          <w:sz w:val="32"/>
          <w:szCs w:val="32"/>
        </w:rPr>
        <w:t>bis</w:t>
      </w:r>
      <w:r w:rsidR="00FA06F9" w:rsidRPr="00FA06F9">
        <w:rPr>
          <w:rFonts w:ascii="Garamond" w:hAnsi="Garamond" w:cs="Arial"/>
          <w:sz w:val="32"/>
          <w:szCs w:val="32"/>
        </w:rPr>
        <w:t xml:space="preserve"> e 16-</w:t>
      </w:r>
      <w:r w:rsidR="00FA06F9" w:rsidRPr="00FA06F9">
        <w:rPr>
          <w:rFonts w:ascii="Garamond" w:hAnsi="Garamond" w:cs="Arial"/>
          <w:i/>
          <w:iCs/>
          <w:sz w:val="32"/>
          <w:szCs w:val="32"/>
        </w:rPr>
        <w:t>ter</w:t>
      </w:r>
      <w:r w:rsidR="00FA06F9" w:rsidRPr="00FA06F9">
        <w:rPr>
          <w:rFonts w:ascii="Garamond" w:hAnsi="Garamond" w:cs="Arial"/>
          <w:sz w:val="32"/>
          <w:szCs w:val="32"/>
        </w:rPr>
        <w:t xml:space="preserve">, i contenuti degli articoli 1 e 2 del decreto legge n. 92 del 2015 (C. 3210), in materia di rifiuti e di autorizzazione integrata ambientale, attualmente all'esame delle Commissioni riunite VIII e X della Camera; come già evidenziato dal Comitato per la legislazione in circostanze analoghe, da tale confluenza in un unico testo di più articolati attualmente vigenti – che originano da distinte delibere del Consiglio dei Ministri e distinti decreti del Presidente della Repubblica – possono discendere effetti di incertezza sull'individuazione della disciplina concretamente operante nelle materie oggetto di intervento legislativo, nonché un'alterazione del lineare svolgimento della procedura parlamentare di esame dei disegni di legge, sia pure attenuata dall'espressa clausola di salvezza degli </w:t>
      </w:r>
      <w:r w:rsidR="00FA06F9" w:rsidRPr="00FA06F9">
        <w:rPr>
          <w:rFonts w:ascii="Garamond" w:hAnsi="Garamond" w:cs="Arial"/>
          <w:sz w:val="32"/>
          <w:szCs w:val="32"/>
        </w:rPr>
        <w:lastRenderedPageBreak/>
        <w:t>effetti prodotti dal decreto-legge confluito nel provvedimento in esame e dunque destinato a decadere»</w:t>
      </w:r>
      <w:r w:rsidR="00FA06F9">
        <w:rPr>
          <w:rFonts w:ascii="Garamond" w:hAnsi="Garamond" w:cs="Arial"/>
          <w:sz w:val="32"/>
          <w:szCs w:val="32"/>
        </w:rPr>
        <w:t xml:space="preserve"> (</w:t>
      </w:r>
      <w:hyperlink w:anchor="S20a02" w:history="1">
        <w:r w:rsidR="00FA06F9" w:rsidRPr="00213334">
          <w:rPr>
            <w:rStyle w:val="Collegamentoipertestuale"/>
            <w:rFonts w:ascii="Garamond" w:hAnsi="Garamond" w:cs="Arial"/>
            <w:sz w:val="32"/>
            <w:szCs w:val="32"/>
          </w:rPr>
          <w:t>Scheda 20, punto 2</w:t>
        </w:r>
      </w:hyperlink>
      <w:r w:rsidR="00FA06F9">
        <w:rPr>
          <w:rFonts w:ascii="Garamond" w:hAnsi="Garamond" w:cs="Arial"/>
          <w:sz w:val="32"/>
          <w:szCs w:val="32"/>
        </w:rPr>
        <w:t>). Ne consegue la seguente raccomandazione: «</w:t>
      </w:r>
      <w:r w:rsidR="00FA06F9" w:rsidRPr="00FA06F9">
        <w:rPr>
          <w:rFonts w:ascii="Garamond" w:hAnsi="Garamond" w:cs="Arial"/>
          <w:sz w:val="32"/>
          <w:szCs w:val="32"/>
        </w:rPr>
        <w:t>abbia cura il legislatore di evitare sovrapposizioni normative ed intrecci tra disposizioni sostanzialmente identiche presenti in più provvedimenti d'urgenza, in quanto tale fenomeno è suscettibile di ingenerare incertezze interpretative ed applicative, di determinare un'alterazione del lineare svolgimento della procedura parlamentare di esame dei disegni di legge di conversione dei decreti legge nonché un uso anomalo dello strumento del decreto-legge</w:t>
      </w:r>
      <w:r w:rsidR="00FA06F9">
        <w:rPr>
          <w:rFonts w:ascii="Garamond" w:hAnsi="Garamond" w:cs="Arial"/>
          <w:sz w:val="32"/>
          <w:szCs w:val="32"/>
        </w:rPr>
        <w:t xml:space="preserve">» </w:t>
      </w:r>
      <w:r w:rsidR="00FA06F9" w:rsidRPr="00213334">
        <w:rPr>
          <w:rFonts w:ascii="Garamond" w:hAnsi="Garamond" w:cs="Arial"/>
          <w:sz w:val="32"/>
          <w:szCs w:val="32"/>
        </w:rPr>
        <w:t>(</w:t>
      </w:r>
      <w:hyperlink w:anchor="S20r01" w:history="1">
        <w:r w:rsidR="00FA06F9" w:rsidRPr="00213334">
          <w:rPr>
            <w:rStyle w:val="Collegamentoipertestuale"/>
            <w:rFonts w:ascii="Garamond" w:hAnsi="Garamond" w:cs="Arial"/>
            <w:sz w:val="32"/>
            <w:szCs w:val="32"/>
          </w:rPr>
          <w:t>Scheda 20, raccomandazione 1</w:t>
        </w:r>
      </w:hyperlink>
      <w:r w:rsidR="00FA06F9">
        <w:rPr>
          <w:rFonts w:ascii="Garamond" w:hAnsi="Garamond" w:cs="Arial"/>
          <w:sz w:val="32"/>
          <w:szCs w:val="32"/>
        </w:rPr>
        <w:t>)</w:t>
      </w:r>
      <w:r w:rsidR="00FA06F9" w:rsidRPr="00FA06F9">
        <w:rPr>
          <w:rFonts w:ascii="Garamond" w:hAnsi="Garamond" w:cs="Arial"/>
          <w:sz w:val="32"/>
          <w:szCs w:val="32"/>
        </w:rPr>
        <w:t>.</w:t>
      </w:r>
    </w:p>
    <w:p w:rsidR="00461DEA" w:rsidRPr="00FA06F9" w:rsidRDefault="00461DEA" w:rsidP="00FA06F9">
      <w:pPr>
        <w:ind w:left="1004" w:firstLine="0"/>
        <w:rPr>
          <w:rFonts w:ascii="Garamond" w:hAnsi="Garamond"/>
          <w:sz w:val="32"/>
          <w:szCs w:val="32"/>
        </w:rPr>
      </w:pPr>
    </w:p>
    <w:p w:rsidR="00FA06F9" w:rsidRPr="00286E9B" w:rsidRDefault="00FA06F9" w:rsidP="00FA06F9">
      <w:pPr>
        <w:ind w:left="1004" w:firstLine="0"/>
        <w:rPr>
          <w:rFonts w:ascii="Garamond" w:hAnsi="Garamond"/>
          <w:sz w:val="32"/>
          <w:szCs w:val="32"/>
        </w:rPr>
      </w:pPr>
    </w:p>
    <w:p w:rsidR="008F0E82" w:rsidRDefault="008F0E82" w:rsidP="008F0E82">
      <w:pPr>
        <w:rPr>
          <w:rFonts w:ascii="Garamond" w:hAnsi="Garamond"/>
          <w:sz w:val="32"/>
          <w:szCs w:val="32"/>
        </w:rPr>
      </w:pPr>
    </w:p>
    <w:p w:rsidR="00C65FAB" w:rsidRPr="00063D88" w:rsidRDefault="00461DEA" w:rsidP="00E960B0">
      <w:pPr>
        <w:spacing w:line="240" w:lineRule="auto"/>
        <w:ind w:firstLine="0"/>
        <w:rPr>
          <w:rFonts w:ascii="Garamond" w:hAnsi="Garamond"/>
          <w:sz w:val="32"/>
          <w:szCs w:val="32"/>
        </w:rPr>
      </w:pPr>
      <w:r>
        <w:rPr>
          <w:rFonts w:ascii="Garamond" w:hAnsi="Garamond"/>
          <w:sz w:val="32"/>
          <w:szCs w:val="32"/>
        </w:rPr>
        <w:br w:type="page"/>
      </w:r>
    </w:p>
    <w:p w:rsidR="004713E0" w:rsidRPr="00063D88" w:rsidRDefault="004713E0" w:rsidP="00E960B0">
      <w:pPr>
        <w:pStyle w:val="Titolo2"/>
        <w:spacing w:before="0"/>
        <w:ind w:left="709" w:hanging="709"/>
        <w:rPr>
          <w:rFonts w:ascii="Garamond" w:hAnsi="Garamond"/>
          <w:i/>
          <w:color w:val="0000FF"/>
          <w:sz w:val="40"/>
          <w:szCs w:val="40"/>
        </w:rPr>
      </w:pPr>
      <w:bookmarkStart w:id="81" w:name="_Toc337653473"/>
      <w:bookmarkStart w:id="82" w:name="_Toc342035930"/>
      <w:bookmarkStart w:id="83" w:name="_Toc384976867"/>
      <w:bookmarkStart w:id="84" w:name="_Toc439082245"/>
      <w:bookmarkStart w:id="85" w:name="_Toc439953661"/>
      <w:bookmarkStart w:id="86" w:name="_Toc440030375"/>
      <w:bookmarkStart w:id="87" w:name="_Toc389580488"/>
      <w:bookmarkStart w:id="88" w:name="_Toc389580561"/>
      <w:r w:rsidRPr="00063D88">
        <w:rPr>
          <w:rFonts w:ascii="Garamond" w:hAnsi="Garamond"/>
          <w:i/>
          <w:color w:val="0000FF"/>
          <w:sz w:val="40"/>
          <w:szCs w:val="40"/>
        </w:rPr>
        <w:lastRenderedPageBreak/>
        <w:t>4.</w:t>
      </w:r>
      <w:r>
        <w:rPr>
          <w:rFonts w:ascii="Garamond" w:hAnsi="Garamond"/>
          <w:i/>
          <w:color w:val="0000FF"/>
          <w:sz w:val="40"/>
          <w:szCs w:val="40"/>
        </w:rPr>
        <w:t>6</w:t>
      </w:r>
      <w:r w:rsidRPr="00063D88">
        <w:rPr>
          <w:rFonts w:ascii="Garamond" w:hAnsi="Garamond"/>
          <w:i/>
          <w:color w:val="0000FF"/>
          <w:sz w:val="40"/>
          <w:szCs w:val="40"/>
        </w:rPr>
        <w:t>. Richiami alla legge n. 400 del 1988</w:t>
      </w:r>
      <w:bookmarkEnd w:id="81"/>
      <w:bookmarkEnd w:id="82"/>
      <w:bookmarkEnd w:id="83"/>
      <w:bookmarkEnd w:id="84"/>
      <w:bookmarkEnd w:id="85"/>
      <w:bookmarkEnd w:id="86"/>
    </w:p>
    <w:p w:rsidR="004713E0" w:rsidRDefault="004713E0" w:rsidP="004713E0">
      <w:pPr>
        <w:rPr>
          <w:rFonts w:ascii="Garamond" w:hAnsi="Garamond"/>
          <w:sz w:val="32"/>
          <w:szCs w:val="32"/>
        </w:rPr>
      </w:pPr>
      <w:r w:rsidRPr="00063D88">
        <w:rPr>
          <w:rFonts w:ascii="Garamond" w:hAnsi="Garamond"/>
          <w:sz w:val="32"/>
          <w:szCs w:val="32"/>
        </w:rPr>
        <w:t xml:space="preserve">Nel periodo di riferimento del presente rapporto, </w:t>
      </w:r>
      <w:r w:rsidR="009B4271">
        <w:rPr>
          <w:rFonts w:ascii="Garamond" w:hAnsi="Garamond"/>
          <w:b/>
          <w:color w:val="800000"/>
          <w:sz w:val="32"/>
          <w:szCs w:val="32"/>
        </w:rPr>
        <w:t>9</w:t>
      </w:r>
      <w:r w:rsidRPr="00063D88">
        <w:rPr>
          <w:rFonts w:ascii="Garamond" w:hAnsi="Garamond"/>
          <w:sz w:val="32"/>
          <w:szCs w:val="32"/>
        </w:rPr>
        <w:t xml:space="preserve"> pareri sui </w:t>
      </w:r>
      <w:r w:rsidR="009B4271">
        <w:rPr>
          <w:rFonts w:ascii="Garamond" w:hAnsi="Garamond"/>
          <w:b/>
          <w:color w:val="0000FF"/>
          <w:sz w:val="32"/>
          <w:szCs w:val="32"/>
        </w:rPr>
        <w:t>27</w:t>
      </w:r>
      <w:r w:rsidRPr="00063D88">
        <w:rPr>
          <w:rFonts w:ascii="Garamond" w:hAnsi="Garamond"/>
          <w:sz w:val="32"/>
          <w:szCs w:val="32"/>
        </w:rPr>
        <w:t xml:space="preserve"> espressi richiamano espressamente almeno un articolo della legge n. 400 del 1988, a testimonianza dell’attenzione posta dal Comitato sul sistema delle fonti.</w:t>
      </w:r>
    </w:p>
    <w:p w:rsidR="004713E0" w:rsidRPr="00063D88" w:rsidRDefault="004713E0" w:rsidP="004713E0">
      <w:pPr>
        <w:rPr>
          <w:rFonts w:ascii="Garamond" w:hAnsi="Garamond"/>
          <w:sz w:val="32"/>
          <w:szCs w:val="32"/>
        </w:rPr>
      </w:pPr>
    </w:p>
    <w:p w:rsidR="004713E0" w:rsidRDefault="004713E0" w:rsidP="004713E0">
      <w:pPr>
        <w:rPr>
          <w:rFonts w:ascii="Garamond" w:hAnsi="Garamond"/>
          <w:sz w:val="32"/>
          <w:szCs w:val="32"/>
        </w:rPr>
      </w:pPr>
      <w:r w:rsidRPr="00063D88">
        <w:rPr>
          <w:rFonts w:ascii="Garamond" w:hAnsi="Garamond"/>
          <w:sz w:val="32"/>
          <w:szCs w:val="32"/>
        </w:rPr>
        <w:t xml:space="preserve">Si tratta di </w:t>
      </w:r>
      <w:r w:rsidR="009B4271">
        <w:rPr>
          <w:rFonts w:ascii="Garamond" w:hAnsi="Garamond"/>
          <w:b/>
          <w:bCs/>
          <w:color w:val="993300"/>
          <w:sz w:val="32"/>
          <w:szCs w:val="32"/>
        </w:rPr>
        <w:t>7</w:t>
      </w:r>
      <w:r w:rsidRPr="00063D88">
        <w:rPr>
          <w:rFonts w:ascii="Garamond" w:hAnsi="Garamond"/>
          <w:color w:val="FF0000"/>
          <w:sz w:val="32"/>
          <w:szCs w:val="32"/>
        </w:rPr>
        <w:t xml:space="preserve"> </w:t>
      </w:r>
      <w:r w:rsidRPr="00063D88">
        <w:rPr>
          <w:rFonts w:ascii="Garamond" w:hAnsi="Garamond"/>
          <w:sz w:val="32"/>
          <w:szCs w:val="32"/>
        </w:rPr>
        <w:t xml:space="preserve">pareri espressi su </w:t>
      </w:r>
      <w:r w:rsidRPr="008D51D4">
        <w:rPr>
          <w:rFonts w:ascii="Garamond" w:hAnsi="Garamond"/>
          <w:bCs/>
          <w:iCs/>
          <w:sz w:val="32"/>
          <w:szCs w:val="32"/>
        </w:rPr>
        <w:t>disegni di legge di conversione</w:t>
      </w:r>
      <w:r>
        <w:rPr>
          <w:rFonts w:ascii="Garamond" w:hAnsi="Garamond"/>
          <w:bCs/>
          <w:iCs/>
          <w:sz w:val="32"/>
          <w:szCs w:val="32"/>
        </w:rPr>
        <w:t xml:space="preserve"> e</w:t>
      </w:r>
      <w:r w:rsidRPr="00063D88">
        <w:rPr>
          <w:rFonts w:ascii="Garamond" w:hAnsi="Garamond"/>
          <w:sz w:val="32"/>
          <w:szCs w:val="32"/>
        </w:rPr>
        <w:t xml:space="preserve"> di </w:t>
      </w:r>
      <w:r w:rsidR="009B4271">
        <w:rPr>
          <w:rFonts w:ascii="Garamond" w:hAnsi="Garamond"/>
          <w:b/>
          <w:color w:val="993300"/>
          <w:sz w:val="32"/>
          <w:szCs w:val="32"/>
        </w:rPr>
        <w:t>2</w:t>
      </w:r>
      <w:r w:rsidRPr="00063D88">
        <w:rPr>
          <w:rFonts w:ascii="Garamond" w:hAnsi="Garamond"/>
          <w:sz w:val="32"/>
          <w:szCs w:val="32"/>
        </w:rPr>
        <w:t xml:space="preserve"> pareri espressi su progetti di legge contenenti disposizioni di delega</w:t>
      </w:r>
      <w:r>
        <w:rPr>
          <w:rFonts w:ascii="Garamond" w:hAnsi="Garamond"/>
          <w:sz w:val="32"/>
          <w:szCs w:val="32"/>
        </w:rPr>
        <w:t>.</w:t>
      </w:r>
      <w:r w:rsidRPr="00063D88">
        <w:rPr>
          <w:rFonts w:ascii="Garamond" w:hAnsi="Garamond"/>
          <w:sz w:val="32"/>
          <w:szCs w:val="32"/>
        </w:rPr>
        <w:t xml:space="preserve"> </w:t>
      </w:r>
    </w:p>
    <w:p w:rsidR="004713E0" w:rsidRPr="00063D88" w:rsidRDefault="004713E0" w:rsidP="004713E0">
      <w:pPr>
        <w:rPr>
          <w:rFonts w:ascii="Garamond" w:hAnsi="Garamond"/>
          <w:sz w:val="32"/>
          <w:szCs w:val="32"/>
        </w:rPr>
      </w:pPr>
    </w:p>
    <w:p w:rsidR="004713E0" w:rsidRDefault="004713E0" w:rsidP="004713E0">
      <w:pPr>
        <w:rPr>
          <w:rFonts w:ascii="Garamond" w:hAnsi="Garamond"/>
          <w:sz w:val="32"/>
          <w:szCs w:val="32"/>
        </w:rPr>
      </w:pPr>
      <w:r>
        <w:rPr>
          <w:rFonts w:ascii="Garamond" w:hAnsi="Garamond"/>
          <w:sz w:val="32"/>
          <w:szCs w:val="32"/>
        </w:rPr>
        <w:t xml:space="preserve">La tabella che segue </w:t>
      </w:r>
      <w:r w:rsidRPr="00063D88">
        <w:rPr>
          <w:rFonts w:ascii="Garamond" w:hAnsi="Garamond"/>
          <w:sz w:val="32"/>
          <w:szCs w:val="32"/>
        </w:rPr>
        <w:t>dà conto dei richiami alle disposizioni della legge n. 400 del 1988 operate dai pareri espressi nel periodo di riferimento.</w:t>
      </w:r>
    </w:p>
    <w:p w:rsidR="00B50F57" w:rsidRDefault="00B50F57" w:rsidP="004713E0">
      <w:pPr>
        <w:rPr>
          <w:rFonts w:ascii="Garamond" w:hAnsi="Garamond"/>
          <w:sz w:val="32"/>
          <w:szCs w:val="32"/>
        </w:rPr>
        <w:sectPr w:rsidR="00B50F57" w:rsidSect="00E83D04">
          <w:pgSz w:w="11906" w:h="16838" w:code="9"/>
          <w:pgMar w:top="1985" w:right="1985" w:bottom="1985" w:left="1985" w:header="1134" w:footer="1134" w:gutter="0"/>
          <w:cols w:space="720"/>
          <w:formProt w:val="0"/>
        </w:sectPr>
      </w:pPr>
    </w:p>
    <w:p w:rsidR="004713E0" w:rsidRPr="00063D88" w:rsidRDefault="004713E0" w:rsidP="004713E0">
      <w:pPr>
        <w:pStyle w:val="Titolo3"/>
        <w:jc w:val="center"/>
        <w:rPr>
          <w:rFonts w:ascii="Garamond" w:hAnsi="Garamond"/>
          <w:color w:val="0000FF"/>
          <w:sz w:val="36"/>
          <w:szCs w:val="36"/>
        </w:rPr>
      </w:pPr>
      <w:r w:rsidRPr="00063D88">
        <w:rPr>
          <w:rFonts w:ascii="Garamond" w:hAnsi="Garamond"/>
          <w:color w:val="0000FF"/>
          <w:sz w:val="36"/>
          <w:szCs w:val="36"/>
        </w:rPr>
        <w:lastRenderedPageBreak/>
        <w:t>Gli articoli del</w:t>
      </w:r>
      <w:r w:rsidR="006D669D">
        <w:rPr>
          <w:rFonts w:ascii="Garamond" w:hAnsi="Garamond"/>
          <w:color w:val="0000FF"/>
          <w:sz w:val="36"/>
          <w:szCs w:val="36"/>
        </w:rPr>
        <w:t>la legge n. 400/1988 richiamati</w:t>
      </w:r>
      <w:r w:rsidR="006D669D">
        <w:rPr>
          <w:rFonts w:ascii="Garamond" w:hAnsi="Garamond"/>
          <w:color w:val="0000FF"/>
          <w:sz w:val="36"/>
          <w:szCs w:val="36"/>
        </w:rPr>
        <w:br/>
      </w:r>
      <w:r w:rsidRPr="00063D88">
        <w:rPr>
          <w:rFonts w:ascii="Garamond" w:hAnsi="Garamond"/>
          <w:color w:val="0000FF"/>
          <w:sz w:val="36"/>
          <w:szCs w:val="36"/>
        </w:rPr>
        <w:t>nei pareri del Comitato</w:t>
      </w:r>
    </w:p>
    <w:p w:rsidR="004713E0" w:rsidRDefault="004713E0" w:rsidP="004713E0">
      <w:pPr>
        <w:keepNext/>
        <w:rPr>
          <w:rFonts w:ascii="Garamond" w:hAnsi="Garamond"/>
          <w:sz w:val="28"/>
          <w:szCs w:val="28"/>
        </w:rPr>
      </w:pPr>
    </w:p>
    <w:tbl>
      <w:tblPr>
        <w:tblW w:w="5000" w:type="pct"/>
        <w:jc w:val="center"/>
        <w:tblCellMar>
          <w:left w:w="70" w:type="dxa"/>
          <w:right w:w="70" w:type="dxa"/>
        </w:tblCellMar>
        <w:tblLook w:val="0000" w:firstRow="0" w:lastRow="0" w:firstColumn="0" w:lastColumn="0" w:noHBand="0" w:noVBand="0"/>
      </w:tblPr>
      <w:tblGrid>
        <w:gridCol w:w="3681"/>
        <w:gridCol w:w="4395"/>
      </w:tblGrid>
      <w:tr w:rsidR="004713E0" w:rsidRPr="00C46FCF" w:rsidTr="00E960B0">
        <w:trPr>
          <w:trHeight w:val="567"/>
          <w:tblHeader/>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FFFF99"/>
            <w:vAlign w:val="center"/>
          </w:tcPr>
          <w:p w:rsidR="004713E0" w:rsidRPr="00C46FCF" w:rsidRDefault="004713E0" w:rsidP="00AB5089">
            <w:pPr>
              <w:spacing w:line="240" w:lineRule="auto"/>
              <w:ind w:firstLine="0"/>
              <w:jc w:val="center"/>
              <w:rPr>
                <w:rFonts w:ascii="Garamond" w:hAnsi="Garamond" w:cs="Arial"/>
                <w:b/>
                <w:bCs/>
                <w:color w:val="0000FF"/>
                <w:sz w:val="32"/>
                <w:szCs w:val="32"/>
              </w:rPr>
            </w:pPr>
            <w:r w:rsidRPr="00C46FCF">
              <w:rPr>
                <w:rFonts w:ascii="Garamond" w:hAnsi="Garamond" w:cs="Arial"/>
                <w:b/>
                <w:bCs/>
                <w:color w:val="0000FF"/>
                <w:sz w:val="32"/>
                <w:szCs w:val="32"/>
              </w:rPr>
              <w:t>Pareri contenenti richiami alla L. 400/1988</w:t>
            </w:r>
          </w:p>
        </w:tc>
      </w:tr>
      <w:tr w:rsidR="00262436" w:rsidRPr="00C46FCF" w:rsidTr="00262436">
        <w:trPr>
          <w:trHeight w:val="737"/>
          <w:tblHeader/>
          <w:jc w:val="center"/>
        </w:trPr>
        <w:tc>
          <w:tcPr>
            <w:tcW w:w="2279" w:type="pct"/>
            <w:tcBorders>
              <w:top w:val="nil"/>
              <w:left w:val="single" w:sz="8" w:space="0" w:color="auto"/>
              <w:bottom w:val="single" w:sz="8" w:space="0" w:color="auto"/>
              <w:right w:val="single" w:sz="4" w:space="0" w:color="auto"/>
            </w:tcBorders>
            <w:shd w:val="clear" w:color="auto" w:fill="FFFF99"/>
            <w:vAlign w:val="center"/>
          </w:tcPr>
          <w:p w:rsidR="00262436" w:rsidRPr="00C46FCF" w:rsidRDefault="00262436" w:rsidP="00AB5089">
            <w:pPr>
              <w:spacing w:line="240" w:lineRule="auto"/>
              <w:ind w:firstLine="0"/>
              <w:jc w:val="center"/>
              <w:rPr>
                <w:rFonts w:ascii="Garamond" w:hAnsi="Garamond" w:cs="Arial"/>
                <w:b/>
                <w:bCs/>
                <w:color w:val="0000FF"/>
                <w:sz w:val="24"/>
                <w:szCs w:val="24"/>
              </w:rPr>
            </w:pPr>
            <w:r w:rsidRPr="00C46FCF">
              <w:rPr>
                <w:rFonts w:ascii="Garamond" w:hAnsi="Garamond" w:cs="Arial"/>
                <w:b/>
                <w:bCs/>
                <w:color w:val="0000FF"/>
                <w:sz w:val="24"/>
                <w:szCs w:val="24"/>
              </w:rPr>
              <w:t>Riferimento normativo</w:t>
            </w:r>
          </w:p>
        </w:tc>
        <w:tc>
          <w:tcPr>
            <w:tcW w:w="2721" w:type="pct"/>
            <w:tcBorders>
              <w:top w:val="nil"/>
              <w:left w:val="nil"/>
              <w:bottom w:val="single" w:sz="8" w:space="0" w:color="auto"/>
              <w:right w:val="single" w:sz="8" w:space="0" w:color="auto"/>
            </w:tcBorders>
            <w:shd w:val="clear" w:color="auto" w:fill="FFFF99"/>
            <w:vAlign w:val="center"/>
          </w:tcPr>
          <w:p w:rsidR="00262436" w:rsidRPr="00C46FCF" w:rsidRDefault="00262436" w:rsidP="00AB5089">
            <w:pPr>
              <w:spacing w:line="240" w:lineRule="auto"/>
              <w:ind w:firstLine="0"/>
              <w:jc w:val="center"/>
              <w:rPr>
                <w:rFonts w:ascii="Garamond" w:hAnsi="Garamond" w:cs="Arial"/>
                <w:b/>
                <w:bCs/>
                <w:color w:val="0000FF"/>
                <w:sz w:val="24"/>
                <w:szCs w:val="24"/>
              </w:rPr>
            </w:pPr>
            <w:r w:rsidRPr="00C46FCF">
              <w:rPr>
                <w:rFonts w:ascii="Garamond" w:hAnsi="Garamond" w:cs="Arial"/>
                <w:b/>
                <w:bCs/>
                <w:color w:val="0000FF"/>
                <w:sz w:val="24"/>
                <w:szCs w:val="24"/>
              </w:rPr>
              <w:t>Num. pareri</w:t>
            </w:r>
          </w:p>
        </w:tc>
      </w:tr>
      <w:tr w:rsidR="00262436" w:rsidRPr="00542EC5"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542EC5" w:rsidRDefault="00262436" w:rsidP="00AB5089">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art. 11, co. 2</w:t>
            </w:r>
            <w:r w:rsidRPr="00542EC5">
              <w:rPr>
                <w:rFonts w:ascii="Garamond" w:hAnsi="Garamond" w:cs="Arial"/>
                <w:b/>
                <w:bCs/>
                <w:color w:val="0000FF"/>
                <w:sz w:val="24"/>
                <w:szCs w:val="24"/>
              </w:rPr>
              <w:br/>
            </w:r>
            <w:r w:rsidR="0057307A" w:rsidRPr="00542EC5">
              <w:rPr>
                <w:rFonts w:ascii="Garamond" w:hAnsi="Garamond" w:cs="Arial"/>
                <w:color w:val="0000FF"/>
                <w:sz w:val="24"/>
                <w:szCs w:val="24"/>
              </w:rPr>
              <w:t>Commissario straordinario</w:t>
            </w:r>
            <w:r w:rsidRPr="00542EC5">
              <w:rPr>
                <w:rFonts w:ascii="Garamond" w:hAnsi="Garamond" w:cs="Arial"/>
                <w:color w:val="0000FF"/>
                <w:sz w:val="24"/>
                <w:szCs w:val="24"/>
              </w:rPr>
              <w:t xml:space="preserve"> di Gov</w:t>
            </w:r>
            <w:r w:rsidR="0057307A" w:rsidRPr="00542EC5">
              <w:rPr>
                <w:rFonts w:ascii="Garamond" w:hAnsi="Garamond" w:cs="Arial"/>
                <w:color w:val="0000FF"/>
                <w:sz w:val="24"/>
                <w:szCs w:val="24"/>
              </w:rPr>
              <w:t>erno</w:t>
            </w:r>
          </w:p>
        </w:tc>
        <w:tc>
          <w:tcPr>
            <w:tcW w:w="2721" w:type="pct"/>
            <w:tcBorders>
              <w:top w:val="nil"/>
              <w:left w:val="nil"/>
              <w:bottom w:val="single" w:sz="4"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1</w:t>
            </w:r>
          </w:p>
        </w:tc>
      </w:tr>
      <w:tr w:rsidR="00262436" w:rsidRPr="00542EC5"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542EC5" w:rsidRDefault="00262436" w:rsidP="00AB5089">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art. 13-</w:t>
            </w:r>
            <w:r w:rsidRPr="00542EC5">
              <w:rPr>
                <w:rFonts w:ascii="Garamond" w:hAnsi="Garamond" w:cs="Arial"/>
                <w:b/>
                <w:bCs/>
                <w:i/>
                <w:iCs/>
                <w:color w:val="0000FF"/>
                <w:sz w:val="24"/>
                <w:szCs w:val="24"/>
              </w:rPr>
              <w:t>bis</w:t>
            </w:r>
            <w:r w:rsidRPr="00542EC5">
              <w:rPr>
                <w:rFonts w:ascii="Garamond" w:hAnsi="Garamond" w:cs="Arial"/>
                <w:b/>
                <w:bCs/>
                <w:color w:val="0000FF"/>
                <w:sz w:val="24"/>
                <w:szCs w:val="24"/>
              </w:rPr>
              <w:br/>
            </w:r>
            <w:r w:rsidRPr="00542EC5">
              <w:rPr>
                <w:rFonts w:ascii="Garamond" w:hAnsi="Garamond" w:cs="Arial"/>
                <w:color w:val="0000FF"/>
                <w:sz w:val="24"/>
                <w:szCs w:val="24"/>
              </w:rPr>
              <w:t>Chiarezza testi normativi</w:t>
            </w:r>
          </w:p>
        </w:tc>
        <w:tc>
          <w:tcPr>
            <w:tcW w:w="2721" w:type="pct"/>
            <w:tcBorders>
              <w:top w:val="nil"/>
              <w:left w:val="nil"/>
              <w:bottom w:val="single" w:sz="4"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1</w:t>
            </w:r>
          </w:p>
        </w:tc>
      </w:tr>
      <w:tr w:rsidR="00262436" w:rsidRPr="00542EC5"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542EC5" w:rsidRDefault="00262436" w:rsidP="00AB5089">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 xml:space="preserve">Art. 15, </w:t>
            </w:r>
            <w:r w:rsidRPr="00542EC5">
              <w:rPr>
                <w:rFonts w:ascii="Garamond" w:hAnsi="Garamond" w:cs="Arial"/>
                <w:bCs/>
                <w:color w:val="0000FF"/>
                <w:sz w:val="24"/>
                <w:szCs w:val="24"/>
              </w:rPr>
              <w:t>con particolare riguardo al comma 1</w:t>
            </w:r>
          </w:p>
        </w:tc>
        <w:tc>
          <w:tcPr>
            <w:tcW w:w="2721" w:type="pct"/>
            <w:tcBorders>
              <w:top w:val="nil"/>
              <w:left w:val="nil"/>
              <w:bottom w:val="single" w:sz="4"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1</w:t>
            </w:r>
          </w:p>
        </w:tc>
      </w:tr>
      <w:tr w:rsidR="00262436" w:rsidRPr="00542EC5"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542EC5" w:rsidRDefault="00262436" w:rsidP="00AB5089">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 xml:space="preserve">art. 15, co. 2, </w:t>
            </w:r>
            <w:r w:rsidRPr="00542EC5">
              <w:rPr>
                <w:rFonts w:ascii="Garamond" w:hAnsi="Garamond" w:cs="Arial"/>
                <w:b/>
                <w:bCs/>
                <w:i/>
                <w:iCs/>
                <w:color w:val="0000FF"/>
                <w:sz w:val="24"/>
                <w:szCs w:val="24"/>
              </w:rPr>
              <w:t>a)</w:t>
            </w:r>
            <w:r w:rsidRPr="00542EC5">
              <w:rPr>
                <w:rFonts w:ascii="Garamond" w:hAnsi="Garamond" w:cs="Arial"/>
                <w:b/>
                <w:bCs/>
                <w:color w:val="0000FF"/>
                <w:sz w:val="24"/>
                <w:szCs w:val="24"/>
              </w:rPr>
              <w:br/>
            </w:r>
            <w:r w:rsidRPr="00542EC5">
              <w:rPr>
                <w:rFonts w:ascii="Garamond" w:hAnsi="Garamond" w:cs="Arial"/>
                <w:color w:val="0000FF"/>
                <w:sz w:val="24"/>
                <w:szCs w:val="24"/>
              </w:rPr>
              <w:t>Deleghe in DL</w:t>
            </w:r>
          </w:p>
        </w:tc>
        <w:tc>
          <w:tcPr>
            <w:tcW w:w="2721" w:type="pct"/>
            <w:tcBorders>
              <w:top w:val="nil"/>
              <w:left w:val="nil"/>
              <w:bottom w:val="single" w:sz="4"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1</w:t>
            </w:r>
          </w:p>
        </w:tc>
      </w:tr>
      <w:tr w:rsidR="00262436" w:rsidRPr="00542EC5"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542EC5" w:rsidRDefault="00262436" w:rsidP="009B4271">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 xml:space="preserve">Art. 15, comma 2, lett. b) </w:t>
            </w:r>
            <w:r w:rsidRPr="00542EC5">
              <w:rPr>
                <w:rFonts w:ascii="Garamond" w:hAnsi="Garamond" w:cs="Arial"/>
                <w:b/>
                <w:bCs/>
                <w:color w:val="0000FF"/>
                <w:sz w:val="24"/>
                <w:szCs w:val="24"/>
              </w:rPr>
              <w:br/>
            </w:r>
            <w:r w:rsidRPr="00542EC5">
              <w:rPr>
                <w:rFonts w:ascii="Garamond" w:hAnsi="Garamond" w:cs="Arial"/>
                <w:bCs/>
                <w:color w:val="0000FF"/>
                <w:sz w:val="24"/>
                <w:szCs w:val="24"/>
              </w:rPr>
              <w:t>Limiti di contenuto</w:t>
            </w:r>
          </w:p>
        </w:tc>
        <w:tc>
          <w:tcPr>
            <w:tcW w:w="2721" w:type="pct"/>
            <w:tcBorders>
              <w:top w:val="nil"/>
              <w:left w:val="nil"/>
              <w:bottom w:val="single" w:sz="4"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1</w:t>
            </w:r>
          </w:p>
        </w:tc>
      </w:tr>
      <w:tr w:rsidR="00262436" w:rsidRPr="00542EC5"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542EC5" w:rsidRDefault="00262436" w:rsidP="00AB5089">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art. 15, co. 3</w:t>
            </w:r>
            <w:r w:rsidRPr="00542EC5">
              <w:rPr>
                <w:rFonts w:ascii="Garamond" w:hAnsi="Garamond" w:cs="Arial"/>
                <w:b/>
                <w:bCs/>
                <w:color w:val="0000FF"/>
                <w:sz w:val="24"/>
                <w:szCs w:val="24"/>
              </w:rPr>
              <w:br/>
            </w:r>
            <w:r w:rsidRPr="00542EC5">
              <w:rPr>
                <w:rFonts w:ascii="Garamond" w:hAnsi="Garamond" w:cs="Arial"/>
                <w:color w:val="0000FF"/>
                <w:sz w:val="24"/>
                <w:szCs w:val="24"/>
              </w:rPr>
              <w:t>Immediata applicazione</w:t>
            </w:r>
          </w:p>
        </w:tc>
        <w:tc>
          <w:tcPr>
            <w:tcW w:w="2721" w:type="pct"/>
            <w:tcBorders>
              <w:top w:val="nil"/>
              <w:left w:val="nil"/>
              <w:bottom w:val="single" w:sz="4"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2</w:t>
            </w:r>
          </w:p>
        </w:tc>
      </w:tr>
      <w:tr w:rsidR="00262436" w:rsidRPr="00542EC5"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542EC5" w:rsidRDefault="00262436" w:rsidP="00AB5089">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art. 17, co. 1</w:t>
            </w:r>
            <w:r w:rsidRPr="00542EC5">
              <w:rPr>
                <w:rFonts w:ascii="Garamond" w:hAnsi="Garamond" w:cs="Arial"/>
                <w:b/>
                <w:bCs/>
                <w:color w:val="0000FF"/>
                <w:sz w:val="24"/>
                <w:szCs w:val="24"/>
              </w:rPr>
              <w:br/>
            </w:r>
            <w:r w:rsidRPr="00542EC5">
              <w:rPr>
                <w:rFonts w:ascii="Garamond" w:hAnsi="Garamond" w:cs="Arial"/>
                <w:color w:val="0000FF"/>
                <w:sz w:val="24"/>
                <w:szCs w:val="24"/>
              </w:rPr>
              <w:t>Reg. esec., att. integ., indip. (DPR)</w:t>
            </w:r>
          </w:p>
        </w:tc>
        <w:tc>
          <w:tcPr>
            <w:tcW w:w="2721" w:type="pct"/>
            <w:tcBorders>
              <w:top w:val="nil"/>
              <w:left w:val="nil"/>
              <w:bottom w:val="single" w:sz="4"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1</w:t>
            </w:r>
          </w:p>
        </w:tc>
      </w:tr>
      <w:tr w:rsidR="00262436" w:rsidRPr="00542EC5"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542EC5" w:rsidRDefault="00262436" w:rsidP="00AB5089">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art. 17, co. 2</w:t>
            </w:r>
            <w:r w:rsidRPr="00542EC5">
              <w:rPr>
                <w:rFonts w:ascii="Garamond" w:hAnsi="Garamond" w:cs="Arial"/>
                <w:b/>
                <w:bCs/>
                <w:color w:val="0000FF"/>
                <w:sz w:val="24"/>
                <w:szCs w:val="24"/>
              </w:rPr>
              <w:br/>
            </w:r>
            <w:r w:rsidRPr="00542EC5">
              <w:rPr>
                <w:rFonts w:ascii="Garamond" w:hAnsi="Garamond" w:cs="Arial"/>
                <w:color w:val="0000FF"/>
                <w:sz w:val="24"/>
                <w:szCs w:val="24"/>
              </w:rPr>
              <w:t>Reg. delegif. (DPR)</w:t>
            </w:r>
          </w:p>
        </w:tc>
        <w:tc>
          <w:tcPr>
            <w:tcW w:w="2721" w:type="pct"/>
            <w:tcBorders>
              <w:top w:val="nil"/>
              <w:left w:val="nil"/>
              <w:bottom w:val="single" w:sz="4"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2</w:t>
            </w:r>
          </w:p>
        </w:tc>
      </w:tr>
      <w:tr w:rsidR="00262436" w:rsidRPr="00542EC5"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542EC5" w:rsidRDefault="00262436" w:rsidP="00AB5089">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art. 17, co. 3</w:t>
            </w:r>
            <w:r w:rsidRPr="00542EC5">
              <w:rPr>
                <w:rFonts w:ascii="Garamond" w:hAnsi="Garamond" w:cs="Arial"/>
                <w:b/>
                <w:bCs/>
                <w:color w:val="0000FF"/>
                <w:sz w:val="24"/>
                <w:szCs w:val="24"/>
              </w:rPr>
              <w:br/>
            </w:r>
            <w:r w:rsidRPr="00542EC5">
              <w:rPr>
                <w:rFonts w:ascii="Garamond" w:hAnsi="Garamond" w:cs="Arial"/>
                <w:color w:val="0000FF"/>
                <w:sz w:val="24"/>
                <w:szCs w:val="24"/>
              </w:rPr>
              <w:t>Reg. settoriali (DM)</w:t>
            </w:r>
          </w:p>
        </w:tc>
        <w:tc>
          <w:tcPr>
            <w:tcW w:w="2721" w:type="pct"/>
            <w:tcBorders>
              <w:top w:val="nil"/>
              <w:left w:val="nil"/>
              <w:bottom w:val="single" w:sz="4"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1</w:t>
            </w:r>
          </w:p>
        </w:tc>
      </w:tr>
      <w:tr w:rsidR="00262436" w:rsidRPr="00542EC5"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542EC5" w:rsidRDefault="00262436" w:rsidP="00AB5089">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art. 17, co. 4-</w:t>
            </w:r>
            <w:r w:rsidRPr="00542EC5">
              <w:rPr>
                <w:rFonts w:ascii="Garamond" w:hAnsi="Garamond" w:cs="Arial"/>
                <w:b/>
                <w:bCs/>
                <w:i/>
                <w:iCs/>
                <w:color w:val="0000FF"/>
                <w:sz w:val="24"/>
                <w:szCs w:val="24"/>
              </w:rPr>
              <w:t>bis</w:t>
            </w:r>
            <w:r w:rsidRPr="00542EC5">
              <w:rPr>
                <w:rFonts w:ascii="Garamond" w:hAnsi="Garamond" w:cs="Arial"/>
                <w:b/>
                <w:bCs/>
                <w:color w:val="0000FF"/>
                <w:sz w:val="24"/>
                <w:szCs w:val="24"/>
              </w:rPr>
              <w:br/>
            </w:r>
            <w:r w:rsidRPr="00542EC5">
              <w:rPr>
                <w:rFonts w:ascii="Garamond" w:hAnsi="Garamond" w:cs="Arial"/>
                <w:color w:val="0000FF"/>
                <w:sz w:val="24"/>
                <w:szCs w:val="24"/>
              </w:rPr>
              <w:t>Org. Uffici e Ammin.</w:t>
            </w:r>
          </w:p>
        </w:tc>
        <w:tc>
          <w:tcPr>
            <w:tcW w:w="2721" w:type="pct"/>
            <w:tcBorders>
              <w:top w:val="nil"/>
              <w:left w:val="nil"/>
              <w:bottom w:val="single" w:sz="4"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1</w:t>
            </w:r>
          </w:p>
        </w:tc>
      </w:tr>
      <w:tr w:rsidR="00262436" w:rsidRPr="00542EC5" w:rsidTr="00262436">
        <w:trPr>
          <w:trHeight w:val="737"/>
          <w:jc w:val="center"/>
        </w:trPr>
        <w:tc>
          <w:tcPr>
            <w:tcW w:w="2279" w:type="pct"/>
            <w:tcBorders>
              <w:top w:val="nil"/>
              <w:left w:val="single" w:sz="8" w:space="0" w:color="auto"/>
              <w:bottom w:val="single" w:sz="8" w:space="0" w:color="auto"/>
              <w:right w:val="single" w:sz="8" w:space="0" w:color="auto"/>
            </w:tcBorders>
            <w:shd w:val="clear" w:color="auto" w:fill="FFFF99"/>
            <w:vAlign w:val="center"/>
          </w:tcPr>
          <w:p w:rsidR="00262436" w:rsidRPr="00542EC5" w:rsidRDefault="00262436" w:rsidP="009B4271">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art. 17, co. 4-</w:t>
            </w:r>
            <w:r w:rsidRPr="00542EC5">
              <w:rPr>
                <w:rFonts w:ascii="Garamond" w:hAnsi="Garamond" w:cs="Arial"/>
                <w:b/>
                <w:bCs/>
                <w:i/>
                <w:iCs/>
                <w:color w:val="0000FF"/>
                <w:sz w:val="24"/>
                <w:szCs w:val="24"/>
              </w:rPr>
              <w:t>ter</w:t>
            </w:r>
            <w:r w:rsidRPr="00542EC5">
              <w:rPr>
                <w:rFonts w:ascii="Garamond" w:hAnsi="Garamond" w:cs="Arial"/>
                <w:b/>
                <w:bCs/>
                <w:color w:val="0000FF"/>
                <w:sz w:val="24"/>
                <w:szCs w:val="24"/>
              </w:rPr>
              <w:br/>
            </w:r>
            <w:r w:rsidRPr="00542EC5">
              <w:rPr>
                <w:rFonts w:ascii="Garamond" w:hAnsi="Garamond" w:cs="Arial"/>
                <w:color w:val="0000FF"/>
                <w:sz w:val="24"/>
                <w:szCs w:val="24"/>
              </w:rPr>
              <w:t>riordino fonti regolamentari</w:t>
            </w:r>
          </w:p>
        </w:tc>
        <w:tc>
          <w:tcPr>
            <w:tcW w:w="2721" w:type="pct"/>
            <w:tcBorders>
              <w:top w:val="nil"/>
              <w:left w:val="nil"/>
              <w:bottom w:val="single" w:sz="8"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1</w:t>
            </w:r>
          </w:p>
        </w:tc>
      </w:tr>
      <w:tr w:rsidR="00262436" w:rsidRPr="00542EC5" w:rsidTr="00262436">
        <w:trPr>
          <w:trHeight w:val="737"/>
          <w:jc w:val="center"/>
        </w:trPr>
        <w:tc>
          <w:tcPr>
            <w:tcW w:w="2279" w:type="pct"/>
            <w:tcBorders>
              <w:top w:val="nil"/>
              <w:left w:val="single" w:sz="8" w:space="0" w:color="auto"/>
              <w:bottom w:val="single" w:sz="8" w:space="0" w:color="auto"/>
              <w:right w:val="single" w:sz="8" w:space="0" w:color="auto"/>
            </w:tcBorders>
            <w:shd w:val="clear" w:color="auto" w:fill="FFFF99"/>
            <w:vAlign w:val="center"/>
          </w:tcPr>
          <w:p w:rsidR="00262436" w:rsidRPr="00542EC5" w:rsidRDefault="00262436" w:rsidP="00AB5089">
            <w:pPr>
              <w:spacing w:line="240" w:lineRule="auto"/>
              <w:ind w:firstLine="0"/>
              <w:jc w:val="left"/>
              <w:rPr>
                <w:rFonts w:ascii="Garamond" w:hAnsi="Garamond" w:cs="Arial"/>
                <w:b/>
                <w:bCs/>
                <w:color w:val="0000FF"/>
                <w:sz w:val="24"/>
                <w:szCs w:val="24"/>
              </w:rPr>
            </w:pPr>
            <w:r w:rsidRPr="00542EC5">
              <w:rPr>
                <w:rFonts w:ascii="Garamond" w:hAnsi="Garamond" w:cs="Arial"/>
                <w:b/>
                <w:bCs/>
                <w:color w:val="0000FF"/>
                <w:sz w:val="24"/>
                <w:szCs w:val="24"/>
              </w:rPr>
              <w:t>art. 17 in generale</w:t>
            </w:r>
            <w:r w:rsidRPr="00542EC5">
              <w:rPr>
                <w:rFonts w:ascii="Garamond" w:hAnsi="Garamond" w:cs="Arial"/>
                <w:b/>
                <w:bCs/>
                <w:color w:val="0000FF"/>
                <w:sz w:val="24"/>
                <w:szCs w:val="24"/>
              </w:rPr>
              <w:br/>
            </w:r>
            <w:r w:rsidRPr="00542EC5">
              <w:rPr>
                <w:rFonts w:ascii="Garamond" w:hAnsi="Garamond" w:cs="Arial"/>
                <w:color w:val="0000FF"/>
                <w:sz w:val="24"/>
                <w:szCs w:val="24"/>
              </w:rPr>
              <w:t>Regolamenti</w:t>
            </w:r>
          </w:p>
        </w:tc>
        <w:tc>
          <w:tcPr>
            <w:tcW w:w="2721" w:type="pct"/>
            <w:tcBorders>
              <w:top w:val="nil"/>
              <w:left w:val="nil"/>
              <w:bottom w:val="single" w:sz="8" w:space="0" w:color="auto"/>
              <w:right w:val="single" w:sz="8" w:space="0" w:color="auto"/>
            </w:tcBorders>
            <w:shd w:val="clear" w:color="auto" w:fill="auto"/>
            <w:noWrap/>
            <w:vAlign w:val="center"/>
          </w:tcPr>
          <w:p w:rsidR="00262436" w:rsidRPr="00542EC5" w:rsidRDefault="00262436" w:rsidP="00B80024">
            <w:pPr>
              <w:spacing w:line="240" w:lineRule="auto"/>
              <w:ind w:firstLine="0"/>
              <w:jc w:val="center"/>
              <w:rPr>
                <w:rFonts w:ascii="Garamond" w:hAnsi="Garamond" w:cs="Arial"/>
                <w:i/>
                <w:sz w:val="28"/>
                <w:szCs w:val="28"/>
              </w:rPr>
            </w:pPr>
            <w:r w:rsidRPr="00542EC5">
              <w:rPr>
                <w:rFonts w:ascii="Garamond" w:hAnsi="Garamond" w:cs="Arial"/>
                <w:b/>
                <w:bCs/>
                <w:sz w:val="28"/>
                <w:szCs w:val="28"/>
              </w:rPr>
              <w:t>2</w:t>
            </w:r>
          </w:p>
        </w:tc>
      </w:tr>
    </w:tbl>
    <w:p w:rsidR="004713E0" w:rsidRPr="00E960B0" w:rsidRDefault="004713E0" w:rsidP="004713E0">
      <w:pPr>
        <w:keepNext/>
        <w:spacing w:line="240" w:lineRule="auto"/>
        <w:ind w:firstLine="0"/>
        <w:rPr>
          <w:rFonts w:ascii="Garamond" w:hAnsi="Garamond"/>
          <w:bCs/>
          <w:color w:val="0000FF"/>
          <w:sz w:val="32"/>
          <w:szCs w:val="32"/>
        </w:rPr>
      </w:pPr>
    </w:p>
    <w:p w:rsidR="004713E0" w:rsidRDefault="004713E0" w:rsidP="00E960B0">
      <w:pPr>
        <w:keepNext/>
        <w:spacing w:line="240" w:lineRule="auto"/>
        <w:rPr>
          <w:rFonts w:ascii="Garamond" w:hAnsi="Garamond"/>
          <w:bCs/>
          <w:sz w:val="32"/>
          <w:szCs w:val="32"/>
        </w:rPr>
      </w:pPr>
      <w:r w:rsidRPr="00B20375">
        <w:rPr>
          <w:rFonts w:ascii="Garamond" w:hAnsi="Garamond"/>
          <w:bCs/>
          <w:sz w:val="32"/>
          <w:szCs w:val="32"/>
        </w:rPr>
        <w:t xml:space="preserve">La </w:t>
      </w:r>
      <w:hyperlink w:anchor="Tab05" w:history="1">
        <w:r w:rsidRPr="0007765B">
          <w:rPr>
            <w:rStyle w:val="Collegamentoipertestuale"/>
            <w:rFonts w:ascii="Garamond" w:hAnsi="Garamond"/>
            <w:bCs/>
            <w:sz w:val="32"/>
            <w:szCs w:val="32"/>
          </w:rPr>
          <w:t xml:space="preserve">tabella </w:t>
        </w:r>
        <w:r w:rsidR="006D669D" w:rsidRPr="0007765B">
          <w:rPr>
            <w:rStyle w:val="Collegamentoipertestuale"/>
            <w:rFonts w:ascii="Garamond" w:hAnsi="Garamond"/>
            <w:bCs/>
            <w:sz w:val="32"/>
            <w:szCs w:val="32"/>
          </w:rPr>
          <w:t>5</w:t>
        </w:r>
      </w:hyperlink>
      <w:r w:rsidRPr="00B20375">
        <w:rPr>
          <w:rFonts w:ascii="Garamond" w:hAnsi="Garamond"/>
          <w:bCs/>
          <w:sz w:val="32"/>
          <w:szCs w:val="32"/>
        </w:rPr>
        <w:t xml:space="preserve"> dà conto nel dettaglio dei richiami alla legge n. 400/1988 contenuti nei singoli pareri espressi dal Comitato.</w:t>
      </w:r>
      <w:r>
        <w:rPr>
          <w:rFonts w:ascii="Garamond" w:hAnsi="Garamond"/>
          <w:bCs/>
          <w:sz w:val="32"/>
          <w:szCs w:val="32"/>
        </w:rPr>
        <w:t xml:space="preserve"> Rimandando </w:t>
      </w:r>
      <w:r w:rsidR="00C06549">
        <w:rPr>
          <w:rFonts w:ascii="Garamond" w:hAnsi="Garamond"/>
          <w:bCs/>
          <w:sz w:val="32"/>
          <w:szCs w:val="32"/>
        </w:rPr>
        <w:t>per l’analisi di dettaglio,</w:t>
      </w:r>
      <w:r w:rsidR="00342791">
        <w:rPr>
          <w:rFonts w:ascii="Garamond" w:hAnsi="Garamond"/>
          <w:bCs/>
          <w:sz w:val="32"/>
          <w:szCs w:val="32"/>
        </w:rPr>
        <w:t xml:space="preserve"> </w:t>
      </w:r>
      <w:r>
        <w:rPr>
          <w:rFonts w:ascii="Garamond" w:hAnsi="Garamond"/>
          <w:bCs/>
          <w:sz w:val="32"/>
          <w:szCs w:val="32"/>
        </w:rPr>
        <w:t xml:space="preserve">alle schede </w:t>
      </w:r>
      <w:r w:rsidR="00C06549">
        <w:rPr>
          <w:rFonts w:ascii="Garamond" w:hAnsi="Garamond"/>
          <w:bCs/>
          <w:sz w:val="32"/>
          <w:szCs w:val="32"/>
        </w:rPr>
        <w:t xml:space="preserve">che saranno allegate al presente rapporto, in formato elettronico, </w:t>
      </w:r>
      <w:r>
        <w:rPr>
          <w:rFonts w:ascii="Garamond" w:hAnsi="Garamond"/>
          <w:bCs/>
          <w:sz w:val="32"/>
          <w:szCs w:val="32"/>
        </w:rPr>
        <w:t>mi limito in questa sede ad una rapidissima ricognizione:</w:t>
      </w:r>
    </w:p>
    <w:p w:rsidR="004713E0" w:rsidRDefault="004713E0" w:rsidP="004713E0">
      <w:pPr>
        <w:keepNext/>
        <w:spacing w:line="240" w:lineRule="auto"/>
        <w:ind w:firstLine="142"/>
        <w:rPr>
          <w:rFonts w:ascii="Garamond" w:hAnsi="Garamond"/>
          <w:bCs/>
          <w:sz w:val="32"/>
          <w:szCs w:val="32"/>
        </w:rPr>
      </w:pPr>
    </w:p>
    <w:p w:rsidR="00E960B0" w:rsidRDefault="004713E0" w:rsidP="00713E41">
      <w:pPr>
        <w:keepNext/>
        <w:spacing w:line="240" w:lineRule="auto"/>
        <w:ind w:firstLine="142"/>
        <w:rPr>
          <w:rFonts w:ascii="Garamond" w:hAnsi="Garamond"/>
          <w:bCs/>
          <w:sz w:val="32"/>
          <w:szCs w:val="32"/>
        </w:rPr>
      </w:pPr>
      <w:r w:rsidRPr="001260A8">
        <w:rPr>
          <w:rFonts w:ascii="Garamond" w:hAnsi="Garamond" w:cs="Arial"/>
          <w:sz w:val="32"/>
          <w:szCs w:val="32"/>
        </w:rPr>
        <w:t xml:space="preserve">♦ </w:t>
      </w:r>
      <w:r w:rsidR="005000E1" w:rsidRPr="001260A8">
        <w:rPr>
          <w:rFonts w:ascii="Garamond" w:hAnsi="Garamond" w:cs="Arial"/>
          <w:sz w:val="32"/>
          <w:szCs w:val="32"/>
        </w:rPr>
        <w:t xml:space="preserve">l’articolo 11, comma 2, che disciplina </w:t>
      </w:r>
      <w:r w:rsidRPr="001260A8">
        <w:rPr>
          <w:rFonts w:ascii="Garamond" w:hAnsi="Garamond"/>
          <w:bCs/>
          <w:sz w:val="32"/>
          <w:szCs w:val="32"/>
        </w:rPr>
        <w:t>la nomina dei commissari straordinari di Governo</w:t>
      </w:r>
      <w:r w:rsidR="005000E1" w:rsidRPr="001260A8">
        <w:rPr>
          <w:rFonts w:ascii="Garamond" w:hAnsi="Garamond"/>
          <w:bCs/>
          <w:sz w:val="32"/>
          <w:szCs w:val="32"/>
        </w:rPr>
        <w:t>, è richiamato ne</w:t>
      </w:r>
      <w:r w:rsidR="009B4271">
        <w:rPr>
          <w:rFonts w:ascii="Garamond" w:hAnsi="Garamond"/>
          <w:bCs/>
          <w:sz w:val="32"/>
          <w:szCs w:val="32"/>
        </w:rPr>
        <w:t>l parere sul decreto-legge n. 78</w:t>
      </w:r>
      <w:r w:rsidR="005000E1" w:rsidRPr="001260A8">
        <w:rPr>
          <w:rFonts w:ascii="Garamond" w:hAnsi="Garamond"/>
          <w:bCs/>
          <w:sz w:val="32"/>
          <w:szCs w:val="32"/>
        </w:rPr>
        <w:t>/201</w:t>
      </w:r>
      <w:r w:rsidR="009B4271">
        <w:rPr>
          <w:rFonts w:ascii="Garamond" w:hAnsi="Garamond"/>
          <w:bCs/>
          <w:sz w:val="32"/>
          <w:szCs w:val="32"/>
        </w:rPr>
        <w:t>5</w:t>
      </w:r>
      <w:r w:rsidR="005000E1" w:rsidRPr="001260A8">
        <w:rPr>
          <w:rFonts w:ascii="Garamond" w:hAnsi="Garamond"/>
          <w:bCs/>
          <w:sz w:val="32"/>
          <w:szCs w:val="32"/>
        </w:rPr>
        <w:t xml:space="preserve"> (C. </w:t>
      </w:r>
      <w:r w:rsidR="009B4271">
        <w:rPr>
          <w:rFonts w:ascii="Garamond" w:hAnsi="Garamond"/>
          <w:bCs/>
          <w:sz w:val="32"/>
          <w:szCs w:val="32"/>
        </w:rPr>
        <w:t>3262</w:t>
      </w:r>
      <w:r w:rsidR="005000E1" w:rsidRPr="001260A8">
        <w:rPr>
          <w:rFonts w:ascii="Garamond" w:hAnsi="Garamond"/>
          <w:bCs/>
          <w:sz w:val="32"/>
          <w:szCs w:val="32"/>
        </w:rPr>
        <w:t xml:space="preserve"> – </w:t>
      </w:r>
      <w:r w:rsidR="009B4271">
        <w:rPr>
          <w:rFonts w:ascii="Garamond" w:hAnsi="Garamond"/>
          <w:bCs/>
          <w:sz w:val="32"/>
          <w:szCs w:val="32"/>
        </w:rPr>
        <w:t>enti territoriali</w:t>
      </w:r>
      <w:r w:rsidR="005000E1" w:rsidRPr="001260A8">
        <w:rPr>
          <w:rFonts w:ascii="Garamond" w:hAnsi="Garamond"/>
          <w:bCs/>
          <w:sz w:val="32"/>
          <w:szCs w:val="32"/>
        </w:rPr>
        <w:t>), dove il Comitato</w:t>
      </w:r>
      <w:r w:rsidR="009B4271">
        <w:rPr>
          <w:rFonts w:ascii="Garamond" w:hAnsi="Garamond"/>
          <w:bCs/>
          <w:sz w:val="32"/>
          <w:szCs w:val="32"/>
        </w:rPr>
        <w:t xml:space="preserve"> annota nelle premesse che </w:t>
      </w:r>
      <w:r w:rsidR="009B4271" w:rsidRPr="009B4271">
        <w:rPr>
          <w:rFonts w:ascii="Garamond" w:hAnsi="Garamond"/>
          <w:bCs/>
          <w:sz w:val="32"/>
          <w:szCs w:val="32"/>
        </w:rPr>
        <w:t>«al medesimo articolo 11, il comma 16-</w:t>
      </w:r>
      <w:r w:rsidR="009B4271" w:rsidRPr="009B4271">
        <w:rPr>
          <w:rFonts w:ascii="Garamond" w:hAnsi="Garamond"/>
          <w:bCs/>
          <w:i/>
          <w:iCs/>
          <w:sz w:val="32"/>
          <w:szCs w:val="32"/>
        </w:rPr>
        <w:t>quater</w:t>
      </w:r>
      <w:r w:rsidR="009B4271" w:rsidRPr="009B4271">
        <w:rPr>
          <w:rFonts w:ascii="Garamond" w:hAnsi="Garamond"/>
          <w:bCs/>
          <w:sz w:val="32"/>
          <w:szCs w:val="32"/>
        </w:rPr>
        <w:t xml:space="preserve">, lettera </w:t>
      </w:r>
      <w:r w:rsidR="009B4271" w:rsidRPr="009B4271">
        <w:rPr>
          <w:rFonts w:ascii="Garamond" w:hAnsi="Garamond"/>
          <w:bCs/>
          <w:i/>
          <w:iCs/>
          <w:sz w:val="32"/>
          <w:szCs w:val="32"/>
        </w:rPr>
        <w:t>a)</w:t>
      </w:r>
      <w:r w:rsidR="009B4271" w:rsidRPr="009B4271">
        <w:rPr>
          <w:rFonts w:ascii="Garamond" w:hAnsi="Garamond"/>
          <w:bCs/>
          <w:sz w:val="32"/>
          <w:szCs w:val="32"/>
        </w:rPr>
        <w:t xml:space="preserve">, novella l'articolo 33 del decreto-legge n. 133 del 2014, al fine di dettare una nuova disciplina per la nomina dei commissari straordinari per il risanamento ambientale, prevedendo che essa avvenga con decreto del Presidente del Consiglio dei ministri, sentito il Presidente della Regione interessata, e </w:t>
      </w:r>
      <w:r w:rsidR="009B4271" w:rsidRPr="00390E08">
        <w:rPr>
          <w:rFonts w:ascii="Garamond" w:hAnsi="Garamond"/>
          <w:bCs/>
          <w:sz w:val="32"/>
          <w:szCs w:val="32"/>
        </w:rPr>
        <w:t>derogando così implicitamente all'articolo 11, comma 2, della legge n. 400 del 1988,</w:t>
      </w:r>
      <w:r w:rsidR="009B4271" w:rsidRPr="009B4271">
        <w:rPr>
          <w:rFonts w:ascii="Garamond" w:hAnsi="Garamond"/>
          <w:b/>
          <w:bCs/>
          <w:sz w:val="32"/>
          <w:szCs w:val="32"/>
        </w:rPr>
        <w:t xml:space="preserve"> </w:t>
      </w:r>
      <w:r w:rsidR="009B4271" w:rsidRPr="009B4271">
        <w:rPr>
          <w:rFonts w:ascii="Garamond" w:hAnsi="Garamond"/>
          <w:bCs/>
          <w:sz w:val="32"/>
          <w:szCs w:val="32"/>
        </w:rPr>
        <w:t>a norma del quale – e come attualmente previsto dalla disposizione novellata – i commissari straordinari del Governo sono nominati con decreto del Presidente della Repubblica previa deliberazione del Consiglio dei ministri»</w:t>
      </w:r>
      <w:r w:rsidR="0057307A">
        <w:rPr>
          <w:rFonts w:ascii="Garamond" w:hAnsi="Garamond"/>
          <w:bCs/>
          <w:sz w:val="32"/>
          <w:szCs w:val="32"/>
        </w:rPr>
        <w:t xml:space="preserve"> (</w:t>
      </w:r>
      <w:hyperlink w:anchor="S20a08b" w:history="1">
        <w:r w:rsidR="0057307A" w:rsidRPr="00D008D5">
          <w:rPr>
            <w:rStyle w:val="Collegamentoipertestuale"/>
            <w:rFonts w:ascii="Garamond" w:hAnsi="Garamond"/>
            <w:bCs/>
            <w:sz w:val="32"/>
            <w:szCs w:val="32"/>
          </w:rPr>
          <w:t>Scheda 20, punto 8b</w:t>
        </w:r>
      </w:hyperlink>
      <w:r w:rsidR="0057307A" w:rsidRPr="00D008D5">
        <w:rPr>
          <w:rFonts w:ascii="Garamond" w:hAnsi="Garamond"/>
          <w:bCs/>
          <w:sz w:val="32"/>
          <w:szCs w:val="32"/>
        </w:rPr>
        <w:t>)</w:t>
      </w:r>
      <w:r w:rsidR="00390E08" w:rsidRPr="00D008D5">
        <w:rPr>
          <w:rFonts w:ascii="Garamond" w:hAnsi="Garamond"/>
          <w:bCs/>
          <w:sz w:val="32"/>
          <w:szCs w:val="32"/>
        </w:rPr>
        <w:t>.</w:t>
      </w:r>
      <w:r w:rsidR="00390E08">
        <w:rPr>
          <w:rFonts w:ascii="Garamond" w:hAnsi="Garamond"/>
          <w:bCs/>
          <w:sz w:val="32"/>
          <w:szCs w:val="32"/>
        </w:rPr>
        <w:t xml:space="preserve"> Ne consegue la seguente osservazione:</w:t>
      </w:r>
    </w:p>
    <w:p w:rsidR="004713E0" w:rsidRDefault="00E960B0" w:rsidP="00E960B0">
      <w:pPr>
        <w:keepNext/>
        <w:spacing w:line="240" w:lineRule="auto"/>
        <w:rPr>
          <w:rFonts w:ascii="Garamond" w:hAnsi="Garamond"/>
          <w:bCs/>
          <w:sz w:val="32"/>
          <w:szCs w:val="32"/>
        </w:rPr>
      </w:pPr>
      <w:r w:rsidRPr="00E960B0">
        <w:rPr>
          <w:rFonts w:ascii="Garamond" w:hAnsi="Garamond"/>
          <w:bCs/>
          <w:sz w:val="32"/>
          <w:szCs w:val="32"/>
        </w:rPr>
        <w:t>«</w:t>
      </w:r>
      <w:r w:rsidR="00390E08" w:rsidRPr="00390E08">
        <w:rPr>
          <w:rFonts w:ascii="Garamond" w:hAnsi="Garamond"/>
          <w:bCs/>
          <w:sz w:val="32"/>
          <w:szCs w:val="32"/>
        </w:rPr>
        <w:t>all'articolo 11, comma 16-</w:t>
      </w:r>
      <w:r w:rsidR="00390E08" w:rsidRPr="00390E08">
        <w:rPr>
          <w:rFonts w:ascii="Garamond" w:hAnsi="Garamond"/>
          <w:bCs/>
          <w:i/>
          <w:iCs/>
          <w:sz w:val="32"/>
          <w:szCs w:val="32"/>
        </w:rPr>
        <w:t>quater</w:t>
      </w:r>
      <w:r w:rsidR="00390E08" w:rsidRPr="00390E08">
        <w:rPr>
          <w:rFonts w:ascii="Garamond" w:hAnsi="Garamond"/>
          <w:bCs/>
          <w:sz w:val="32"/>
          <w:szCs w:val="32"/>
        </w:rPr>
        <w:t xml:space="preserve">, lettera </w:t>
      </w:r>
      <w:r w:rsidR="00390E08" w:rsidRPr="00390E08">
        <w:rPr>
          <w:rFonts w:ascii="Garamond" w:hAnsi="Garamond"/>
          <w:bCs/>
          <w:i/>
          <w:iCs/>
          <w:sz w:val="32"/>
          <w:szCs w:val="32"/>
        </w:rPr>
        <w:t>a),</w:t>
      </w:r>
      <w:r w:rsidR="00390E08" w:rsidRPr="00390E08">
        <w:rPr>
          <w:rFonts w:ascii="Garamond" w:hAnsi="Garamond"/>
          <w:bCs/>
          <w:sz w:val="32"/>
          <w:szCs w:val="32"/>
        </w:rPr>
        <w:t xml:space="preserve"> laddove prevede che i Commissari straordinari per il risanamento ambientale siano nominati con decreto del Presidente del Consiglio dei Ministri – alla luce del quadro normativo vigente richiamato in premessa – valuti la Commissione se non sia opportuno – ripristinando il testo vigente – prevedere che la suddetta nomina avvenga mediante decreto del Presidente della Repubblica previa delibera del Consiglio dei ministri</w:t>
      </w:r>
      <w:r w:rsidR="005000E1" w:rsidRPr="005000E1">
        <w:rPr>
          <w:rFonts w:ascii="Garamond" w:hAnsi="Garamond"/>
          <w:bCs/>
          <w:sz w:val="32"/>
          <w:szCs w:val="32"/>
        </w:rPr>
        <w:t>»</w:t>
      </w:r>
      <w:r w:rsidR="0057307A">
        <w:rPr>
          <w:rFonts w:ascii="Garamond" w:hAnsi="Garamond"/>
          <w:bCs/>
          <w:sz w:val="32"/>
          <w:szCs w:val="32"/>
        </w:rPr>
        <w:t xml:space="preserve"> (</w:t>
      </w:r>
      <w:hyperlink w:anchor="S20o04" w:history="1">
        <w:r w:rsidR="0057307A" w:rsidRPr="00D008D5">
          <w:rPr>
            <w:rStyle w:val="Collegamentoipertestuale"/>
            <w:rFonts w:ascii="Garamond" w:hAnsi="Garamond"/>
            <w:bCs/>
            <w:sz w:val="32"/>
            <w:szCs w:val="32"/>
          </w:rPr>
          <w:t>Scheda 20, osservazione 4</w:t>
        </w:r>
      </w:hyperlink>
      <w:r w:rsidR="0057307A" w:rsidRPr="00D008D5">
        <w:rPr>
          <w:rFonts w:ascii="Garamond" w:hAnsi="Garamond"/>
          <w:bCs/>
          <w:sz w:val="32"/>
          <w:szCs w:val="32"/>
        </w:rPr>
        <w:t>)</w:t>
      </w:r>
      <w:r w:rsidR="004713E0" w:rsidRPr="00D008D5">
        <w:rPr>
          <w:rFonts w:ascii="Garamond" w:hAnsi="Garamond"/>
          <w:bCs/>
          <w:sz w:val="32"/>
          <w:szCs w:val="32"/>
        </w:rPr>
        <w:t>;</w:t>
      </w:r>
    </w:p>
    <w:p w:rsidR="004713E0" w:rsidRDefault="004713E0" w:rsidP="004713E0">
      <w:pPr>
        <w:rPr>
          <w:rFonts w:ascii="Garamond" w:hAnsi="Garamond" w:cs="Arial"/>
          <w:sz w:val="32"/>
          <w:szCs w:val="32"/>
        </w:rPr>
      </w:pPr>
      <w:r w:rsidRPr="001260A8">
        <w:rPr>
          <w:rFonts w:ascii="Garamond" w:hAnsi="Garamond" w:cs="Arial"/>
          <w:sz w:val="32"/>
          <w:szCs w:val="32"/>
        </w:rPr>
        <w:t>♦ l’articolo 13-</w:t>
      </w:r>
      <w:r w:rsidRPr="001260A8">
        <w:rPr>
          <w:rFonts w:ascii="Garamond" w:hAnsi="Garamond" w:cs="Arial"/>
          <w:i/>
          <w:sz w:val="32"/>
          <w:szCs w:val="32"/>
        </w:rPr>
        <w:t>bis</w:t>
      </w:r>
      <w:r w:rsidRPr="001260A8">
        <w:rPr>
          <w:rFonts w:ascii="Garamond" w:hAnsi="Garamond" w:cs="Arial"/>
          <w:sz w:val="32"/>
          <w:szCs w:val="32"/>
        </w:rPr>
        <w:t>, sulla chiarezza dei testi normativi,</w:t>
      </w:r>
      <w:r w:rsidR="00F9616B" w:rsidRPr="001260A8">
        <w:rPr>
          <w:rFonts w:ascii="Garamond" w:hAnsi="Garamond" w:cs="Arial"/>
          <w:sz w:val="32"/>
          <w:szCs w:val="32"/>
        </w:rPr>
        <w:t xml:space="preserve"> </w:t>
      </w:r>
      <w:r w:rsidRPr="001260A8">
        <w:rPr>
          <w:rFonts w:ascii="Garamond" w:hAnsi="Garamond" w:cs="Arial"/>
          <w:sz w:val="32"/>
          <w:szCs w:val="32"/>
        </w:rPr>
        <w:t xml:space="preserve">è stato </w:t>
      </w:r>
      <w:r w:rsidR="0057307A">
        <w:rPr>
          <w:rFonts w:ascii="Garamond" w:hAnsi="Garamond" w:cs="Arial"/>
          <w:sz w:val="32"/>
          <w:szCs w:val="32"/>
        </w:rPr>
        <w:t>richiam</w:t>
      </w:r>
      <w:r w:rsidRPr="001260A8">
        <w:rPr>
          <w:rFonts w:ascii="Garamond" w:hAnsi="Garamond" w:cs="Arial"/>
          <w:sz w:val="32"/>
          <w:szCs w:val="32"/>
        </w:rPr>
        <w:t>ato dal Comitat</w:t>
      </w:r>
      <w:r w:rsidR="005000E1" w:rsidRPr="001260A8">
        <w:rPr>
          <w:rFonts w:ascii="Garamond" w:hAnsi="Garamond" w:cs="Arial"/>
          <w:sz w:val="32"/>
          <w:szCs w:val="32"/>
        </w:rPr>
        <w:t xml:space="preserve">o nelle premesse </w:t>
      </w:r>
      <w:r w:rsidR="00201E98">
        <w:rPr>
          <w:rFonts w:ascii="Garamond" w:hAnsi="Garamond" w:cs="Arial"/>
          <w:sz w:val="32"/>
          <w:szCs w:val="32"/>
        </w:rPr>
        <w:t>d</w:t>
      </w:r>
      <w:r w:rsidR="008E2A30">
        <w:rPr>
          <w:rFonts w:ascii="Garamond" w:hAnsi="Garamond" w:cs="Arial"/>
          <w:sz w:val="32"/>
          <w:szCs w:val="32"/>
        </w:rPr>
        <w:t>el</w:t>
      </w:r>
      <w:r w:rsidR="00201E98">
        <w:rPr>
          <w:rFonts w:ascii="Garamond" w:hAnsi="Garamond" w:cs="Arial"/>
          <w:sz w:val="32"/>
          <w:szCs w:val="32"/>
        </w:rPr>
        <w:t xml:space="preserve"> parere sul decreto-legge n. 7</w:t>
      </w:r>
      <w:r w:rsidR="008E2A30">
        <w:rPr>
          <w:rFonts w:ascii="Garamond" w:hAnsi="Garamond" w:cs="Arial"/>
          <w:sz w:val="32"/>
          <w:szCs w:val="32"/>
        </w:rPr>
        <w:t>/201</w:t>
      </w:r>
      <w:r w:rsidR="00201E98">
        <w:rPr>
          <w:rFonts w:ascii="Garamond" w:hAnsi="Garamond" w:cs="Arial"/>
          <w:sz w:val="32"/>
          <w:szCs w:val="32"/>
        </w:rPr>
        <w:t>5</w:t>
      </w:r>
      <w:r w:rsidR="008E2A30">
        <w:rPr>
          <w:rFonts w:ascii="Garamond" w:hAnsi="Garamond" w:cs="Arial"/>
          <w:sz w:val="32"/>
          <w:szCs w:val="32"/>
        </w:rPr>
        <w:t xml:space="preserve"> (C. 28</w:t>
      </w:r>
      <w:r w:rsidR="00201E98">
        <w:rPr>
          <w:rFonts w:ascii="Garamond" w:hAnsi="Garamond" w:cs="Arial"/>
          <w:sz w:val="32"/>
          <w:szCs w:val="32"/>
        </w:rPr>
        <w:t>93</w:t>
      </w:r>
      <w:r w:rsidR="008E2A30">
        <w:rPr>
          <w:rFonts w:ascii="Garamond" w:hAnsi="Garamond" w:cs="Arial"/>
          <w:sz w:val="32"/>
          <w:szCs w:val="32"/>
        </w:rPr>
        <w:t xml:space="preserve"> – </w:t>
      </w:r>
      <w:r w:rsidR="00201E98">
        <w:rPr>
          <w:rFonts w:ascii="Garamond" w:hAnsi="Garamond" w:cs="Arial"/>
          <w:sz w:val="32"/>
          <w:szCs w:val="32"/>
        </w:rPr>
        <w:t xml:space="preserve">contrasto al terrorismo e </w:t>
      </w:r>
      <w:r w:rsidR="008E2A30">
        <w:rPr>
          <w:rFonts w:ascii="Garamond" w:hAnsi="Garamond" w:cs="Arial"/>
          <w:sz w:val="32"/>
          <w:szCs w:val="32"/>
        </w:rPr>
        <w:t xml:space="preserve">missioni </w:t>
      </w:r>
      <w:r w:rsidR="008E2A30">
        <w:rPr>
          <w:rFonts w:ascii="Garamond" w:hAnsi="Garamond" w:cs="Arial"/>
          <w:sz w:val="32"/>
          <w:szCs w:val="32"/>
        </w:rPr>
        <w:lastRenderedPageBreak/>
        <w:t xml:space="preserve">internazionali) </w:t>
      </w:r>
      <w:r w:rsidR="0057307A">
        <w:rPr>
          <w:rFonts w:ascii="Garamond" w:hAnsi="Garamond" w:cs="Arial"/>
          <w:sz w:val="32"/>
          <w:szCs w:val="32"/>
        </w:rPr>
        <w:t xml:space="preserve">ove si </w:t>
      </w:r>
      <w:r w:rsidR="008E2A30">
        <w:rPr>
          <w:rFonts w:ascii="Garamond" w:hAnsi="Garamond" w:cs="Arial"/>
          <w:sz w:val="32"/>
          <w:szCs w:val="32"/>
        </w:rPr>
        <w:t>rileva, come altre volte nel passato su analoghi provvedimenti, che, «</w:t>
      </w:r>
      <w:r w:rsidR="005000E1" w:rsidRPr="005000E1">
        <w:rPr>
          <w:rFonts w:ascii="Garamond" w:hAnsi="Garamond" w:cs="Arial"/>
          <w:sz w:val="32"/>
          <w:szCs w:val="32"/>
        </w:rPr>
        <w:t>in ragione della peculiare fattispecie delle missioni militari e internazionali, il provvedimento si caratterizza come disciplina in più punti derogatoria del diritto vigente. La relazione sull'analisi tecnico-normativa (ATN) dà conto analiticamente delle norme derogate, anche implicitamente; si rammenta tuttavia che l'articolo 13-</w:t>
      </w:r>
      <w:r w:rsidR="005000E1" w:rsidRPr="001260A8">
        <w:rPr>
          <w:rFonts w:ascii="Garamond" w:hAnsi="Garamond" w:cs="Arial"/>
          <w:i/>
          <w:sz w:val="32"/>
          <w:szCs w:val="32"/>
        </w:rPr>
        <w:t xml:space="preserve">bis </w:t>
      </w:r>
      <w:r w:rsidR="005000E1" w:rsidRPr="005000E1">
        <w:rPr>
          <w:rFonts w:ascii="Garamond" w:hAnsi="Garamond" w:cs="Arial"/>
          <w:sz w:val="32"/>
          <w:szCs w:val="32"/>
        </w:rPr>
        <w:t>della legge n. 400 del 1988 dispone tra l'altro che il Governo, nell'ambito delle proprie competenze, provvede “a che ogni norma che sia diretta a sostituire, modificare o abrogare norme vigenti ovvero a stabilire deroghe indichi espressamente le norme sostituite, modificate, abrogate o derogate” (comma 1, lettera a) ) e che “Le disposizioni della presente legge in materia di chiarezza dei testi normativi costituiscono princìpi generali per la produzione normativa e non possono essere derogate, modificate o abrogate se non in modo esplicito” (comma 2)</w:t>
      </w:r>
      <w:r w:rsidR="008E2A30">
        <w:rPr>
          <w:rFonts w:ascii="Garamond" w:hAnsi="Garamond" w:cs="Arial"/>
          <w:sz w:val="32"/>
          <w:szCs w:val="32"/>
        </w:rPr>
        <w:t xml:space="preserve">» </w:t>
      </w:r>
      <w:r w:rsidR="008E2A30" w:rsidRPr="00D008D5">
        <w:rPr>
          <w:rFonts w:ascii="Garamond" w:hAnsi="Garamond" w:cs="Arial"/>
          <w:sz w:val="32"/>
          <w:szCs w:val="32"/>
        </w:rPr>
        <w:t>(</w:t>
      </w:r>
      <w:hyperlink w:anchor="S04a04" w:history="1">
        <w:r w:rsidR="00201E98" w:rsidRPr="00D008D5">
          <w:rPr>
            <w:rStyle w:val="Collegamentoipertestuale"/>
            <w:rFonts w:ascii="Garamond" w:hAnsi="Garamond" w:cs="Arial"/>
            <w:sz w:val="32"/>
            <w:szCs w:val="32"/>
          </w:rPr>
          <w:t>Scheda 4</w:t>
        </w:r>
        <w:r w:rsidR="008E2A30" w:rsidRPr="00D008D5">
          <w:rPr>
            <w:rStyle w:val="Collegamentoipertestuale"/>
            <w:rFonts w:ascii="Garamond" w:hAnsi="Garamond" w:cs="Arial"/>
            <w:sz w:val="32"/>
            <w:szCs w:val="32"/>
          </w:rPr>
          <w:t xml:space="preserve">, punto </w:t>
        </w:r>
        <w:r w:rsidR="00201E98" w:rsidRPr="00D008D5">
          <w:rPr>
            <w:rStyle w:val="Collegamentoipertestuale"/>
            <w:rFonts w:ascii="Garamond" w:hAnsi="Garamond" w:cs="Arial"/>
            <w:sz w:val="32"/>
            <w:szCs w:val="32"/>
          </w:rPr>
          <w:t>4</w:t>
        </w:r>
      </w:hyperlink>
      <w:r w:rsidR="008E2A30" w:rsidRPr="00D008D5">
        <w:rPr>
          <w:rFonts w:ascii="Garamond" w:hAnsi="Garamond" w:cs="Arial"/>
          <w:sz w:val="32"/>
          <w:szCs w:val="32"/>
        </w:rPr>
        <w:t>)</w:t>
      </w:r>
      <w:r w:rsidR="00201E98" w:rsidRPr="00D008D5">
        <w:rPr>
          <w:rFonts w:ascii="Garamond" w:hAnsi="Garamond" w:cs="Arial"/>
          <w:sz w:val="32"/>
          <w:szCs w:val="32"/>
        </w:rPr>
        <w:t>.</w:t>
      </w:r>
      <w:r w:rsidR="00201E98">
        <w:rPr>
          <w:rFonts w:ascii="Garamond" w:hAnsi="Garamond" w:cs="Arial"/>
          <w:sz w:val="32"/>
          <w:szCs w:val="32"/>
        </w:rPr>
        <w:t xml:space="preserve"> Ne consegue una condizione</w:t>
      </w:r>
      <w:r w:rsidR="008E2A30" w:rsidRPr="009B718F">
        <w:rPr>
          <w:rFonts w:ascii="Garamond" w:hAnsi="Garamond" w:cs="Arial"/>
          <w:sz w:val="32"/>
          <w:szCs w:val="32"/>
        </w:rPr>
        <w:t>;</w:t>
      </w:r>
    </w:p>
    <w:p w:rsidR="008A35CA" w:rsidRDefault="004713E0" w:rsidP="008A35CA">
      <w:pPr>
        <w:rPr>
          <w:rFonts w:ascii="Garamond" w:hAnsi="Garamond" w:cs="Arial"/>
          <w:sz w:val="32"/>
          <w:szCs w:val="32"/>
        </w:rPr>
      </w:pPr>
      <w:r w:rsidRPr="003F61CE">
        <w:rPr>
          <w:rFonts w:ascii="Garamond" w:hAnsi="Garamond" w:cs="Arial"/>
          <w:sz w:val="32"/>
          <w:szCs w:val="32"/>
        </w:rPr>
        <w:t>♦ con riguardo ai limiti di contenuto dei decreti-legge, i cas</w:t>
      </w:r>
      <w:r w:rsidR="008A35CA">
        <w:rPr>
          <w:rFonts w:ascii="Garamond" w:hAnsi="Garamond" w:cs="Arial"/>
          <w:sz w:val="32"/>
          <w:szCs w:val="32"/>
        </w:rPr>
        <w:t>i</w:t>
      </w:r>
      <w:r w:rsidRPr="003F61CE">
        <w:rPr>
          <w:rFonts w:ascii="Garamond" w:hAnsi="Garamond" w:cs="Arial"/>
          <w:sz w:val="32"/>
          <w:szCs w:val="32"/>
        </w:rPr>
        <w:t xml:space="preserve"> più </w:t>
      </w:r>
      <w:r w:rsidR="008A35CA">
        <w:rPr>
          <w:rFonts w:ascii="Garamond" w:hAnsi="Garamond" w:cs="Arial"/>
          <w:sz w:val="32"/>
          <w:szCs w:val="32"/>
        </w:rPr>
        <w:t>interessanti</w:t>
      </w:r>
      <w:r w:rsidRPr="003F61CE">
        <w:rPr>
          <w:rFonts w:ascii="Garamond" w:hAnsi="Garamond" w:cs="Arial"/>
          <w:sz w:val="32"/>
          <w:szCs w:val="32"/>
        </w:rPr>
        <w:t xml:space="preserve"> concern</w:t>
      </w:r>
      <w:r w:rsidR="008A35CA">
        <w:rPr>
          <w:rFonts w:ascii="Garamond" w:hAnsi="Garamond" w:cs="Arial"/>
          <w:sz w:val="32"/>
          <w:szCs w:val="32"/>
        </w:rPr>
        <w:t xml:space="preserve">ono: </w:t>
      </w:r>
    </w:p>
    <w:p w:rsidR="00D33273" w:rsidRDefault="004713E0" w:rsidP="008A35CA">
      <w:pPr>
        <w:rPr>
          <w:rFonts w:ascii="Garamond" w:hAnsi="Garamond" w:cs="Arial"/>
          <w:sz w:val="32"/>
          <w:szCs w:val="32"/>
        </w:rPr>
      </w:pPr>
      <w:r w:rsidRPr="003F61CE">
        <w:rPr>
          <w:rFonts w:ascii="Garamond" w:hAnsi="Garamond" w:cs="Arial"/>
          <w:sz w:val="32"/>
          <w:szCs w:val="32"/>
        </w:rPr>
        <w:t xml:space="preserve">l’introduzione nel disegno di legge di conversione di disposizioni incidenti su deleghe, puntualmente oggetto di </w:t>
      </w:r>
      <w:r w:rsidR="00201E98">
        <w:rPr>
          <w:rFonts w:ascii="Garamond" w:hAnsi="Garamond" w:cs="Arial"/>
          <w:sz w:val="32"/>
          <w:szCs w:val="32"/>
        </w:rPr>
        <w:t xml:space="preserve">una </w:t>
      </w:r>
      <w:r w:rsidRPr="003F61CE">
        <w:rPr>
          <w:rFonts w:ascii="Garamond" w:hAnsi="Garamond" w:cs="Arial"/>
          <w:sz w:val="32"/>
          <w:szCs w:val="32"/>
        </w:rPr>
        <w:t>condizion</w:t>
      </w:r>
      <w:r w:rsidR="00201E98">
        <w:rPr>
          <w:rFonts w:ascii="Garamond" w:hAnsi="Garamond" w:cs="Arial"/>
          <w:sz w:val="32"/>
          <w:szCs w:val="32"/>
        </w:rPr>
        <w:t>e</w:t>
      </w:r>
      <w:r w:rsidRPr="003F61CE">
        <w:rPr>
          <w:rFonts w:ascii="Garamond" w:hAnsi="Garamond" w:cs="Arial"/>
          <w:sz w:val="32"/>
          <w:szCs w:val="32"/>
        </w:rPr>
        <w:t xml:space="preserve"> soppressiv</w:t>
      </w:r>
      <w:r w:rsidR="00201E98">
        <w:rPr>
          <w:rFonts w:ascii="Garamond" w:hAnsi="Garamond" w:cs="Arial"/>
          <w:sz w:val="32"/>
          <w:szCs w:val="32"/>
        </w:rPr>
        <w:t>a</w:t>
      </w:r>
      <w:r w:rsidRPr="003F61CE">
        <w:rPr>
          <w:rFonts w:ascii="Garamond" w:hAnsi="Garamond" w:cs="Arial"/>
          <w:sz w:val="32"/>
          <w:szCs w:val="32"/>
        </w:rPr>
        <w:t xml:space="preserve"> </w:t>
      </w:r>
      <w:r w:rsidR="00201E98">
        <w:rPr>
          <w:rFonts w:ascii="Garamond" w:hAnsi="Garamond" w:cs="Arial"/>
          <w:sz w:val="32"/>
          <w:szCs w:val="32"/>
        </w:rPr>
        <w:t>nel parere sul disegno di legge di conversione del decreto-legge n. 4/2015 (C. 2915 – esenzione IMU e proroga termini delega fiscale)</w:t>
      </w:r>
      <w:r w:rsidRPr="003F61CE">
        <w:rPr>
          <w:rFonts w:ascii="Garamond" w:hAnsi="Garamond" w:cs="Arial"/>
          <w:sz w:val="32"/>
          <w:szCs w:val="32"/>
        </w:rPr>
        <w:t>, con la motivazione che</w:t>
      </w:r>
      <w:r w:rsidR="003F61CE" w:rsidRPr="003F61CE">
        <w:rPr>
          <w:rFonts w:ascii="Garamond" w:hAnsi="Garamond" w:cs="Arial"/>
          <w:sz w:val="32"/>
          <w:szCs w:val="32"/>
        </w:rPr>
        <w:t xml:space="preserve"> </w:t>
      </w:r>
      <w:r w:rsidR="0031056D" w:rsidRPr="0031056D">
        <w:rPr>
          <w:rFonts w:ascii="Garamond" w:hAnsi="Garamond" w:cs="Arial"/>
          <w:sz w:val="32"/>
          <w:szCs w:val="32"/>
        </w:rPr>
        <w:t xml:space="preserve">«l'inserimento nel disegno di legge di conversione, durante l'esame al Senato, di una nuova norma di carattere sostanziale, volta a prorogare i termini di esercizio di una delega legislativa, è una circostanza che, per costante giurisprudenza del Comitato, integra una violazione del limite posto dall'articolo 15, comma 2, lettera </w:t>
      </w:r>
      <w:r w:rsidR="0031056D" w:rsidRPr="0031056D">
        <w:rPr>
          <w:rFonts w:ascii="Garamond" w:hAnsi="Garamond" w:cs="Arial"/>
          <w:i/>
          <w:iCs/>
          <w:sz w:val="32"/>
          <w:szCs w:val="32"/>
        </w:rPr>
        <w:t>a)</w:t>
      </w:r>
      <w:r w:rsidR="0031056D" w:rsidRPr="0031056D">
        <w:rPr>
          <w:rFonts w:ascii="Garamond" w:hAnsi="Garamond" w:cs="Arial"/>
          <w:sz w:val="32"/>
          <w:szCs w:val="32"/>
        </w:rPr>
        <w:t xml:space="preserve">, della legge n. 400 del 1988, secondo cui il Governo non può, mediante decreto-legge, “conferire deleghe legislative ai sensi dell'articolo 76 della Costituzione”, interpretandosi il citato limite di contenuto come finalizzato ad impedire che nel testo del decreto stesso o nel disegno di legge </w:t>
      </w:r>
      <w:r w:rsidR="0031056D" w:rsidRPr="0031056D">
        <w:rPr>
          <w:rFonts w:ascii="Garamond" w:hAnsi="Garamond" w:cs="Arial"/>
          <w:sz w:val="32"/>
          <w:szCs w:val="32"/>
        </w:rPr>
        <w:lastRenderedPageBreak/>
        <w:t>di conversione possano confluire disposizioni che incidano, in via diretta o indiretta, sulle modalità di esercizio di deleghe legislative, anche se già conferite»</w:t>
      </w:r>
      <w:r w:rsidR="003F61CE">
        <w:rPr>
          <w:rFonts w:ascii="Garamond" w:hAnsi="Garamond" w:cs="Arial"/>
          <w:sz w:val="32"/>
          <w:szCs w:val="32"/>
        </w:rPr>
        <w:t xml:space="preserve"> </w:t>
      </w:r>
      <w:r w:rsidR="003F61CE" w:rsidRPr="00D008D5">
        <w:rPr>
          <w:rFonts w:ascii="Garamond" w:hAnsi="Garamond" w:cs="Arial"/>
          <w:sz w:val="32"/>
          <w:szCs w:val="32"/>
        </w:rPr>
        <w:t>(</w:t>
      </w:r>
      <w:hyperlink w:anchor="S05a03" w:history="1">
        <w:r w:rsidR="00201E98" w:rsidRPr="00D008D5">
          <w:rPr>
            <w:rStyle w:val="Collegamentoipertestuale"/>
            <w:rFonts w:ascii="Garamond" w:hAnsi="Garamond" w:cs="Arial"/>
            <w:sz w:val="32"/>
            <w:szCs w:val="32"/>
          </w:rPr>
          <w:t>Scheda 5</w:t>
        </w:r>
        <w:r w:rsidR="003F61CE" w:rsidRPr="00D008D5">
          <w:rPr>
            <w:rStyle w:val="Collegamentoipertestuale"/>
            <w:rFonts w:ascii="Garamond" w:hAnsi="Garamond" w:cs="Arial"/>
            <w:sz w:val="32"/>
            <w:szCs w:val="32"/>
          </w:rPr>
          <w:t xml:space="preserve">, punto </w:t>
        </w:r>
        <w:r w:rsidR="00201E98" w:rsidRPr="00D008D5">
          <w:rPr>
            <w:rStyle w:val="Collegamentoipertestuale"/>
            <w:rFonts w:ascii="Garamond" w:hAnsi="Garamond" w:cs="Arial"/>
            <w:sz w:val="32"/>
            <w:szCs w:val="32"/>
          </w:rPr>
          <w:t>3</w:t>
        </w:r>
      </w:hyperlink>
      <w:r w:rsidR="00D33273" w:rsidRPr="00D008D5">
        <w:rPr>
          <w:rFonts w:ascii="Garamond" w:hAnsi="Garamond" w:cs="Arial"/>
          <w:sz w:val="32"/>
          <w:szCs w:val="32"/>
        </w:rPr>
        <w:t>);</w:t>
      </w:r>
    </w:p>
    <w:p w:rsidR="004713E0" w:rsidRDefault="00D33273" w:rsidP="008A35CA">
      <w:pPr>
        <w:rPr>
          <w:rFonts w:ascii="Garamond" w:hAnsi="Garamond"/>
          <w:sz w:val="32"/>
          <w:szCs w:val="32"/>
        </w:rPr>
      </w:pPr>
      <w:r>
        <w:rPr>
          <w:rFonts w:ascii="Garamond" w:hAnsi="Garamond" w:cs="Arial"/>
          <w:sz w:val="32"/>
          <w:szCs w:val="32"/>
        </w:rPr>
        <w:t xml:space="preserve">il mancato riferimento, nel preambolo, al carattere straordinario delle circostanze di necessità e urgenza </w:t>
      </w:r>
      <w:r w:rsidRPr="00D33273">
        <w:rPr>
          <w:rFonts w:ascii="Garamond" w:hAnsi="Garamond" w:cs="Arial"/>
          <w:sz w:val="32"/>
          <w:szCs w:val="32"/>
        </w:rPr>
        <w:t xml:space="preserve">«che giustificano l’adozione del decreto-legge, come invece richiede </w:t>
      </w:r>
      <w:r w:rsidRPr="00286E9B">
        <w:rPr>
          <w:rFonts w:ascii="Garamond" w:hAnsi="Garamond" w:cs="Arial"/>
          <w:sz w:val="32"/>
          <w:szCs w:val="32"/>
        </w:rPr>
        <w:t>l’articolo 15, comma 1, della legge n. 400 del 1988, secondo cui i decreti-legge recano “l'indicazione, nel preambolo</w:t>
      </w:r>
      <w:r w:rsidRPr="00D33273">
        <w:rPr>
          <w:rFonts w:ascii="Garamond" w:hAnsi="Garamond" w:cs="Arial"/>
          <w:sz w:val="32"/>
          <w:szCs w:val="32"/>
        </w:rPr>
        <w:t>, delle circostanze straordinarie di necessità e di urgenza che ne giustificano l'adozione”; il sesto capoverso, infatti, fa riferimento alla sola “necessità” e il settimo capoverso richiama “la necessità e l’urgenza”»</w:t>
      </w:r>
      <w:r w:rsidR="004713E0" w:rsidRPr="0031056D">
        <w:rPr>
          <w:rFonts w:ascii="Garamond" w:hAnsi="Garamond"/>
          <w:sz w:val="32"/>
          <w:szCs w:val="32"/>
        </w:rPr>
        <w:t xml:space="preserve"> </w:t>
      </w:r>
      <w:r w:rsidRPr="00D008D5">
        <w:rPr>
          <w:rFonts w:ascii="Garamond" w:hAnsi="Garamond"/>
          <w:sz w:val="32"/>
          <w:szCs w:val="32"/>
        </w:rPr>
        <w:t>(</w:t>
      </w:r>
      <w:hyperlink w:anchor="S10a02" w:history="1">
        <w:r w:rsidRPr="00D008D5">
          <w:rPr>
            <w:rStyle w:val="Collegamentoipertestuale"/>
            <w:rFonts w:ascii="Garamond" w:hAnsi="Garamond"/>
            <w:sz w:val="32"/>
            <w:szCs w:val="32"/>
          </w:rPr>
          <w:t>Scheda 10, punto 2</w:t>
        </w:r>
      </w:hyperlink>
      <w:r w:rsidR="008D3A73" w:rsidRPr="00D008D5">
        <w:rPr>
          <w:rFonts w:ascii="Garamond" w:hAnsi="Garamond"/>
          <w:sz w:val="32"/>
          <w:szCs w:val="32"/>
        </w:rPr>
        <w:t>);</w:t>
      </w:r>
    </w:p>
    <w:p w:rsidR="008D3A73" w:rsidRPr="008A35CA" w:rsidRDefault="008D3A73" w:rsidP="008D3A73">
      <w:pPr>
        <w:outlineLvl w:val="0"/>
        <w:rPr>
          <w:rFonts w:ascii="Garamond" w:hAnsi="Garamond"/>
          <w:sz w:val="32"/>
          <w:szCs w:val="32"/>
        </w:rPr>
      </w:pPr>
      <w:r>
        <w:rPr>
          <w:rFonts w:ascii="Garamond" w:hAnsi="Garamond"/>
          <w:sz w:val="32"/>
          <w:szCs w:val="32"/>
        </w:rPr>
        <w:t xml:space="preserve">la disamina, nelle premesse del parere sul decreto-legge n. 27/2015 (C. 3059 – elezioni regionali e amministrative 2015) sui limiti della decretazione d’urgenza in materia elettorale, considerando il caso di specie pienamente rispondente ai limiti di contenuto posti dall’articolo 72 della Costituzione, in quanto finalizzato semplicemente a regolare limitati aspetti di carattere organizzativo: </w:t>
      </w:r>
      <w:r w:rsidRPr="008A35CA">
        <w:rPr>
          <w:rFonts w:ascii="Garamond" w:hAnsi="Garamond"/>
          <w:sz w:val="32"/>
          <w:szCs w:val="32"/>
        </w:rPr>
        <w:t xml:space="preserve">«è circostanza non infrequente in prossimità di scadenze elettorali che con provvedimenti d'urgenza siano dettate disposizioni in materia elettorale finalizzate a regolare limitati aspetti di carattere organizzativo ovvero a consentire lo svolgimento contemporaneo di più consultazioni elettorali (si considerino ad esempio i decreti-legge n. 43 del 2000, n. 111 del 2000, n. 166 del 2001, n. 8 del 2005, n. 1 e n. 75 del 2006, n. 24 del 2008): il provvedimento, anche alla luce dei sopracitati precedenti, non appare ingenerare dubbi di compatibilità con l'articolo 15, comma 2, lettera </w:t>
      </w:r>
      <w:r w:rsidRPr="008A35CA">
        <w:rPr>
          <w:rFonts w:ascii="Garamond" w:hAnsi="Garamond"/>
          <w:i/>
          <w:iCs/>
          <w:sz w:val="32"/>
          <w:szCs w:val="32"/>
        </w:rPr>
        <w:t>b)</w:t>
      </w:r>
      <w:r w:rsidRPr="008A35CA">
        <w:rPr>
          <w:rFonts w:ascii="Garamond" w:hAnsi="Garamond"/>
          <w:sz w:val="32"/>
          <w:szCs w:val="32"/>
        </w:rPr>
        <w:t>, della legge n. 400 del 1988 – secondo cui il Governo non può, mediante decreto-legge, provvedere nelle materie indicate nell'articolo 72, quarto comma, della Costituzione (fra cui è compresa la materia elettorale);</w:t>
      </w:r>
    </w:p>
    <w:p w:rsidR="008D3A73" w:rsidRDefault="008D3A73" w:rsidP="008D3A73">
      <w:pPr>
        <w:outlineLvl w:val="0"/>
        <w:rPr>
          <w:rFonts w:ascii="Garamond" w:hAnsi="Garamond"/>
          <w:sz w:val="32"/>
          <w:szCs w:val="32"/>
        </w:rPr>
      </w:pPr>
      <w:r w:rsidRPr="008A35CA">
        <w:rPr>
          <w:rFonts w:ascii="Garamond" w:hAnsi="Garamond"/>
          <w:sz w:val="32"/>
          <w:szCs w:val="32"/>
        </w:rPr>
        <w:t xml:space="preserve">durante l'esame al Senato non sono stati introdotti emendamenti; nella seduta del 21 aprile 2015 l'Assemblea del Senato ha approvato l'ordine del giorno G1, della </w:t>
      </w:r>
      <w:r w:rsidRPr="008A35CA">
        <w:rPr>
          <w:rFonts w:ascii="Garamond" w:hAnsi="Garamond"/>
          <w:sz w:val="32"/>
          <w:szCs w:val="32"/>
        </w:rPr>
        <w:lastRenderedPageBreak/>
        <w:t>Commissione, con il quale – premesso di ritenere il disegno di legge in esame non rientrante nel sopra menzionato divieto di provvedere mediante decreto-legge in materia elettorale – impegna il Governo, in sede di emanazione di decreti-legge, all'assoluto rispetto dell'articolo 15 della legge n. 400 del 1988»</w:t>
      </w:r>
      <w:r>
        <w:rPr>
          <w:rFonts w:ascii="Garamond" w:hAnsi="Garamond"/>
          <w:sz w:val="32"/>
          <w:szCs w:val="32"/>
        </w:rPr>
        <w:t xml:space="preserve"> </w:t>
      </w:r>
      <w:r w:rsidRPr="00D008D5">
        <w:rPr>
          <w:rFonts w:ascii="Garamond" w:hAnsi="Garamond"/>
          <w:sz w:val="32"/>
          <w:szCs w:val="32"/>
        </w:rPr>
        <w:t>(</w:t>
      </w:r>
      <w:hyperlink w:anchor="S07a02" w:history="1">
        <w:r w:rsidRPr="00D008D5">
          <w:rPr>
            <w:rStyle w:val="Collegamentoipertestuale"/>
            <w:rFonts w:ascii="Garamond" w:hAnsi="Garamond"/>
            <w:sz w:val="32"/>
            <w:szCs w:val="32"/>
          </w:rPr>
          <w:t>Scheda 7, punto 2</w:t>
        </w:r>
      </w:hyperlink>
      <w:r w:rsidRPr="00D008D5">
        <w:rPr>
          <w:rFonts w:ascii="Garamond" w:hAnsi="Garamond"/>
          <w:sz w:val="32"/>
          <w:szCs w:val="32"/>
        </w:rPr>
        <w:t>);</w:t>
      </w:r>
    </w:p>
    <w:p w:rsidR="008D3A73" w:rsidRPr="0031056D" w:rsidRDefault="008D3A73" w:rsidP="008A35CA">
      <w:pPr>
        <w:rPr>
          <w:rFonts w:ascii="Garamond" w:hAnsi="Garamond" w:cs="Arial"/>
          <w:sz w:val="32"/>
          <w:szCs w:val="32"/>
        </w:rPr>
      </w:pPr>
    </w:p>
    <w:p w:rsidR="00683A29" w:rsidRPr="00300232" w:rsidRDefault="0057307A" w:rsidP="0057307A">
      <w:pPr>
        <w:outlineLvl w:val="0"/>
        <w:rPr>
          <w:rFonts w:ascii="Garamond" w:hAnsi="Garamond"/>
          <w:sz w:val="32"/>
          <w:szCs w:val="32"/>
        </w:rPr>
      </w:pPr>
      <w:r w:rsidRPr="003F61CE">
        <w:rPr>
          <w:rFonts w:ascii="Garamond" w:hAnsi="Garamond" w:cs="Arial"/>
          <w:sz w:val="32"/>
          <w:szCs w:val="32"/>
        </w:rPr>
        <w:t xml:space="preserve">♦ </w:t>
      </w:r>
      <w:r w:rsidR="00B252BB">
        <w:rPr>
          <w:rFonts w:ascii="Garamond" w:hAnsi="Garamond"/>
          <w:sz w:val="32"/>
          <w:szCs w:val="32"/>
        </w:rPr>
        <w:t>con riguard</w:t>
      </w:r>
      <w:r w:rsidR="00FA06F9">
        <w:rPr>
          <w:rFonts w:ascii="Garamond" w:hAnsi="Garamond"/>
          <w:sz w:val="32"/>
          <w:szCs w:val="32"/>
        </w:rPr>
        <w:t>o al profilo ordinamentale dell’</w:t>
      </w:r>
      <w:r w:rsidR="00B252BB">
        <w:rPr>
          <w:rFonts w:ascii="Garamond" w:hAnsi="Garamond"/>
          <w:sz w:val="32"/>
          <w:szCs w:val="32"/>
        </w:rPr>
        <w:t>immediata applicazione, il Comitato</w:t>
      </w:r>
      <w:r w:rsidR="0031056D">
        <w:rPr>
          <w:rFonts w:ascii="Garamond" w:hAnsi="Garamond"/>
          <w:sz w:val="32"/>
          <w:szCs w:val="32"/>
        </w:rPr>
        <w:t>:</w:t>
      </w:r>
      <w:r w:rsidR="00B252BB">
        <w:rPr>
          <w:rFonts w:ascii="Garamond" w:hAnsi="Garamond"/>
          <w:sz w:val="32"/>
          <w:szCs w:val="32"/>
        </w:rPr>
        <w:t xml:space="preserve"> </w:t>
      </w:r>
    </w:p>
    <w:p w:rsidR="004713E0" w:rsidRPr="00D008D5" w:rsidRDefault="0031056D" w:rsidP="00E10E3E">
      <w:pPr>
        <w:numPr>
          <w:ilvl w:val="0"/>
          <w:numId w:val="16"/>
        </w:numPr>
        <w:ind w:left="1276" w:hanging="295"/>
        <w:outlineLvl w:val="0"/>
        <w:rPr>
          <w:rFonts w:ascii="Garamond" w:hAnsi="Garamond"/>
          <w:sz w:val="32"/>
          <w:szCs w:val="32"/>
        </w:rPr>
      </w:pPr>
      <w:r>
        <w:rPr>
          <w:rFonts w:ascii="Garamond" w:hAnsi="Garamond"/>
          <w:sz w:val="32"/>
          <w:szCs w:val="32"/>
        </w:rPr>
        <w:t xml:space="preserve">nel parere sul decreto-legge </w:t>
      </w:r>
      <w:r w:rsidR="00683A29" w:rsidRPr="00683A29">
        <w:rPr>
          <w:rFonts w:ascii="Garamond" w:hAnsi="Garamond"/>
          <w:sz w:val="32"/>
          <w:szCs w:val="32"/>
        </w:rPr>
        <w:t xml:space="preserve">n. </w:t>
      </w:r>
      <w:r>
        <w:rPr>
          <w:rFonts w:ascii="Garamond" w:hAnsi="Garamond"/>
          <w:sz w:val="32"/>
          <w:szCs w:val="32"/>
        </w:rPr>
        <w:t>78</w:t>
      </w:r>
      <w:r w:rsidR="00683A29" w:rsidRPr="00683A29">
        <w:rPr>
          <w:rFonts w:ascii="Garamond" w:hAnsi="Garamond"/>
          <w:sz w:val="32"/>
          <w:szCs w:val="32"/>
        </w:rPr>
        <w:t>/201</w:t>
      </w:r>
      <w:r>
        <w:rPr>
          <w:rFonts w:ascii="Garamond" w:hAnsi="Garamond"/>
          <w:sz w:val="32"/>
          <w:szCs w:val="32"/>
        </w:rPr>
        <w:t>5 (C. 3262 – enti territoriali)</w:t>
      </w:r>
      <w:r w:rsidR="00683A29">
        <w:rPr>
          <w:rFonts w:ascii="Garamond" w:hAnsi="Garamond"/>
          <w:sz w:val="32"/>
          <w:szCs w:val="32"/>
        </w:rPr>
        <w:t xml:space="preserve"> </w:t>
      </w:r>
      <w:r>
        <w:rPr>
          <w:rFonts w:ascii="Garamond" w:hAnsi="Garamond"/>
          <w:sz w:val="32"/>
          <w:szCs w:val="32"/>
        </w:rPr>
        <w:t xml:space="preserve">ha rilevato la presenza di disposizioni di non immediata applicazione soltanto nelle </w:t>
      </w:r>
      <w:bookmarkStart w:id="89" w:name="_Toc337653477"/>
      <w:r w:rsidRPr="00D008D5">
        <w:rPr>
          <w:rFonts w:ascii="Garamond" w:hAnsi="Garamond"/>
          <w:sz w:val="32"/>
          <w:szCs w:val="32"/>
        </w:rPr>
        <w:t>premesse</w:t>
      </w:r>
      <w:r w:rsidR="00683A29" w:rsidRPr="00D008D5">
        <w:rPr>
          <w:rFonts w:ascii="Garamond" w:hAnsi="Garamond"/>
          <w:sz w:val="32"/>
          <w:szCs w:val="32"/>
        </w:rPr>
        <w:t xml:space="preserve"> (</w:t>
      </w:r>
      <w:hyperlink w:anchor="S20a06" w:history="1">
        <w:r w:rsidR="00683A29" w:rsidRPr="00D008D5">
          <w:rPr>
            <w:rStyle w:val="Collegamentoipertestuale"/>
            <w:rFonts w:ascii="Garamond" w:hAnsi="Garamond"/>
            <w:sz w:val="32"/>
            <w:szCs w:val="32"/>
          </w:rPr>
          <w:t xml:space="preserve">Scheda </w:t>
        </w:r>
        <w:r w:rsidRPr="00D008D5">
          <w:rPr>
            <w:rStyle w:val="Collegamentoipertestuale"/>
            <w:rFonts w:ascii="Garamond" w:hAnsi="Garamond"/>
            <w:sz w:val="32"/>
            <w:szCs w:val="32"/>
          </w:rPr>
          <w:t>20, punto</w:t>
        </w:r>
        <w:r w:rsidR="00683A29" w:rsidRPr="00D008D5">
          <w:rPr>
            <w:rStyle w:val="Collegamentoipertestuale"/>
            <w:rFonts w:ascii="Garamond" w:hAnsi="Garamond"/>
            <w:sz w:val="32"/>
            <w:szCs w:val="32"/>
          </w:rPr>
          <w:t xml:space="preserve"> </w:t>
        </w:r>
        <w:r w:rsidRPr="00D008D5">
          <w:rPr>
            <w:rStyle w:val="Collegamentoipertestuale"/>
            <w:rFonts w:ascii="Garamond" w:hAnsi="Garamond"/>
            <w:sz w:val="32"/>
            <w:szCs w:val="32"/>
          </w:rPr>
          <w:t>6</w:t>
        </w:r>
      </w:hyperlink>
      <w:r w:rsidR="00683A29" w:rsidRPr="00D008D5">
        <w:rPr>
          <w:rFonts w:ascii="Garamond" w:hAnsi="Garamond"/>
          <w:sz w:val="32"/>
          <w:szCs w:val="32"/>
        </w:rPr>
        <w:t>)</w:t>
      </w:r>
      <w:r w:rsidR="004713E0" w:rsidRPr="00D008D5">
        <w:rPr>
          <w:rFonts w:ascii="Garamond" w:hAnsi="Garamond"/>
          <w:sz w:val="32"/>
          <w:szCs w:val="32"/>
        </w:rPr>
        <w:t>;</w:t>
      </w:r>
    </w:p>
    <w:p w:rsidR="0031056D" w:rsidRPr="0031056D" w:rsidRDefault="0031056D" w:rsidP="00E10E3E">
      <w:pPr>
        <w:numPr>
          <w:ilvl w:val="0"/>
          <w:numId w:val="16"/>
        </w:numPr>
        <w:ind w:left="1276" w:hanging="295"/>
        <w:outlineLvl w:val="0"/>
        <w:rPr>
          <w:rFonts w:ascii="Garamond" w:hAnsi="Garamond"/>
          <w:sz w:val="32"/>
          <w:szCs w:val="32"/>
        </w:rPr>
      </w:pPr>
      <w:r>
        <w:rPr>
          <w:rFonts w:ascii="Garamond" w:hAnsi="Garamond"/>
          <w:sz w:val="32"/>
          <w:szCs w:val="32"/>
        </w:rPr>
        <w:t xml:space="preserve">nel parere sul decreto-legge </w:t>
      </w:r>
      <w:r w:rsidR="00683A29">
        <w:rPr>
          <w:rFonts w:ascii="Garamond" w:hAnsi="Garamond"/>
          <w:sz w:val="32"/>
          <w:szCs w:val="32"/>
        </w:rPr>
        <w:t xml:space="preserve">n. </w:t>
      </w:r>
      <w:r>
        <w:rPr>
          <w:rFonts w:ascii="Garamond" w:hAnsi="Garamond"/>
          <w:sz w:val="32"/>
          <w:szCs w:val="32"/>
        </w:rPr>
        <w:t>3</w:t>
      </w:r>
      <w:r w:rsidR="00683A29">
        <w:rPr>
          <w:rFonts w:ascii="Garamond" w:hAnsi="Garamond"/>
          <w:sz w:val="32"/>
          <w:szCs w:val="32"/>
        </w:rPr>
        <w:t>/201</w:t>
      </w:r>
      <w:r>
        <w:rPr>
          <w:rFonts w:ascii="Garamond" w:hAnsi="Garamond"/>
          <w:sz w:val="32"/>
          <w:szCs w:val="32"/>
        </w:rPr>
        <w:t>5 (C. 2844 –sistema bancario)</w:t>
      </w:r>
      <w:r w:rsidR="00683A29">
        <w:rPr>
          <w:rFonts w:ascii="Garamond" w:hAnsi="Garamond"/>
          <w:sz w:val="32"/>
          <w:szCs w:val="32"/>
        </w:rPr>
        <w:t xml:space="preserve">, </w:t>
      </w:r>
      <w:r>
        <w:rPr>
          <w:rFonts w:ascii="Garamond" w:hAnsi="Garamond"/>
          <w:sz w:val="32"/>
          <w:szCs w:val="32"/>
        </w:rPr>
        <w:t xml:space="preserve">il Comitato ha rilevato nelle premesse che </w:t>
      </w:r>
      <w:r w:rsidRPr="0031056D">
        <w:rPr>
          <w:rFonts w:ascii="Garamond" w:hAnsi="Garamond"/>
          <w:sz w:val="32"/>
          <w:szCs w:val="32"/>
        </w:rPr>
        <w:t>«il decreto reca, in generale, misure di immediata applicabilità; tuttavia in relazione alla disciplina transitoria della riforma delle banche popolari l'articolo 1:</w:t>
      </w:r>
    </w:p>
    <w:p w:rsidR="0031056D" w:rsidRPr="0031056D" w:rsidRDefault="0031056D" w:rsidP="0031056D">
      <w:pPr>
        <w:ind w:left="1276" w:firstLine="0"/>
        <w:outlineLvl w:val="0"/>
        <w:rPr>
          <w:rFonts w:ascii="Garamond" w:hAnsi="Garamond"/>
          <w:sz w:val="32"/>
          <w:szCs w:val="32"/>
        </w:rPr>
      </w:pPr>
      <w:r w:rsidRPr="0031056D">
        <w:rPr>
          <w:rFonts w:ascii="Garamond" w:hAnsi="Garamond"/>
          <w:i/>
          <w:iCs/>
          <w:sz w:val="32"/>
          <w:szCs w:val="32"/>
        </w:rPr>
        <w:t>a)</w:t>
      </w:r>
      <w:r w:rsidRPr="0031056D">
        <w:rPr>
          <w:rFonts w:ascii="Garamond" w:hAnsi="Garamond"/>
          <w:sz w:val="32"/>
          <w:szCs w:val="32"/>
        </w:rPr>
        <w:t xml:space="preserve"> al comma 1 subordina implicitamente l'efficacia delle limitazioni al diritto al rimborso delle azioni e di altri strumenti finanziari all'entrata in vigore di disposizioni dettate dalla Banca d'Italia;</w:t>
      </w:r>
    </w:p>
    <w:p w:rsidR="00683A29" w:rsidRDefault="0031056D" w:rsidP="0031056D">
      <w:pPr>
        <w:ind w:left="1276" w:firstLine="0"/>
        <w:outlineLvl w:val="0"/>
        <w:rPr>
          <w:rFonts w:ascii="Garamond" w:hAnsi="Garamond"/>
          <w:sz w:val="32"/>
          <w:szCs w:val="32"/>
        </w:rPr>
      </w:pPr>
      <w:r w:rsidRPr="0031056D">
        <w:rPr>
          <w:rFonts w:ascii="Garamond" w:hAnsi="Garamond"/>
          <w:i/>
          <w:iCs/>
          <w:sz w:val="32"/>
          <w:szCs w:val="32"/>
        </w:rPr>
        <w:t>b)</w:t>
      </w:r>
      <w:r w:rsidRPr="0031056D">
        <w:rPr>
          <w:rFonts w:ascii="Garamond" w:hAnsi="Garamond"/>
          <w:sz w:val="32"/>
          <w:szCs w:val="32"/>
        </w:rPr>
        <w:t xml:space="preserve"> al comma 2 prevede che, in fase di prima applicazione, le banche popolari si adeguino ai nuovi limiti dimensionali entro diciotto mesi dalla data di entrata in vigore di disposizioni attuative dettate dalla Banca d'Italia; in entrambi i casi non vengono fissati i termini per l'entrata in vigore delle disposizioni della Banca d'Italia, sicché non risulta desumibile il termine iniziale di effettiva applicabilità delle predette disposizioni: tale circostanza suscita perplessità in ordine al rispetto del canone di immediata applicabilità delle misure contenute nei decreti legge, previsto dall'articolo 15, comma 3, della legge n. 400 </w:t>
      </w:r>
      <w:r w:rsidRPr="0031056D">
        <w:rPr>
          <w:rFonts w:ascii="Garamond" w:hAnsi="Garamond"/>
          <w:sz w:val="32"/>
          <w:szCs w:val="32"/>
        </w:rPr>
        <w:lastRenderedPageBreak/>
        <w:t xml:space="preserve">del 1988, talché parrebbe opportuna l'individuazione dei predetti termini da parte delle Commissioni di merito» </w:t>
      </w:r>
      <w:r w:rsidR="00683A29">
        <w:rPr>
          <w:rFonts w:ascii="Garamond" w:hAnsi="Garamond"/>
          <w:sz w:val="32"/>
          <w:szCs w:val="32"/>
        </w:rPr>
        <w:t>(</w:t>
      </w:r>
      <w:hyperlink w:anchor="S02a02" w:history="1">
        <w:r w:rsidRPr="002129E5">
          <w:rPr>
            <w:rStyle w:val="Collegamentoipertestuale"/>
            <w:rFonts w:ascii="Garamond" w:hAnsi="Garamond"/>
            <w:sz w:val="32"/>
            <w:szCs w:val="32"/>
          </w:rPr>
          <w:t xml:space="preserve">Scheda </w:t>
        </w:r>
        <w:r w:rsidR="00683A29" w:rsidRPr="002129E5">
          <w:rPr>
            <w:rStyle w:val="Collegamentoipertestuale"/>
            <w:rFonts w:ascii="Garamond" w:hAnsi="Garamond"/>
            <w:sz w:val="32"/>
            <w:szCs w:val="32"/>
          </w:rPr>
          <w:t xml:space="preserve">2, </w:t>
        </w:r>
        <w:r w:rsidRPr="002129E5">
          <w:rPr>
            <w:rStyle w:val="Collegamentoipertestuale"/>
            <w:rFonts w:ascii="Garamond" w:hAnsi="Garamond"/>
            <w:sz w:val="32"/>
            <w:szCs w:val="32"/>
          </w:rPr>
          <w:t>punto</w:t>
        </w:r>
        <w:r w:rsidR="00683A29" w:rsidRPr="002129E5">
          <w:rPr>
            <w:rStyle w:val="Collegamentoipertestuale"/>
            <w:rFonts w:ascii="Garamond" w:hAnsi="Garamond"/>
            <w:sz w:val="32"/>
            <w:szCs w:val="32"/>
          </w:rPr>
          <w:t xml:space="preserve"> 2</w:t>
        </w:r>
      </w:hyperlink>
      <w:r w:rsidR="00683A29" w:rsidRPr="00D008D5">
        <w:rPr>
          <w:rFonts w:ascii="Garamond" w:hAnsi="Garamond"/>
          <w:sz w:val="32"/>
          <w:szCs w:val="32"/>
        </w:rPr>
        <w:t>)</w:t>
      </w:r>
      <w:r w:rsidRPr="00D008D5">
        <w:rPr>
          <w:rFonts w:ascii="Garamond" w:hAnsi="Garamond"/>
          <w:sz w:val="32"/>
          <w:szCs w:val="32"/>
        </w:rPr>
        <w:t>.</w:t>
      </w:r>
      <w:r>
        <w:rPr>
          <w:rFonts w:ascii="Garamond" w:hAnsi="Garamond"/>
          <w:sz w:val="32"/>
          <w:szCs w:val="32"/>
        </w:rPr>
        <w:t xml:space="preserve"> Ne consegue la seguente condizione: </w:t>
      </w:r>
      <w:r w:rsidR="008A35CA" w:rsidRPr="0031056D">
        <w:rPr>
          <w:rFonts w:ascii="Garamond" w:hAnsi="Garamond"/>
          <w:sz w:val="32"/>
          <w:szCs w:val="32"/>
        </w:rPr>
        <w:t>«</w:t>
      </w:r>
      <w:r w:rsidRPr="0031056D">
        <w:rPr>
          <w:rFonts w:ascii="Garamond" w:hAnsi="Garamond"/>
          <w:sz w:val="32"/>
          <w:szCs w:val="32"/>
        </w:rPr>
        <w:t>relativamente all'articolo 1, commi 1 e 2, le cui previsioni diverranno applicabili solo dopo l'emanazione di appositi provvedimenti della Banca d'Italia, si individuino – tenendo presente il requisito dell'immediata applicabilità (previsto dall'articolo 15, comma 3, della legge n. 400 del 1988) – i termini temporali entro i quali detti provvedimenti debbono entrare in vigore»</w:t>
      </w:r>
      <w:r w:rsidR="008A35CA">
        <w:rPr>
          <w:rFonts w:ascii="Garamond" w:hAnsi="Garamond"/>
          <w:sz w:val="32"/>
          <w:szCs w:val="32"/>
        </w:rPr>
        <w:t xml:space="preserve"> </w:t>
      </w:r>
      <w:r w:rsidR="008A35CA" w:rsidRPr="002129E5">
        <w:rPr>
          <w:rFonts w:ascii="Garamond" w:hAnsi="Garamond"/>
          <w:sz w:val="32"/>
          <w:szCs w:val="32"/>
        </w:rPr>
        <w:t>(</w:t>
      </w:r>
      <w:hyperlink w:anchor="S02c01" w:history="1">
        <w:r w:rsidR="008A35CA" w:rsidRPr="002129E5">
          <w:rPr>
            <w:rStyle w:val="Collegamentoipertestuale"/>
            <w:rFonts w:ascii="Garamond" w:hAnsi="Garamond"/>
            <w:sz w:val="32"/>
            <w:szCs w:val="32"/>
          </w:rPr>
          <w:t>Scheda 2, condizione 1</w:t>
        </w:r>
      </w:hyperlink>
      <w:r w:rsidR="008A35CA" w:rsidRPr="002129E5">
        <w:rPr>
          <w:rFonts w:ascii="Garamond" w:hAnsi="Garamond"/>
          <w:sz w:val="32"/>
          <w:szCs w:val="32"/>
        </w:rPr>
        <w:t>)</w:t>
      </w:r>
      <w:r w:rsidR="00683A29" w:rsidRPr="002129E5">
        <w:rPr>
          <w:rFonts w:ascii="Garamond" w:hAnsi="Garamond"/>
          <w:sz w:val="32"/>
          <w:szCs w:val="32"/>
        </w:rPr>
        <w:t>;</w:t>
      </w:r>
    </w:p>
    <w:p w:rsidR="00A15E0A" w:rsidRDefault="00F9616B" w:rsidP="007067E4">
      <w:pPr>
        <w:outlineLvl w:val="0"/>
        <w:rPr>
          <w:rFonts w:ascii="Garamond" w:hAnsi="Garamond"/>
          <w:sz w:val="32"/>
          <w:szCs w:val="32"/>
        </w:rPr>
      </w:pPr>
      <w:r w:rsidRPr="00063D88">
        <w:rPr>
          <w:rFonts w:ascii="Garamond" w:hAnsi="Garamond" w:cs="Arial"/>
          <w:sz w:val="32"/>
          <w:szCs w:val="32"/>
        </w:rPr>
        <w:t>♦</w:t>
      </w:r>
      <w:r>
        <w:rPr>
          <w:rFonts w:ascii="Garamond" w:hAnsi="Garamond" w:cs="Arial"/>
          <w:sz w:val="32"/>
          <w:szCs w:val="32"/>
        </w:rPr>
        <w:t xml:space="preserve"> </w:t>
      </w:r>
      <w:r w:rsidR="004713E0">
        <w:rPr>
          <w:rFonts w:ascii="Garamond" w:hAnsi="Garamond"/>
          <w:sz w:val="32"/>
          <w:szCs w:val="32"/>
        </w:rPr>
        <w:t xml:space="preserve">con riguardo all’articolo 17: </w:t>
      </w:r>
    </w:p>
    <w:p w:rsidR="004713E0" w:rsidRDefault="004713E0" w:rsidP="007067E4">
      <w:pPr>
        <w:outlineLvl w:val="0"/>
        <w:rPr>
          <w:rFonts w:ascii="Garamond" w:hAnsi="Garamond"/>
          <w:sz w:val="32"/>
          <w:szCs w:val="32"/>
        </w:rPr>
      </w:pPr>
      <w:r>
        <w:rPr>
          <w:rFonts w:ascii="Garamond" w:hAnsi="Garamond"/>
          <w:sz w:val="32"/>
          <w:szCs w:val="32"/>
        </w:rPr>
        <w:t xml:space="preserve">già ho </w:t>
      </w:r>
      <w:r w:rsidR="007067E4">
        <w:rPr>
          <w:rFonts w:ascii="Garamond" w:hAnsi="Garamond"/>
          <w:sz w:val="32"/>
          <w:szCs w:val="32"/>
        </w:rPr>
        <w:t>segnal</w:t>
      </w:r>
      <w:r>
        <w:rPr>
          <w:rFonts w:ascii="Garamond" w:hAnsi="Garamond"/>
          <w:sz w:val="32"/>
          <w:szCs w:val="32"/>
        </w:rPr>
        <w:t>ato</w:t>
      </w:r>
      <w:r w:rsidR="007067E4">
        <w:rPr>
          <w:rFonts w:ascii="Garamond" w:hAnsi="Garamond"/>
          <w:sz w:val="32"/>
          <w:szCs w:val="32"/>
        </w:rPr>
        <w:t xml:space="preserve"> nel paragrafo relativo al sistema delle fonti, l</w:t>
      </w:r>
      <w:r w:rsidR="00FA06F9">
        <w:rPr>
          <w:rFonts w:ascii="Garamond" w:hAnsi="Garamond"/>
          <w:sz w:val="32"/>
          <w:szCs w:val="32"/>
        </w:rPr>
        <w:t>e</w:t>
      </w:r>
      <w:r w:rsidR="007067E4">
        <w:rPr>
          <w:rFonts w:ascii="Garamond" w:hAnsi="Garamond"/>
          <w:sz w:val="32"/>
          <w:szCs w:val="32"/>
        </w:rPr>
        <w:t xml:space="preserve"> prevision</w:t>
      </w:r>
      <w:r w:rsidR="00FA06F9">
        <w:rPr>
          <w:rFonts w:ascii="Garamond" w:hAnsi="Garamond"/>
          <w:sz w:val="32"/>
          <w:szCs w:val="32"/>
        </w:rPr>
        <w:t>i relative a</w:t>
      </w:r>
      <w:r w:rsidR="007067E4">
        <w:rPr>
          <w:rFonts w:ascii="Garamond" w:hAnsi="Garamond"/>
          <w:sz w:val="32"/>
          <w:szCs w:val="32"/>
        </w:rPr>
        <w:t xml:space="preserve"> DPCM a contenuto normativo, che il Comitato ha invitato  a</w:t>
      </w:r>
      <w:r w:rsidR="00FA06F9">
        <w:rPr>
          <w:rFonts w:ascii="Garamond" w:hAnsi="Garamond"/>
          <w:sz w:val="32"/>
          <w:szCs w:val="32"/>
        </w:rPr>
        <w:t xml:space="preserve"> </w:t>
      </w:r>
      <w:r w:rsidR="007067E4">
        <w:rPr>
          <w:rFonts w:ascii="Garamond" w:hAnsi="Garamond"/>
          <w:sz w:val="32"/>
          <w:szCs w:val="32"/>
        </w:rPr>
        <w:t>trasformare in regolamenti governativi o ministeriali (previsti rispettivamente dai commi 1 e 3 dell’articolo 17)</w:t>
      </w:r>
      <w:r w:rsidR="00FA06F9">
        <w:rPr>
          <w:rFonts w:ascii="Garamond" w:hAnsi="Garamond"/>
          <w:sz w:val="32"/>
          <w:szCs w:val="32"/>
        </w:rPr>
        <w:t xml:space="preserve"> ed alla </w:t>
      </w:r>
      <w:r w:rsidR="007067E4">
        <w:rPr>
          <w:rFonts w:ascii="Garamond" w:hAnsi="Garamond"/>
          <w:sz w:val="32"/>
          <w:szCs w:val="32"/>
        </w:rPr>
        <w:t>cosiddetta “delegificazione spuria”</w:t>
      </w:r>
      <w:bookmarkEnd w:id="89"/>
      <w:r w:rsidR="00A15E0A">
        <w:rPr>
          <w:rFonts w:ascii="Garamond" w:hAnsi="Garamond"/>
          <w:sz w:val="32"/>
          <w:szCs w:val="32"/>
        </w:rPr>
        <w:t>;</w:t>
      </w:r>
    </w:p>
    <w:p w:rsidR="00A15E0A" w:rsidRDefault="00A15E0A" w:rsidP="007067E4">
      <w:pPr>
        <w:outlineLvl w:val="0"/>
        <w:rPr>
          <w:rFonts w:ascii="Garamond" w:hAnsi="Garamond"/>
          <w:sz w:val="32"/>
          <w:szCs w:val="32"/>
        </w:rPr>
      </w:pPr>
      <w:r>
        <w:rPr>
          <w:rFonts w:ascii="Garamond" w:hAnsi="Garamond"/>
          <w:sz w:val="32"/>
          <w:szCs w:val="32"/>
        </w:rPr>
        <w:t xml:space="preserve">per certi versi speculare a tale </w:t>
      </w:r>
      <w:r w:rsidR="00FA06F9">
        <w:rPr>
          <w:rFonts w:ascii="Garamond" w:hAnsi="Garamond"/>
          <w:sz w:val="32"/>
          <w:szCs w:val="32"/>
        </w:rPr>
        <w:t xml:space="preserve">ultimo </w:t>
      </w:r>
      <w:r>
        <w:rPr>
          <w:rFonts w:ascii="Garamond" w:hAnsi="Garamond"/>
          <w:sz w:val="32"/>
          <w:szCs w:val="32"/>
        </w:rPr>
        <w:t>fenomeno è quello della legificazione di materie delegificate rilevato nel parere sul disegno di legge n. 3098 (riorganizzazione P.A.), ove il Comitato annota che «</w:t>
      </w:r>
      <w:r w:rsidRPr="00A15E0A">
        <w:rPr>
          <w:rFonts w:ascii="Garamond" w:hAnsi="Garamond"/>
          <w:sz w:val="32"/>
          <w:szCs w:val="32"/>
        </w:rPr>
        <w:t xml:space="preserve">la lettera </w:t>
      </w:r>
      <w:r w:rsidRPr="00A15E0A">
        <w:rPr>
          <w:rFonts w:ascii="Garamond" w:hAnsi="Garamond"/>
          <w:i/>
          <w:sz w:val="32"/>
          <w:szCs w:val="32"/>
        </w:rPr>
        <w:t>b)</w:t>
      </w:r>
      <w:r w:rsidRPr="00A15E0A">
        <w:rPr>
          <w:rFonts w:ascii="Garamond" w:hAnsi="Garamond"/>
          <w:sz w:val="32"/>
          <w:szCs w:val="32"/>
        </w:rPr>
        <w:t>, numero 4), delega il Governo a precisare “la disciplina degli uffici di diretta collaborazione dei Ministri, dei vice ministri e dei sottosegretari di Stato, con determinazione da parte del Presidente del Consiglio dei ministri delle risorse finanziarie destinate ai suddetti uffici”: andrebbe valutata l’opportunità di chiarire come tale previsione si coordini con quella recata dal comma 4-</w:t>
      </w:r>
      <w:r w:rsidRPr="00A15E0A">
        <w:rPr>
          <w:rFonts w:ascii="Garamond" w:hAnsi="Garamond"/>
          <w:i/>
          <w:sz w:val="32"/>
          <w:szCs w:val="32"/>
        </w:rPr>
        <w:t>bis</w:t>
      </w:r>
      <w:r w:rsidRPr="00A15E0A">
        <w:rPr>
          <w:rFonts w:ascii="Garamond" w:hAnsi="Garamond"/>
          <w:sz w:val="32"/>
          <w:szCs w:val="32"/>
        </w:rPr>
        <w:t xml:space="preserve"> dell’articolo 17 della legge n. 400 del 1988, che prevede per la disciplina degli uffici di diretta collaborazione dei Ministri un regolamento governativo adottato con decreto del Presidente della Repubblica, previo parere delle competenti Commissioni parlamentari; si dovrebbe in particolare, dunque, chiarire con quale strumento venga adottata la determinazione del Presidente del Consiglio dei ministri</w:t>
      </w:r>
      <w:r>
        <w:rPr>
          <w:rFonts w:ascii="Garamond" w:hAnsi="Garamond"/>
          <w:sz w:val="32"/>
          <w:szCs w:val="32"/>
        </w:rPr>
        <w:t>»</w:t>
      </w:r>
      <w:r w:rsidR="00D33273">
        <w:rPr>
          <w:rFonts w:ascii="Garamond" w:hAnsi="Garamond"/>
          <w:sz w:val="32"/>
          <w:szCs w:val="32"/>
        </w:rPr>
        <w:t xml:space="preserve"> </w:t>
      </w:r>
      <w:r w:rsidR="00D33273" w:rsidRPr="002129E5">
        <w:rPr>
          <w:rFonts w:ascii="Garamond" w:hAnsi="Garamond"/>
          <w:sz w:val="32"/>
          <w:szCs w:val="32"/>
        </w:rPr>
        <w:t>(</w:t>
      </w:r>
      <w:hyperlink w:anchor="S12a08" w:history="1">
        <w:r w:rsidR="00D33273" w:rsidRPr="002129E5">
          <w:rPr>
            <w:rStyle w:val="Collegamentoipertestuale"/>
            <w:rFonts w:ascii="Garamond" w:hAnsi="Garamond"/>
            <w:sz w:val="32"/>
            <w:szCs w:val="32"/>
          </w:rPr>
          <w:t>Scheda 12, punto 8</w:t>
        </w:r>
      </w:hyperlink>
      <w:r w:rsidR="00D33273" w:rsidRPr="002129E5">
        <w:rPr>
          <w:rFonts w:ascii="Garamond" w:hAnsi="Garamond"/>
          <w:sz w:val="32"/>
          <w:szCs w:val="32"/>
        </w:rPr>
        <w:t>);</w:t>
      </w:r>
    </w:p>
    <w:p w:rsidR="00B80024" w:rsidRDefault="00D33273" w:rsidP="008D3A73">
      <w:pPr>
        <w:outlineLvl w:val="0"/>
        <w:rPr>
          <w:rFonts w:ascii="Garamond" w:hAnsi="Garamond"/>
          <w:sz w:val="32"/>
          <w:szCs w:val="32"/>
        </w:rPr>
      </w:pPr>
      <w:r>
        <w:rPr>
          <w:rFonts w:ascii="Garamond" w:hAnsi="Garamond"/>
          <w:sz w:val="32"/>
          <w:szCs w:val="32"/>
        </w:rPr>
        <w:lastRenderedPageBreak/>
        <w:t>nel parere sul disegno di legge n. 2994 (“Buona scuola”)</w:t>
      </w:r>
      <w:r w:rsidRPr="00D33273">
        <w:rPr>
          <w:rFonts w:cs="Arial"/>
          <w:szCs w:val="22"/>
        </w:rPr>
        <w:t xml:space="preserve"> </w:t>
      </w:r>
      <w:r w:rsidRPr="00D33273">
        <w:rPr>
          <w:rFonts w:ascii="Garamond" w:hAnsi="Garamond"/>
          <w:sz w:val="32"/>
          <w:szCs w:val="32"/>
        </w:rPr>
        <w:t>«il Comitato rileva con favore la previsione di cui all'articolo 21, comma 4, che dispone un complessivo riordino della disciplina regolamentare conseguente all'adozione dei decreti legislativi; se infatti l'articolo 17, comma 4-</w:t>
      </w:r>
      <w:r w:rsidRPr="00D33273">
        <w:rPr>
          <w:rFonts w:ascii="Garamond" w:hAnsi="Garamond"/>
          <w:i/>
          <w:iCs/>
          <w:sz w:val="32"/>
          <w:szCs w:val="32"/>
        </w:rPr>
        <w:t>ter</w:t>
      </w:r>
      <w:r w:rsidRPr="00D33273">
        <w:rPr>
          <w:rFonts w:ascii="Garamond" w:hAnsi="Garamond"/>
          <w:sz w:val="32"/>
          <w:szCs w:val="32"/>
        </w:rPr>
        <w:t>, della legge n. 400 del 1988 prevede il periodico riordino delle disposizioni regolamentari vigenti, la ricognizione di quelle che sono state oggetto di abrogazione implicita e l'espressa abrogazione di quelle che hanno esaurito la loro funzione o sono prive di effettivo contenuto normativo o sono comunque obsolete, il riordino straordinario in parola è giustificato dalle profonde modificazioni della normativa di rango primario e risulta coerente con l'obiettivo della semplificazione e del riordino dell'ordinamento, al fine di eliminare le antinomie, ridurre i dubbi e le incertezze applicative, rendere più coerente, certa e conoscibile la disciplina settoriale: appare pertanto auspicabile l'uso di siffatte clausole in caso di riforme di ampia portata»</w:t>
      </w:r>
      <w:r>
        <w:rPr>
          <w:rFonts w:ascii="Garamond" w:hAnsi="Garamond"/>
          <w:sz w:val="32"/>
          <w:szCs w:val="32"/>
        </w:rPr>
        <w:t xml:space="preserve"> </w:t>
      </w:r>
      <w:r w:rsidRPr="002129E5">
        <w:rPr>
          <w:rFonts w:ascii="Garamond" w:hAnsi="Garamond"/>
          <w:sz w:val="32"/>
          <w:szCs w:val="32"/>
        </w:rPr>
        <w:t>(</w:t>
      </w:r>
      <w:hyperlink w:anchor="S09a17" w:history="1">
        <w:r w:rsidRPr="002129E5">
          <w:rPr>
            <w:rStyle w:val="Collegamentoipertestuale"/>
            <w:rFonts w:ascii="Garamond" w:hAnsi="Garamond"/>
            <w:sz w:val="32"/>
            <w:szCs w:val="32"/>
          </w:rPr>
          <w:t>Scheda 9, punto 17</w:t>
        </w:r>
      </w:hyperlink>
      <w:r w:rsidRPr="002129E5">
        <w:rPr>
          <w:rFonts w:ascii="Garamond" w:hAnsi="Garamond"/>
          <w:sz w:val="32"/>
          <w:szCs w:val="32"/>
        </w:rPr>
        <w:t>).</w:t>
      </w:r>
    </w:p>
    <w:p w:rsidR="00B80024" w:rsidRDefault="00B80024" w:rsidP="004713E0">
      <w:pPr>
        <w:pStyle w:val="Titolo2"/>
        <w:spacing w:before="120" w:after="120"/>
        <w:ind w:left="709" w:hanging="709"/>
        <w:rPr>
          <w:rFonts w:ascii="Garamond" w:hAnsi="Garamond"/>
          <w:i/>
          <w:color w:val="0000FF"/>
          <w:sz w:val="40"/>
          <w:szCs w:val="40"/>
        </w:rPr>
        <w:sectPr w:rsidR="00B80024" w:rsidSect="009C3013">
          <w:footerReference w:type="even" r:id="rId20"/>
          <w:footerReference w:type="default" r:id="rId21"/>
          <w:headerReference w:type="first" r:id="rId22"/>
          <w:pgSz w:w="11906" w:h="16838" w:code="9"/>
          <w:pgMar w:top="1985" w:right="1985" w:bottom="1985" w:left="1985" w:header="1134" w:footer="1134" w:gutter="0"/>
          <w:cols w:sep="1" w:space="284"/>
          <w:docGrid w:linePitch="299"/>
        </w:sectPr>
      </w:pPr>
      <w:bookmarkStart w:id="90" w:name="_Toc337653491"/>
      <w:bookmarkStart w:id="91" w:name="_Toc342035931"/>
      <w:bookmarkStart w:id="92" w:name="_Toc384976868"/>
      <w:bookmarkStart w:id="93" w:name="_Toc261612342"/>
      <w:bookmarkStart w:id="94" w:name="_Toc337653487"/>
    </w:p>
    <w:p w:rsidR="004713E0" w:rsidRPr="00063D88" w:rsidRDefault="004713E0" w:rsidP="004713E0">
      <w:pPr>
        <w:pStyle w:val="Titolo2"/>
        <w:spacing w:before="120" w:after="120"/>
        <w:ind w:left="709" w:hanging="709"/>
        <w:rPr>
          <w:rFonts w:ascii="Garamond" w:hAnsi="Garamond"/>
          <w:i/>
          <w:color w:val="0000FF"/>
          <w:sz w:val="40"/>
          <w:szCs w:val="40"/>
        </w:rPr>
      </w:pPr>
      <w:bookmarkStart w:id="95" w:name="_Toc439082246"/>
      <w:bookmarkStart w:id="96" w:name="_Toc439953662"/>
      <w:bookmarkStart w:id="97" w:name="_Toc440030376"/>
      <w:r w:rsidRPr="00063D88">
        <w:rPr>
          <w:rFonts w:ascii="Garamond" w:hAnsi="Garamond"/>
          <w:i/>
          <w:color w:val="0000FF"/>
          <w:sz w:val="40"/>
          <w:szCs w:val="40"/>
        </w:rPr>
        <w:lastRenderedPageBreak/>
        <w:t>4.</w:t>
      </w:r>
      <w:r w:rsidR="007D4AAE">
        <w:rPr>
          <w:rFonts w:ascii="Garamond" w:hAnsi="Garamond"/>
          <w:i/>
          <w:color w:val="0000FF"/>
          <w:sz w:val="40"/>
          <w:szCs w:val="40"/>
        </w:rPr>
        <w:t>7</w:t>
      </w:r>
      <w:r w:rsidRPr="00063D88">
        <w:rPr>
          <w:rFonts w:ascii="Garamond" w:hAnsi="Garamond"/>
          <w:i/>
          <w:color w:val="0000FF"/>
          <w:sz w:val="40"/>
          <w:szCs w:val="40"/>
        </w:rPr>
        <w:t>. Profili della legislazione delegata</w:t>
      </w:r>
      <w:bookmarkEnd w:id="90"/>
      <w:bookmarkEnd w:id="91"/>
      <w:bookmarkEnd w:id="92"/>
      <w:bookmarkEnd w:id="95"/>
      <w:bookmarkEnd w:id="96"/>
      <w:bookmarkEnd w:id="97"/>
    </w:p>
    <w:p w:rsidR="001033C1" w:rsidRDefault="001033C1" w:rsidP="004713E0">
      <w:pPr>
        <w:rPr>
          <w:rFonts w:ascii="Garamond" w:hAnsi="Garamond"/>
          <w:sz w:val="32"/>
          <w:szCs w:val="32"/>
        </w:rPr>
      </w:pPr>
      <w:r>
        <w:rPr>
          <w:rFonts w:ascii="Garamond" w:hAnsi="Garamond"/>
          <w:sz w:val="32"/>
          <w:szCs w:val="32"/>
        </w:rPr>
        <w:t>Il Comitato ha espresso il parere su:</w:t>
      </w:r>
    </w:p>
    <w:p w:rsidR="001033C1" w:rsidRDefault="001033C1" w:rsidP="004713E0">
      <w:pPr>
        <w:rPr>
          <w:rFonts w:ascii="Garamond" w:hAnsi="Garamond"/>
          <w:sz w:val="32"/>
          <w:szCs w:val="32"/>
        </w:rPr>
      </w:pPr>
      <w:r>
        <w:rPr>
          <w:rFonts w:ascii="Garamond" w:hAnsi="Garamond"/>
          <w:sz w:val="32"/>
          <w:szCs w:val="32"/>
        </w:rPr>
        <w:t>10 progetti di legge recanti disposizioni di delega (sul disegno di legge C. 2994 si è pronunciato sia in prima, sia in seconda lettura; nel parere in seconda lettura non è presente alcun rilievo sulla delega ivi prevista);</w:t>
      </w:r>
    </w:p>
    <w:p w:rsidR="008D3A73" w:rsidRDefault="001033C1" w:rsidP="004713E0">
      <w:pPr>
        <w:rPr>
          <w:rFonts w:ascii="Garamond" w:hAnsi="Garamond"/>
          <w:sz w:val="32"/>
          <w:szCs w:val="32"/>
        </w:rPr>
      </w:pPr>
      <w:r>
        <w:rPr>
          <w:rFonts w:ascii="Garamond" w:hAnsi="Garamond"/>
          <w:sz w:val="32"/>
          <w:szCs w:val="32"/>
        </w:rPr>
        <w:t>il disegno di legge di conversione del decreto-legge n. 4/2015 (C. 2915 – esenzione IMU e p</w:t>
      </w:r>
      <w:r w:rsidR="008D3A73">
        <w:rPr>
          <w:rFonts w:ascii="Garamond" w:hAnsi="Garamond"/>
          <w:sz w:val="32"/>
          <w:szCs w:val="32"/>
        </w:rPr>
        <w:t>roroga termini delega fiscale).</w:t>
      </w:r>
    </w:p>
    <w:p w:rsidR="004713E0" w:rsidRPr="00713580" w:rsidRDefault="004713E0" w:rsidP="004713E0">
      <w:pPr>
        <w:rPr>
          <w:rFonts w:ascii="Garamond" w:hAnsi="Garamond"/>
          <w:sz w:val="32"/>
          <w:szCs w:val="32"/>
        </w:rPr>
      </w:pPr>
      <w:r>
        <w:rPr>
          <w:rFonts w:ascii="Garamond" w:hAnsi="Garamond"/>
          <w:sz w:val="32"/>
          <w:szCs w:val="32"/>
        </w:rPr>
        <w:t xml:space="preserve">L’analisi del Comitato ha riguardato i seguenti aspetti </w:t>
      </w:r>
      <w:r w:rsidRPr="00713580">
        <w:rPr>
          <w:rFonts w:ascii="Garamond" w:hAnsi="Garamond"/>
          <w:sz w:val="32"/>
          <w:szCs w:val="32"/>
        </w:rPr>
        <w:t>problematici:</w:t>
      </w:r>
    </w:p>
    <w:p w:rsidR="004713E0" w:rsidRPr="001033C1" w:rsidRDefault="001033C1" w:rsidP="00E10E3E">
      <w:pPr>
        <w:numPr>
          <w:ilvl w:val="0"/>
          <w:numId w:val="11"/>
        </w:numPr>
        <w:rPr>
          <w:rFonts w:ascii="Garamond" w:hAnsi="Garamond"/>
          <w:sz w:val="32"/>
          <w:szCs w:val="32"/>
        </w:rPr>
      </w:pPr>
      <w:r>
        <w:rPr>
          <w:rFonts w:ascii="Garamond" w:hAnsi="Garamond"/>
          <w:sz w:val="32"/>
          <w:szCs w:val="32"/>
        </w:rPr>
        <w:t>l</w:t>
      </w:r>
      <w:r w:rsidR="004713E0" w:rsidRPr="00713580">
        <w:rPr>
          <w:rFonts w:ascii="Garamond" w:hAnsi="Garamond"/>
          <w:sz w:val="32"/>
          <w:szCs w:val="32"/>
        </w:rPr>
        <w:t>a scarsa definizione d</w:t>
      </w:r>
      <w:r w:rsidR="007A486B" w:rsidRPr="00713580">
        <w:rPr>
          <w:rFonts w:ascii="Garamond" w:hAnsi="Garamond"/>
          <w:sz w:val="32"/>
          <w:szCs w:val="32"/>
        </w:rPr>
        <w:t xml:space="preserve">ei principi e criteri direttivi, </w:t>
      </w:r>
      <w:r w:rsidR="00521BAD" w:rsidRPr="00713580">
        <w:rPr>
          <w:rFonts w:ascii="Garamond" w:hAnsi="Garamond"/>
          <w:sz w:val="32"/>
          <w:szCs w:val="32"/>
        </w:rPr>
        <w:t>rilevata</w:t>
      </w:r>
      <w:r w:rsidR="00521BAD">
        <w:rPr>
          <w:rFonts w:ascii="Garamond" w:hAnsi="Garamond"/>
          <w:sz w:val="32"/>
          <w:szCs w:val="32"/>
        </w:rPr>
        <w:t xml:space="preserve"> nei pareri su</w:t>
      </w:r>
      <w:r>
        <w:rPr>
          <w:rFonts w:ascii="Garamond" w:hAnsi="Garamond"/>
          <w:sz w:val="32"/>
          <w:szCs w:val="32"/>
        </w:rPr>
        <w:t xml:space="preserve"> 5 disegn</w:t>
      </w:r>
      <w:r w:rsidR="007A486B">
        <w:rPr>
          <w:rFonts w:ascii="Garamond" w:hAnsi="Garamond"/>
          <w:sz w:val="32"/>
          <w:szCs w:val="32"/>
        </w:rPr>
        <w:t>i di legge</w:t>
      </w:r>
      <w:r>
        <w:rPr>
          <w:rFonts w:ascii="Garamond" w:hAnsi="Garamond"/>
          <w:sz w:val="32"/>
          <w:szCs w:val="32"/>
        </w:rPr>
        <w:t xml:space="preserve"> di iniziativa governativa</w:t>
      </w:r>
      <w:r w:rsidR="007A486B" w:rsidRPr="001033C1">
        <w:rPr>
          <w:rFonts w:ascii="Garamond" w:hAnsi="Garamond"/>
          <w:sz w:val="32"/>
          <w:szCs w:val="32"/>
        </w:rPr>
        <w:t xml:space="preserve"> (C. </w:t>
      </w:r>
      <w:r w:rsidRPr="001033C1">
        <w:rPr>
          <w:rFonts w:ascii="Garamond" w:hAnsi="Garamond"/>
          <w:sz w:val="32"/>
          <w:szCs w:val="32"/>
        </w:rPr>
        <w:t>2722</w:t>
      </w:r>
      <w:r w:rsidR="007A486B" w:rsidRPr="001033C1">
        <w:rPr>
          <w:rFonts w:ascii="Garamond" w:hAnsi="Garamond"/>
          <w:sz w:val="32"/>
          <w:szCs w:val="32"/>
        </w:rPr>
        <w:t xml:space="preserve"> </w:t>
      </w:r>
      <w:r w:rsidRPr="001033C1">
        <w:rPr>
          <w:rFonts w:ascii="Garamond" w:hAnsi="Garamond"/>
          <w:sz w:val="32"/>
          <w:szCs w:val="32"/>
        </w:rPr>
        <w:t>– nautica da diporto</w:t>
      </w:r>
      <w:r w:rsidR="007A486B" w:rsidRPr="001033C1">
        <w:rPr>
          <w:rFonts w:ascii="Garamond" w:hAnsi="Garamond"/>
          <w:sz w:val="32"/>
          <w:szCs w:val="32"/>
        </w:rPr>
        <w:t>; C. 2</w:t>
      </w:r>
      <w:r w:rsidRPr="001033C1">
        <w:rPr>
          <w:rFonts w:ascii="Garamond" w:hAnsi="Garamond"/>
          <w:sz w:val="32"/>
          <w:szCs w:val="32"/>
        </w:rPr>
        <w:t>994</w:t>
      </w:r>
      <w:r w:rsidR="007A486B" w:rsidRPr="001033C1">
        <w:rPr>
          <w:rFonts w:ascii="Garamond" w:hAnsi="Garamond"/>
          <w:sz w:val="32"/>
          <w:szCs w:val="32"/>
        </w:rPr>
        <w:t xml:space="preserve"> </w:t>
      </w:r>
      <w:r w:rsidRPr="001033C1">
        <w:rPr>
          <w:rFonts w:ascii="Garamond" w:hAnsi="Garamond"/>
          <w:sz w:val="32"/>
          <w:szCs w:val="32"/>
        </w:rPr>
        <w:t>– “buona scuola”</w:t>
      </w:r>
      <w:r w:rsidR="007A486B" w:rsidRPr="001033C1">
        <w:rPr>
          <w:rFonts w:ascii="Garamond" w:hAnsi="Garamond"/>
          <w:sz w:val="32"/>
          <w:szCs w:val="32"/>
        </w:rPr>
        <w:t xml:space="preserve">; C. </w:t>
      </w:r>
      <w:r w:rsidRPr="001033C1">
        <w:rPr>
          <w:rFonts w:ascii="Garamond" w:hAnsi="Garamond"/>
          <w:sz w:val="32"/>
          <w:szCs w:val="32"/>
        </w:rPr>
        <w:t>3098 – riorganizzazione delle pubbliche amministrazioni</w:t>
      </w:r>
      <w:r w:rsidR="00521BAD" w:rsidRPr="001033C1">
        <w:rPr>
          <w:rFonts w:ascii="Garamond" w:hAnsi="Garamond"/>
          <w:sz w:val="32"/>
          <w:szCs w:val="32"/>
        </w:rPr>
        <w:t xml:space="preserve">; C. </w:t>
      </w:r>
      <w:r>
        <w:rPr>
          <w:rFonts w:ascii="Garamond" w:hAnsi="Garamond"/>
          <w:sz w:val="32"/>
          <w:szCs w:val="32"/>
        </w:rPr>
        <w:t>3194 – delega appalti</w:t>
      </w:r>
      <w:r w:rsidR="00521BAD" w:rsidRPr="001033C1">
        <w:rPr>
          <w:rFonts w:ascii="Garamond" w:hAnsi="Garamond"/>
          <w:sz w:val="32"/>
          <w:szCs w:val="32"/>
        </w:rPr>
        <w:t xml:space="preserve">; C. </w:t>
      </w:r>
      <w:r>
        <w:rPr>
          <w:rFonts w:ascii="Garamond" w:hAnsi="Garamond"/>
          <w:sz w:val="32"/>
          <w:szCs w:val="32"/>
        </w:rPr>
        <w:t>3272 – riforma RAI</w:t>
      </w:r>
      <w:r w:rsidR="00521BAD" w:rsidRPr="001033C1">
        <w:rPr>
          <w:rFonts w:ascii="Garamond" w:hAnsi="Garamond"/>
          <w:sz w:val="32"/>
          <w:szCs w:val="32"/>
        </w:rPr>
        <w:t xml:space="preserve">); </w:t>
      </w:r>
    </w:p>
    <w:p w:rsidR="002A6687" w:rsidRPr="001033C1" w:rsidRDefault="004713E0" w:rsidP="00E10E3E">
      <w:pPr>
        <w:numPr>
          <w:ilvl w:val="0"/>
          <w:numId w:val="11"/>
        </w:numPr>
        <w:rPr>
          <w:rFonts w:ascii="Garamond" w:hAnsi="Garamond"/>
          <w:sz w:val="32"/>
          <w:szCs w:val="32"/>
        </w:rPr>
      </w:pPr>
      <w:r w:rsidRPr="00786DEC">
        <w:rPr>
          <w:rFonts w:ascii="Garamond" w:hAnsi="Garamond"/>
          <w:sz w:val="32"/>
          <w:szCs w:val="32"/>
        </w:rPr>
        <w:t xml:space="preserve">la sovrapposizione tra principi, criteri </w:t>
      </w:r>
      <w:r w:rsidR="00934ABD">
        <w:rPr>
          <w:rFonts w:ascii="Garamond" w:hAnsi="Garamond"/>
          <w:sz w:val="32"/>
          <w:szCs w:val="32"/>
        </w:rPr>
        <w:t xml:space="preserve">direttivi </w:t>
      </w:r>
      <w:r w:rsidR="00E50749">
        <w:rPr>
          <w:rFonts w:ascii="Garamond" w:hAnsi="Garamond"/>
          <w:sz w:val="32"/>
          <w:szCs w:val="32"/>
        </w:rPr>
        <w:t>ed oggetto della delega</w:t>
      </w:r>
      <w:r w:rsidR="00713580">
        <w:rPr>
          <w:rFonts w:ascii="Garamond" w:hAnsi="Garamond"/>
          <w:sz w:val="32"/>
          <w:szCs w:val="32"/>
        </w:rPr>
        <w:t>, anch’essa rilev</w:t>
      </w:r>
      <w:r w:rsidR="00E50749">
        <w:rPr>
          <w:rFonts w:ascii="Garamond" w:hAnsi="Garamond"/>
          <w:sz w:val="32"/>
          <w:szCs w:val="32"/>
        </w:rPr>
        <w:t>ata in 5 pareri</w:t>
      </w:r>
      <w:r w:rsidR="001033C1">
        <w:rPr>
          <w:rFonts w:ascii="Garamond" w:hAnsi="Garamond"/>
          <w:sz w:val="32"/>
          <w:szCs w:val="32"/>
        </w:rPr>
        <w:t>, su 4 disegni di le</w:t>
      </w:r>
      <w:r w:rsidR="008D3A73">
        <w:rPr>
          <w:rFonts w:ascii="Garamond" w:hAnsi="Garamond"/>
          <w:sz w:val="32"/>
          <w:szCs w:val="32"/>
        </w:rPr>
        <w:t>g</w:t>
      </w:r>
      <w:r w:rsidR="001033C1">
        <w:rPr>
          <w:rFonts w:ascii="Garamond" w:hAnsi="Garamond"/>
          <w:sz w:val="32"/>
          <w:szCs w:val="32"/>
        </w:rPr>
        <w:t>ge governativi (C. 2994; C. 3098;</w:t>
      </w:r>
      <w:r w:rsidR="00E50749">
        <w:rPr>
          <w:rFonts w:ascii="Garamond" w:hAnsi="Garamond"/>
          <w:sz w:val="32"/>
          <w:szCs w:val="32"/>
        </w:rPr>
        <w:t xml:space="preserve"> </w:t>
      </w:r>
      <w:r w:rsidR="001033C1">
        <w:rPr>
          <w:rFonts w:ascii="Garamond" w:hAnsi="Garamond"/>
          <w:sz w:val="32"/>
          <w:szCs w:val="32"/>
        </w:rPr>
        <w:t>C. 2798 – modifiche ai codici penale e di procedura penale; C. 3194) e sul tes</w:t>
      </w:r>
      <w:r w:rsidR="008D3A73">
        <w:rPr>
          <w:rFonts w:ascii="Garamond" w:hAnsi="Garamond"/>
          <w:sz w:val="32"/>
          <w:szCs w:val="32"/>
        </w:rPr>
        <w:t>t</w:t>
      </w:r>
      <w:r w:rsidR="001033C1">
        <w:rPr>
          <w:rFonts w:ascii="Garamond" w:hAnsi="Garamond"/>
          <w:sz w:val="32"/>
          <w:szCs w:val="32"/>
        </w:rPr>
        <w:t>o unificato C. 2607 ed abb., in materia di protezione civile</w:t>
      </w:r>
      <w:r w:rsidR="00713580">
        <w:rPr>
          <w:rFonts w:ascii="Garamond" w:hAnsi="Garamond"/>
          <w:sz w:val="32"/>
          <w:szCs w:val="32"/>
        </w:rPr>
        <w:t xml:space="preserve">. </w:t>
      </w:r>
    </w:p>
    <w:p w:rsidR="002A6687" w:rsidRPr="00EE2CD5" w:rsidRDefault="00713580" w:rsidP="00E10E3E">
      <w:pPr>
        <w:numPr>
          <w:ilvl w:val="0"/>
          <w:numId w:val="11"/>
        </w:numPr>
        <w:spacing w:after="120"/>
        <w:ind w:firstLine="0"/>
        <w:rPr>
          <w:rFonts w:ascii="Garamond" w:hAnsi="Garamond" w:cs="Arial"/>
          <w:sz w:val="32"/>
          <w:szCs w:val="32"/>
        </w:rPr>
      </w:pPr>
      <w:r w:rsidRPr="002A6687">
        <w:rPr>
          <w:rFonts w:ascii="Garamond" w:hAnsi="Garamond"/>
          <w:sz w:val="32"/>
          <w:szCs w:val="32"/>
        </w:rPr>
        <w:t xml:space="preserve">la possibilità di scegliere tra più opzioni alternative </w:t>
      </w:r>
      <w:r w:rsidR="001033C1" w:rsidRPr="002A6687">
        <w:rPr>
          <w:rFonts w:ascii="Garamond" w:hAnsi="Garamond"/>
          <w:sz w:val="32"/>
          <w:szCs w:val="32"/>
        </w:rPr>
        <w:t>è rilevata in 4 pareri, su tre disegni di legge governativi (</w:t>
      </w:r>
      <w:r w:rsidR="00216818" w:rsidRPr="002A6687">
        <w:rPr>
          <w:rFonts w:ascii="Garamond" w:hAnsi="Garamond"/>
          <w:sz w:val="32"/>
          <w:szCs w:val="32"/>
        </w:rPr>
        <w:t xml:space="preserve">C. </w:t>
      </w:r>
      <w:r w:rsidRPr="002A6687">
        <w:rPr>
          <w:rFonts w:ascii="Garamond" w:hAnsi="Garamond"/>
          <w:sz w:val="32"/>
          <w:szCs w:val="32"/>
        </w:rPr>
        <w:t>2</w:t>
      </w:r>
      <w:r w:rsidR="001033C1" w:rsidRPr="002A6687">
        <w:rPr>
          <w:rFonts w:ascii="Garamond" w:hAnsi="Garamond"/>
          <w:sz w:val="32"/>
          <w:szCs w:val="32"/>
        </w:rPr>
        <w:t>722;</w:t>
      </w:r>
      <w:r w:rsidRPr="002A6687">
        <w:rPr>
          <w:rFonts w:ascii="Garamond" w:hAnsi="Garamond"/>
          <w:sz w:val="32"/>
          <w:szCs w:val="32"/>
        </w:rPr>
        <w:t xml:space="preserve"> </w:t>
      </w:r>
      <w:r w:rsidR="00216818" w:rsidRPr="002A6687">
        <w:rPr>
          <w:rFonts w:ascii="Garamond" w:hAnsi="Garamond"/>
          <w:sz w:val="32"/>
          <w:szCs w:val="32"/>
        </w:rPr>
        <w:t xml:space="preserve">C. </w:t>
      </w:r>
      <w:r w:rsidR="001033C1" w:rsidRPr="002A6687">
        <w:rPr>
          <w:rFonts w:ascii="Garamond" w:hAnsi="Garamond"/>
          <w:sz w:val="32"/>
          <w:szCs w:val="32"/>
        </w:rPr>
        <w:t>3098; C. 3123 – legge di delegazione europea 2014</w:t>
      </w:r>
      <w:r w:rsidR="00216818" w:rsidRPr="002A6687">
        <w:rPr>
          <w:rFonts w:ascii="Garamond" w:hAnsi="Garamond"/>
          <w:sz w:val="32"/>
          <w:szCs w:val="32"/>
        </w:rPr>
        <w:t>)</w:t>
      </w:r>
      <w:r w:rsidR="00EE2CD5" w:rsidRPr="002A6687">
        <w:rPr>
          <w:rFonts w:ascii="Garamond" w:hAnsi="Garamond"/>
          <w:sz w:val="32"/>
          <w:szCs w:val="32"/>
        </w:rPr>
        <w:t xml:space="preserve"> e sul testo unificato C. 2607, in materia di protezione civile</w:t>
      </w:r>
      <w:r w:rsidR="00216818" w:rsidRPr="002A6687">
        <w:rPr>
          <w:rFonts w:ascii="Garamond" w:hAnsi="Garamond"/>
          <w:sz w:val="32"/>
          <w:szCs w:val="32"/>
        </w:rPr>
        <w:t>.</w:t>
      </w:r>
      <w:r w:rsidRPr="002A6687">
        <w:rPr>
          <w:rFonts w:ascii="Garamond" w:hAnsi="Garamond"/>
          <w:sz w:val="32"/>
          <w:szCs w:val="32"/>
        </w:rPr>
        <w:t xml:space="preserve"> </w:t>
      </w:r>
    </w:p>
    <w:p w:rsidR="00D27EAB" w:rsidRDefault="004713E0" w:rsidP="00E10E3E">
      <w:pPr>
        <w:numPr>
          <w:ilvl w:val="0"/>
          <w:numId w:val="11"/>
        </w:numPr>
        <w:rPr>
          <w:rFonts w:ascii="Garamond" w:hAnsi="Garamond"/>
          <w:sz w:val="32"/>
          <w:szCs w:val="32"/>
        </w:rPr>
      </w:pPr>
      <w:r w:rsidRPr="00786DEC">
        <w:rPr>
          <w:rFonts w:ascii="Garamond" w:hAnsi="Garamond"/>
          <w:sz w:val="32"/>
          <w:szCs w:val="32"/>
        </w:rPr>
        <w:t xml:space="preserve">le procedure di delega. In particolare, l’attenzione del Comitato si è concentrata sulla necessità di individuare termini certi e conoscibili per l’esercizio della delega, evitando tecniche di “scorrimento” di tali termini. </w:t>
      </w:r>
      <w:r w:rsidRPr="00340184">
        <w:rPr>
          <w:rFonts w:ascii="Garamond" w:hAnsi="Garamond"/>
          <w:sz w:val="32"/>
          <w:szCs w:val="32"/>
        </w:rPr>
        <w:t>Ne</w:t>
      </w:r>
      <w:r w:rsidR="008948AB" w:rsidRPr="00340184">
        <w:rPr>
          <w:rFonts w:ascii="Garamond" w:hAnsi="Garamond"/>
          <w:sz w:val="32"/>
          <w:szCs w:val="32"/>
        </w:rPr>
        <w:t>i pareri</w:t>
      </w:r>
      <w:r w:rsidRPr="00340184">
        <w:rPr>
          <w:rFonts w:ascii="Garamond" w:hAnsi="Garamond"/>
          <w:sz w:val="32"/>
          <w:szCs w:val="32"/>
        </w:rPr>
        <w:t xml:space="preserve"> </w:t>
      </w:r>
      <w:r w:rsidR="008948AB" w:rsidRPr="00340184">
        <w:rPr>
          <w:rFonts w:ascii="Garamond" w:hAnsi="Garamond"/>
          <w:sz w:val="32"/>
          <w:szCs w:val="32"/>
        </w:rPr>
        <w:t>su</w:t>
      </w:r>
      <w:r w:rsidR="00EE2CD5">
        <w:rPr>
          <w:rFonts w:ascii="Garamond" w:hAnsi="Garamond"/>
          <w:sz w:val="32"/>
          <w:szCs w:val="32"/>
        </w:rPr>
        <w:t>l disegno di legge di conversione C. 2915 e su altri 4 disegni di legge governativi (C. 2994; C. 3098; C. 2798; C. 3194)</w:t>
      </w:r>
      <w:r w:rsidR="008948AB" w:rsidRPr="00340184">
        <w:rPr>
          <w:rFonts w:ascii="Garamond" w:hAnsi="Garamond"/>
          <w:sz w:val="32"/>
          <w:szCs w:val="32"/>
        </w:rPr>
        <w:t xml:space="preserve"> il </w:t>
      </w:r>
      <w:r w:rsidRPr="00030E8B">
        <w:rPr>
          <w:rFonts w:ascii="Garamond" w:hAnsi="Garamond"/>
          <w:sz w:val="32"/>
          <w:szCs w:val="32"/>
        </w:rPr>
        <w:t>Comitato constata</w:t>
      </w:r>
      <w:r w:rsidR="008948AB" w:rsidRPr="00030E8B">
        <w:rPr>
          <w:rFonts w:ascii="Garamond" w:hAnsi="Garamond"/>
          <w:sz w:val="32"/>
          <w:szCs w:val="32"/>
        </w:rPr>
        <w:t xml:space="preserve"> nelle premesse </w:t>
      </w:r>
      <w:r w:rsidR="007A486B" w:rsidRPr="00030E8B">
        <w:rPr>
          <w:rFonts w:ascii="Garamond" w:hAnsi="Garamond"/>
          <w:sz w:val="32"/>
          <w:szCs w:val="32"/>
        </w:rPr>
        <w:t>(</w:t>
      </w:r>
      <w:hyperlink w:anchor="S05a04" w:history="1">
        <w:r w:rsidR="007A486B" w:rsidRPr="00030E8B">
          <w:rPr>
            <w:rStyle w:val="Collegamentoipertestuale"/>
            <w:rFonts w:ascii="Garamond" w:hAnsi="Garamond"/>
            <w:sz w:val="32"/>
            <w:szCs w:val="32"/>
          </w:rPr>
          <w:t xml:space="preserve">Scheda </w:t>
        </w:r>
        <w:r w:rsidR="00EE2CD5" w:rsidRPr="00030E8B">
          <w:rPr>
            <w:rStyle w:val="Collegamentoipertestuale"/>
            <w:rFonts w:ascii="Garamond" w:hAnsi="Garamond"/>
            <w:sz w:val="32"/>
            <w:szCs w:val="32"/>
          </w:rPr>
          <w:t>5</w:t>
        </w:r>
        <w:r w:rsidR="007A486B" w:rsidRPr="00030E8B">
          <w:rPr>
            <w:rStyle w:val="Collegamentoipertestuale"/>
            <w:rFonts w:ascii="Garamond" w:hAnsi="Garamond"/>
            <w:sz w:val="32"/>
            <w:szCs w:val="32"/>
          </w:rPr>
          <w:t xml:space="preserve">, punto </w:t>
        </w:r>
        <w:r w:rsidR="00EE2CD5" w:rsidRPr="00030E8B">
          <w:rPr>
            <w:rStyle w:val="Collegamentoipertestuale"/>
            <w:rFonts w:ascii="Garamond" w:hAnsi="Garamond"/>
            <w:sz w:val="32"/>
            <w:szCs w:val="32"/>
          </w:rPr>
          <w:t>4</w:t>
        </w:r>
      </w:hyperlink>
      <w:r w:rsidR="007A486B" w:rsidRPr="00030E8B">
        <w:rPr>
          <w:rFonts w:ascii="Garamond" w:hAnsi="Garamond"/>
          <w:sz w:val="32"/>
          <w:szCs w:val="32"/>
        </w:rPr>
        <w:t xml:space="preserve">; </w:t>
      </w:r>
      <w:hyperlink w:anchor="S09a04" w:history="1">
        <w:r w:rsidR="007A486B" w:rsidRPr="00030E8B">
          <w:rPr>
            <w:rStyle w:val="Collegamentoipertestuale"/>
            <w:rFonts w:ascii="Garamond" w:hAnsi="Garamond"/>
            <w:sz w:val="32"/>
            <w:szCs w:val="32"/>
          </w:rPr>
          <w:t xml:space="preserve">Scheda </w:t>
        </w:r>
        <w:r w:rsidR="00EE2CD5" w:rsidRPr="00030E8B">
          <w:rPr>
            <w:rStyle w:val="Collegamentoipertestuale"/>
            <w:rFonts w:ascii="Garamond" w:hAnsi="Garamond"/>
            <w:sz w:val="32"/>
            <w:szCs w:val="32"/>
          </w:rPr>
          <w:t>9</w:t>
        </w:r>
        <w:r w:rsidR="007A486B" w:rsidRPr="00030E8B">
          <w:rPr>
            <w:rStyle w:val="Collegamentoipertestuale"/>
            <w:rFonts w:ascii="Garamond" w:hAnsi="Garamond"/>
            <w:sz w:val="32"/>
            <w:szCs w:val="32"/>
          </w:rPr>
          <w:t xml:space="preserve">, punto </w:t>
        </w:r>
        <w:r w:rsidR="00EE2CD5" w:rsidRPr="00030E8B">
          <w:rPr>
            <w:rStyle w:val="Collegamentoipertestuale"/>
            <w:rFonts w:ascii="Garamond" w:hAnsi="Garamond"/>
            <w:sz w:val="32"/>
            <w:szCs w:val="32"/>
          </w:rPr>
          <w:t>4</w:t>
        </w:r>
      </w:hyperlink>
      <w:r w:rsidR="007A486B" w:rsidRPr="00030E8B">
        <w:rPr>
          <w:rFonts w:ascii="Garamond" w:hAnsi="Garamond"/>
          <w:sz w:val="32"/>
          <w:szCs w:val="32"/>
        </w:rPr>
        <w:t xml:space="preserve">; </w:t>
      </w:r>
      <w:hyperlink w:anchor="S12a09" w:history="1">
        <w:r w:rsidR="007A486B" w:rsidRPr="00030E8B">
          <w:rPr>
            <w:rStyle w:val="Collegamentoipertestuale"/>
            <w:rFonts w:ascii="Garamond" w:hAnsi="Garamond"/>
            <w:sz w:val="32"/>
            <w:szCs w:val="32"/>
          </w:rPr>
          <w:t xml:space="preserve">Scheda </w:t>
        </w:r>
        <w:r w:rsidR="00EE2CD5" w:rsidRPr="00030E8B">
          <w:rPr>
            <w:rStyle w:val="Collegamentoipertestuale"/>
            <w:rFonts w:ascii="Garamond" w:hAnsi="Garamond"/>
            <w:sz w:val="32"/>
            <w:szCs w:val="32"/>
          </w:rPr>
          <w:t>1</w:t>
        </w:r>
        <w:r w:rsidR="007A486B" w:rsidRPr="00030E8B">
          <w:rPr>
            <w:rStyle w:val="Collegamentoipertestuale"/>
            <w:rFonts w:ascii="Garamond" w:hAnsi="Garamond"/>
            <w:sz w:val="32"/>
            <w:szCs w:val="32"/>
          </w:rPr>
          <w:t xml:space="preserve">2, punto </w:t>
        </w:r>
        <w:r w:rsidR="00EE2CD5" w:rsidRPr="00030E8B">
          <w:rPr>
            <w:rStyle w:val="Collegamentoipertestuale"/>
            <w:rFonts w:ascii="Garamond" w:hAnsi="Garamond"/>
            <w:sz w:val="32"/>
            <w:szCs w:val="32"/>
          </w:rPr>
          <w:t>9</w:t>
        </w:r>
      </w:hyperlink>
      <w:r w:rsidR="00EE2CD5" w:rsidRPr="00030E8B">
        <w:rPr>
          <w:rFonts w:ascii="Garamond" w:hAnsi="Garamond"/>
          <w:sz w:val="32"/>
          <w:szCs w:val="32"/>
        </w:rPr>
        <w:t xml:space="preserve">; </w:t>
      </w:r>
      <w:hyperlink w:anchor="S14a09" w:history="1">
        <w:r w:rsidR="00EE2CD5" w:rsidRPr="00030E8B">
          <w:rPr>
            <w:rStyle w:val="Collegamentoipertestuale"/>
            <w:rFonts w:ascii="Garamond" w:hAnsi="Garamond"/>
            <w:sz w:val="32"/>
            <w:szCs w:val="32"/>
          </w:rPr>
          <w:t>Scheda 14, punto 9</w:t>
        </w:r>
      </w:hyperlink>
      <w:r w:rsidR="00EE2CD5" w:rsidRPr="00030E8B">
        <w:rPr>
          <w:rFonts w:ascii="Garamond" w:hAnsi="Garamond"/>
          <w:sz w:val="32"/>
          <w:szCs w:val="32"/>
        </w:rPr>
        <w:t xml:space="preserve">; </w:t>
      </w:r>
      <w:hyperlink w:anchor="S21a05" w:history="1">
        <w:r w:rsidR="00EE2CD5" w:rsidRPr="00030E8B">
          <w:rPr>
            <w:rStyle w:val="Collegamentoipertestuale"/>
            <w:rFonts w:ascii="Garamond" w:hAnsi="Garamond"/>
            <w:sz w:val="32"/>
            <w:szCs w:val="32"/>
          </w:rPr>
          <w:t>Scheda 21, punto 5</w:t>
        </w:r>
      </w:hyperlink>
      <w:r w:rsidR="007A486B" w:rsidRPr="00030E8B">
        <w:rPr>
          <w:rFonts w:ascii="Garamond" w:hAnsi="Garamond"/>
          <w:sz w:val="32"/>
          <w:szCs w:val="32"/>
        </w:rPr>
        <w:t xml:space="preserve">) </w:t>
      </w:r>
      <w:r w:rsidR="008948AB" w:rsidRPr="00030E8B">
        <w:rPr>
          <w:rFonts w:ascii="Garamond" w:hAnsi="Garamond"/>
          <w:sz w:val="32"/>
          <w:szCs w:val="32"/>
        </w:rPr>
        <w:t>il ricorso alla tecnica dello scorrimento,</w:t>
      </w:r>
      <w:r w:rsidR="008948AB" w:rsidRPr="007A486B">
        <w:rPr>
          <w:rFonts w:ascii="Garamond" w:hAnsi="Garamond"/>
          <w:sz w:val="32"/>
          <w:szCs w:val="32"/>
        </w:rPr>
        <w:t xml:space="preserve"> consistente nella possibilità di  prolungare</w:t>
      </w:r>
      <w:r w:rsidR="008948AB" w:rsidRPr="008948AB">
        <w:rPr>
          <w:rFonts w:ascii="Garamond" w:hAnsi="Garamond"/>
          <w:sz w:val="32"/>
          <w:szCs w:val="32"/>
        </w:rPr>
        <w:t xml:space="preserve"> il termine per </w:t>
      </w:r>
      <w:r w:rsidR="008948AB">
        <w:rPr>
          <w:rFonts w:ascii="Garamond" w:hAnsi="Garamond"/>
          <w:sz w:val="32"/>
          <w:szCs w:val="32"/>
        </w:rPr>
        <w:lastRenderedPageBreak/>
        <w:t xml:space="preserve">l’esercizio della delega quando </w:t>
      </w:r>
      <w:r w:rsidR="008948AB" w:rsidRPr="008948AB">
        <w:rPr>
          <w:rFonts w:ascii="Garamond" w:hAnsi="Garamond"/>
          <w:sz w:val="32"/>
          <w:szCs w:val="32"/>
        </w:rPr>
        <w:t xml:space="preserve">l'espressione dei pareri parlamentari </w:t>
      </w:r>
      <w:r w:rsidR="008948AB">
        <w:rPr>
          <w:rFonts w:ascii="Garamond" w:hAnsi="Garamond"/>
          <w:sz w:val="32"/>
          <w:szCs w:val="32"/>
        </w:rPr>
        <w:t>s</w:t>
      </w:r>
      <w:r w:rsidR="008948AB" w:rsidRPr="008948AB">
        <w:rPr>
          <w:rFonts w:ascii="Garamond" w:hAnsi="Garamond"/>
          <w:sz w:val="32"/>
          <w:szCs w:val="32"/>
        </w:rPr>
        <w:t>cada nei trenta giorni che precedono o seguono la scadenza de</w:t>
      </w:r>
      <w:r w:rsidR="008948AB">
        <w:rPr>
          <w:rFonts w:ascii="Garamond" w:hAnsi="Garamond"/>
          <w:sz w:val="32"/>
          <w:szCs w:val="32"/>
        </w:rPr>
        <w:t>l termine stesso, ponendo in ciascun parere una condizione finalizzata</w:t>
      </w:r>
      <w:r w:rsidR="007A486B">
        <w:rPr>
          <w:rFonts w:ascii="Garamond" w:hAnsi="Garamond"/>
          <w:sz w:val="32"/>
          <w:szCs w:val="32"/>
        </w:rPr>
        <w:t xml:space="preserve"> ad individuare </w:t>
      </w:r>
      <w:r w:rsidR="007A486B" w:rsidRPr="008948AB">
        <w:rPr>
          <w:rFonts w:ascii="Garamond" w:hAnsi="Garamond"/>
          <w:sz w:val="32"/>
          <w:szCs w:val="32"/>
        </w:rPr>
        <w:t>«</w:t>
      </w:r>
      <w:r w:rsidR="008948AB" w:rsidRPr="008948AB">
        <w:rPr>
          <w:rFonts w:ascii="Garamond" w:hAnsi="Garamond"/>
          <w:sz w:val="32"/>
          <w:szCs w:val="32"/>
        </w:rPr>
        <w:t>il termine per l'esercizio della delega in modo univoco senza possibilità di scorrimenti</w:t>
      </w:r>
      <w:r w:rsidR="008948AB">
        <w:rPr>
          <w:rFonts w:ascii="Garamond" w:hAnsi="Garamond"/>
          <w:sz w:val="32"/>
          <w:szCs w:val="32"/>
        </w:rPr>
        <w:t>”.</w:t>
      </w:r>
      <w:r w:rsidR="008948AB" w:rsidRPr="008948AB">
        <w:rPr>
          <w:rFonts w:ascii="Garamond" w:hAnsi="Garamond"/>
          <w:sz w:val="32"/>
          <w:szCs w:val="32"/>
        </w:rPr>
        <w:t>»</w:t>
      </w:r>
      <w:r w:rsidRPr="00340184">
        <w:rPr>
          <w:rFonts w:ascii="Garamond" w:hAnsi="Garamond"/>
          <w:sz w:val="32"/>
          <w:szCs w:val="32"/>
        </w:rPr>
        <w:t>.</w:t>
      </w:r>
      <w:r w:rsidR="00713580">
        <w:rPr>
          <w:rFonts w:ascii="Garamond" w:hAnsi="Garamond"/>
          <w:sz w:val="32"/>
          <w:szCs w:val="32"/>
        </w:rPr>
        <w:t xml:space="preserve"> </w:t>
      </w:r>
      <w:r w:rsidR="00D27EAB">
        <w:rPr>
          <w:rFonts w:ascii="Garamond" w:hAnsi="Garamond"/>
          <w:sz w:val="32"/>
          <w:szCs w:val="32"/>
        </w:rPr>
        <w:t>Nel parere sul disegno di legge di conversione C. 2915 la condizione relativa alla fissazione di un termine certo è subordinata ad una condizione soppressiva della disposizione  incidente sulla delega.</w:t>
      </w:r>
    </w:p>
    <w:p w:rsidR="004713E0" w:rsidRPr="00E63DBD" w:rsidRDefault="00713580" w:rsidP="00D27EAB">
      <w:pPr>
        <w:ind w:left="283" w:firstLine="0"/>
        <w:rPr>
          <w:rFonts w:ascii="Garamond" w:hAnsi="Garamond"/>
          <w:sz w:val="32"/>
          <w:szCs w:val="32"/>
        </w:rPr>
      </w:pPr>
      <w:r>
        <w:rPr>
          <w:rFonts w:ascii="Garamond" w:hAnsi="Garamond"/>
          <w:sz w:val="32"/>
          <w:szCs w:val="32"/>
        </w:rPr>
        <w:t xml:space="preserve">Nelle premesse del parere sul </w:t>
      </w:r>
      <w:r w:rsidR="00D27EAB">
        <w:rPr>
          <w:rFonts w:ascii="Garamond" w:hAnsi="Garamond"/>
          <w:sz w:val="32"/>
          <w:szCs w:val="32"/>
        </w:rPr>
        <w:t>te</w:t>
      </w:r>
      <w:r w:rsidR="00EE2CD5">
        <w:rPr>
          <w:rFonts w:ascii="Garamond" w:hAnsi="Garamond"/>
          <w:sz w:val="32"/>
          <w:szCs w:val="32"/>
        </w:rPr>
        <w:t>s</w:t>
      </w:r>
      <w:r w:rsidR="00D27EAB">
        <w:rPr>
          <w:rFonts w:ascii="Garamond" w:hAnsi="Garamond"/>
          <w:sz w:val="32"/>
          <w:szCs w:val="32"/>
        </w:rPr>
        <w:t>to unificato C. 2607 ed abb. i</w:t>
      </w:r>
      <w:r w:rsidR="00EE2CD5">
        <w:rPr>
          <w:rFonts w:ascii="Garamond" w:hAnsi="Garamond"/>
          <w:sz w:val="32"/>
          <w:szCs w:val="32"/>
        </w:rPr>
        <w:t xml:space="preserve">l Comitato si sofferma su un gravame procedurale imposto al Governo qualora intenda procedere all’adozione di decreti legislativi integrativi e correttivi: </w:t>
      </w:r>
      <w:r w:rsidR="00EE2CD5" w:rsidRPr="00EE2CD5">
        <w:rPr>
          <w:rFonts w:ascii="Garamond" w:hAnsi="Garamond"/>
          <w:sz w:val="32"/>
          <w:szCs w:val="32"/>
        </w:rPr>
        <w:t xml:space="preserve">«al comma 6 dell'articolo 1 andrebbe approfondita, in assenza di precedenti in tal senso, la </w:t>
      </w:r>
      <w:r w:rsidR="00EE2CD5" w:rsidRPr="00EE2CD5">
        <w:rPr>
          <w:rFonts w:ascii="Garamond" w:hAnsi="Garamond"/>
          <w:i/>
          <w:sz w:val="32"/>
          <w:szCs w:val="32"/>
        </w:rPr>
        <w:t>ratio</w:t>
      </w:r>
      <w:r w:rsidR="00EE2CD5" w:rsidRPr="00EE2CD5">
        <w:rPr>
          <w:rFonts w:ascii="Garamond" w:hAnsi="Garamond"/>
          <w:sz w:val="32"/>
          <w:szCs w:val="32"/>
        </w:rPr>
        <w:t xml:space="preserve"> della previsione dell'obbligo di presentare una relazione motivata alle Camere per procedere all'adozione di decreti legislativi integrativi o correttivi; appare inoltre ultronea, perché riferita ad aspetti endoprocedimentali, la previsione che la relazione sia presentata dal Presidente del Consiglio dei ministri su proposta del capo del Dipartimento della protezione </w:t>
      </w:r>
      <w:r w:rsidR="00EE2CD5" w:rsidRPr="00030E8B">
        <w:rPr>
          <w:rFonts w:ascii="Garamond" w:hAnsi="Garamond"/>
          <w:sz w:val="32"/>
          <w:szCs w:val="32"/>
        </w:rPr>
        <w:t>civile»</w:t>
      </w:r>
      <w:r w:rsidR="00D27EAB" w:rsidRPr="00030E8B">
        <w:rPr>
          <w:rFonts w:ascii="Garamond" w:hAnsi="Garamond"/>
          <w:sz w:val="32"/>
          <w:szCs w:val="32"/>
        </w:rPr>
        <w:t xml:space="preserve"> (</w:t>
      </w:r>
      <w:hyperlink w:anchor="S18a05" w:history="1">
        <w:r w:rsidR="00D27EAB" w:rsidRPr="00030E8B">
          <w:rPr>
            <w:rStyle w:val="Collegamentoipertestuale"/>
            <w:rFonts w:ascii="Garamond" w:hAnsi="Garamond"/>
            <w:sz w:val="32"/>
            <w:szCs w:val="32"/>
          </w:rPr>
          <w:t>Scheda 18, punto 5</w:t>
        </w:r>
      </w:hyperlink>
      <w:r w:rsidR="00D27EAB" w:rsidRPr="00030E8B">
        <w:rPr>
          <w:rFonts w:ascii="Garamond" w:hAnsi="Garamond"/>
          <w:sz w:val="32"/>
          <w:szCs w:val="32"/>
        </w:rPr>
        <w:t>)</w:t>
      </w:r>
      <w:r w:rsidR="00EE2CD5" w:rsidRPr="00030E8B">
        <w:rPr>
          <w:rFonts w:ascii="Garamond" w:hAnsi="Garamond"/>
          <w:sz w:val="32"/>
          <w:szCs w:val="32"/>
        </w:rPr>
        <w:t>. Ne consegue una osservazione ove il Comitato invita la Commissione</w:t>
      </w:r>
      <w:r w:rsidR="00EE2CD5">
        <w:rPr>
          <w:rFonts w:ascii="Garamond" w:hAnsi="Garamond"/>
          <w:sz w:val="32"/>
          <w:szCs w:val="32"/>
        </w:rPr>
        <w:t xml:space="preserve"> di merito a riformulare la </w:t>
      </w:r>
      <w:r w:rsidR="00EE2CD5" w:rsidRPr="00030E8B">
        <w:rPr>
          <w:rFonts w:ascii="Garamond" w:hAnsi="Garamond"/>
          <w:sz w:val="32"/>
          <w:szCs w:val="32"/>
        </w:rPr>
        <w:t>disposizione</w:t>
      </w:r>
      <w:r w:rsidR="00D27EAB" w:rsidRPr="00030E8B">
        <w:rPr>
          <w:rFonts w:ascii="Garamond" w:hAnsi="Garamond"/>
          <w:sz w:val="32"/>
          <w:szCs w:val="32"/>
        </w:rPr>
        <w:t xml:space="preserve"> (</w:t>
      </w:r>
      <w:hyperlink w:anchor="S18o02" w:history="1">
        <w:r w:rsidR="00D27EAB" w:rsidRPr="00030E8B">
          <w:rPr>
            <w:rStyle w:val="Collegamentoipertestuale"/>
            <w:rFonts w:ascii="Garamond" w:hAnsi="Garamond"/>
            <w:sz w:val="32"/>
            <w:szCs w:val="32"/>
          </w:rPr>
          <w:t>Scheda 18, osservazione 2</w:t>
        </w:r>
      </w:hyperlink>
      <w:r w:rsidR="00D27EAB" w:rsidRPr="00030E8B">
        <w:rPr>
          <w:rFonts w:ascii="Garamond" w:hAnsi="Garamond"/>
          <w:sz w:val="32"/>
          <w:szCs w:val="32"/>
        </w:rPr>
        <w:t>)</w:t>
      </w:r>
      <w:r w:rsidR="00EE2CD5" w:rsidRPr="00030E8B">
        <w:rPr>
          <w:rFonts w:ascii="Garamond" w:hAnsi="Garamond"/>
          <w:sz w:val="32"/>
          <w:szCs w:val="32"/>
        </w:rPr>
        <w:t>.</w:t>
      </w:r>
      <w:r w:rsidR="00EE2CD5" w:rsidRPr="00EE2CD5">
        <w:rPr>
          <w:rFonts w:ascii="Garamond" w:hAnsi="Garamond"/>
          <w:sz w:val="32"/>
          <w:szCs w:val="32"/>
        </w:rPr>
        <w:t xml:space="preserve"> </w:t>
      </w:r>
    </w:p>
    <w:p w:rsidR="00713580" w:rsidRPr="008A1B57" w:rsidRDefault="00713580" w:rsidP="00713580">
      <w:pPr>
        <w:ind w:left="567" w:firstLine="0"/>
        <w:rPr>
          <w:rFonts w:ascii="Garamond" w:hAnsi="Garamond"/>
          <w:color w:val="800000"/>
          <w:sz w:val="32"/>
          <w:szCs w:val="32"/>
        </w:rPr>
      </w:pPr>
    </w:p>
    <w:p w:rsidR="004713E0" w:rsidRDefault="004713E0" w:rsidP="004713E0">
      <w:pPr>
        <w:rPr>
          <w:rFonts w:ascii="Garamond" w:hAnsi="Garamond"/>
          <w:sz w:val="32"/>
          <w:szCs w:val="32"/>
        </w:rPr>
      </w:pPr>
      <w:r>
        <w:rPr>
          <w:rFonts w:ascii="Garamond" w:hAnsi="Garamond"/>
          <w:sz w:val="32"/>
          <w:szCs w:val="32"/>
        </w:rPr>
        <w:t>La tabella seguente dà conto della frequenza dei vari rilievi negli atti esaminati.</w:t>
      </w:r>
    </w:p>
    <w:p w:rsidR="004713E0" w:rsidRDefault="004713E0" w:rsidP="004713E0">
      <w:pPr>
        <w:rPr>
          <w:rFonts w:ascii="Garamond" w:hAnsi="Garamond"/>
          <w:sz w:val="32"/>
          <w:szCs w:val="32"/>
        </w:rPr>
      </w:pPr>
    </w:p>
    <w:p w:rsidR="00D27EAB" w:rsidRDefault="00D27EAB" w:rsidP="004713E0">
      <w:pPr>
        <w:rPr>
          <w:rFonts w:ascii="Garamond" w:hAnsi="Garamond"/>
          <w:sz w:val="32"/>
          <w:szCs w:val="32"/>
        </w:rPr>
      </w:pPr>
    </w:p>
    <w:p w:rsidR="00D27EAB" w:rsidRDefault="00D27EAB" w:rsidP="004713E0">
      <w:pPr>
        <w:rPr>
          <w:rFonts w:ascii="Garamond" w:hAnsi="Garamond"/>
          <w:sz w:val="32"/>
          <w:szCs w:val="32"/>
        </w:rPr>
      </w:pPr>
    </w:p>
    <w:p w:rsidR="00D27EAB" w:rsidRDefault="00D27EAB" w:rsidP="004713E0">
      <w:pPr>
        <w:rPr>
          <w:rFonts w:ascii="Garamond" w:hAnsi="Garamond"/>
          <w:sz w:val="32"/>
          <w:szCs w:val="32"/>
        </w:rPr>
      </w:pPr>
    </w:p>
    <w:p w:rsidR="0020150B" w:rsidRDefault="0020150B">
      <w:pPr>
        <w:spacing w:line="240" w:lineRule="auto"/>
        <w:ind w:firstLine="0"/>
        <w:jc w:val="left"/>
        <w:rPr>
          <w:rFonts w:ascii="Garamond" w:hAnsi="Garamond"/>
          <w:sz w:val="32"/>
          <w:szCs w:val="32"/>
        </w:rPr>
      </w:pPr>
      <w:r>
        <w:rPr>
          <w:rFonts w:ascii="Garamond" w:hAnsi="Garamond"/>
          <w:sz w:val="32"/>
          <w:szCs w:val="32"/>
        </w:rPr>
        <w:br w:type="page"/>
      </w:r>
    </w:p>
    <w:p w:rsidR="00E63DBD" w:rsidRDefault="00E63DBD" w:rsidP="004713E0">
      <w:pPr>
        <w:rPr>
          <w:rFonts w:ascii="Garamond" w:hAnsi="Garamond"/>
          <w:sz w:val="32"/>
          <w:szCs w:val="32"/>
        </w:rPr>
      </w:pPr>
    </w:p>
    <w:tbl>
      <w:tblPr>
        <w:tblW w:w="5000" w:type="pct"/>
        <w:jc w:val="center"/>
        <w:tblCellMar>
          <w:left w:w="70" w:type="dxa"/>
          <w:right w:w="70" w:type="dxa"/>
        </w:tblCellMar>
        <w:tblLook w:val="0000" w:firstRow="0" w:lastRow="0" w:firstColumn="0" w:lastColumn="0" w:noHBand="0" w:noVBand="0"/>
      </w:tblPr>
      <w:tblGrid>
        <w:gridCol w:w="4049"/>
        <w:gridCol w:w="2090"/>
        <w:gridCol w:w="1937"/>
      </w:tblGrid>
      <w:tr w:rsidR="004713E0" w:rsidRPr="004638AA" w:rsidTr="00216818">
        <w:trPr>
          <w:trHeight w:val="1002"/>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bottom"/>
          </w:tcPr>
          <w:p w:rsidR="004713E0" w:rsidRPr="004638AA" w:rsidRDefault="004713E0" w:rsidP="00AB5089">
            <w:pPr>
              <w:spacing w:line="240" w:lineRule="auto"/>
              <w:ind w:firstLine="0"/>
              <w:jc w:val="center"/>
              <w:rPr>
                <w:rFonts w:ascii="Garamond" w:hAnsi="Garamond" w:cs="Arial"/>
                <w:b/>
                <w:bCs/>
                <w:color w:val="0000FF"/>
                <w:sz w:val="32"/>
                <w:szCs w:val="32"/>
              </w:rPr>
            </w:pPr>
            <w:r w:rsidRPr="004638AA">
              <w:rPr>
                <w:rFonts w:ascii="Garamond" w:hAnsi="Garamond" w:cs="Arial"/>
                <w:b/>
                <w:bCs/>
                <w:color w:val="0000FF"/>
                <w:sz w:val="32"/>
                <w:szCs w:val="32"/>
              </w:rPr>
              <w:t>Rilievi riguardanti progetti di legge contenenti disposizioni di delega</w:t>
            </w:r>
          </w:p>
        </w:tc>
      </w:tr>
      <w:tr w:rsidR="004713E0" w:rsidRPr="004638AA" w:rsidTr="00216818">
        <w:trPr>
          <w:trHeight w:val="1200"/>
          <w:jc w:val="center"/>
        </w:trPr>
        <w:tc>
          <w:tcPr>
            <w:tcW w:w="2507" w:type="pct"/>
            <w:tcBorders>
              <w:top w:val="nil"/>
              <w:left w:val="single" w:sz="4" w:space="0" w:color="auto"/>
              <w:bottom w:val="single" w:sz="4" w:space="0" w:color="auto"/>
              <w:right w:val="single" w:sz="4" w:space="0" w:color="auto"/>
            </w:tcBorders>
            <w:shd w:val="clear" w:color="auto" w:fill="FFFF99"/>
            <w:vAlign w:val="center"/>
          </w:tcPr>
          <w:p w:rsidR="004713E0" w:rsidRPr="004638AA" w:rsidRDefault="004713E0" w:rsidP="00AB5089">
            <w:pPr>
              <w:spacing w:line="240" w:lineRule="auto"/>
              <w:ind w:firstLine="0"/>
              <w:jc w:val="center"/>
              <w:rPr>
                <w:rFonts w:ascii="Garamond" w:hAnsi="Garamond" w:cs="Arial"/>
                <w:b/>
                <w:bCs/>
                <w:color w:val="0000FF"/>
                <w:sz w:val="28"/>
                <w:szCs w:val="28"/>
              </w:rPr>
            </w:pPr>
            <w:r w:rsidRPr="004638AA">
              <w:rPr>
                <w:rFonts w:ascii="Garamond" w:hAnsi="Garamond" w:cs="Arial"/>
                <w:b/>
                <w:bCs/>
                <w:color w:val="0000FF"/>
                <w:sz w:val="28"/>
                <w:szCs w:val="28"/>
              </w:rPr>
              <w:t>Tipologia dei rilievi formulati nei pareri</w:t>
            </w:r>
          </w:p>
        </w:tc>
        <w:tc>
          <w:tcPr>
            <w:tcW w:w="1294" w:type="pct"/>
            <w:tcBorders>
              <w:top w:val="nil"/>
              <w:left w:val="nil"/>
              <w:bottom w:val="single" w:sz="4" w:space="0" w:color="auto"/>
              <w:right w:val="single" w:sz="4" w:space="0" w:color="auto"/>
            </w:tcBorders>
            <w:shd w:val="clear" w:color="auto" w:fill="FFFF99"/>
            <w:vAlign w:val="center"/>
          </w:tcPr>
          <w:p w:rsidR="004713E0" w:rsidRPr="004638AA" w:rsidRDefault="004713E0" w:rsidP="00AB5089">
            <w:pPr>
              <w:spacing w:line="240" w:lineRule="auto"/>
              <w:ind w:firstLine="0"/>
              <w:jc w:val="center"/>
              <w:rPr>
                <w:rFonts w:ascii="Garamond" w:hAnsi="Garamond" w:cs="Arial"/>
                <w:b/>
                <w:bCs/>
                <w:color w:val="0000FF"/>
                <w:sz w:val="28"/>
                <w:szCs w:val="28"/>
              </w:rPr>
            </w:pPr>
            <w:r w:rsidRPr="004638AA">
              <w:rPr>
                <w:rFonts w:ascii="Garamond" w:hAnsi="Garamond" w:cs="Arial"/>
                <w:b/>
                <w:bCs/>
                <w:color w:val="0000FF"/>
                <w:sz w:val="28"/>
                <w:szCs w:val="28"/>
              </w:rPr>
              <w:t>N. di pareri contenenti il rilievo</w:t>
            </w:r>
          </w:p>
        </w:tc>
        <w:tc>
          <w:tcPr>
            <w:tcW w:w="1199" w:type="pct"/>
            <w:tcBorders>
              <w:top w:val="nil"/>
              <w:left w:val="nil"/>
              <w:bottom w:val="single" w:sz="4" w:space="0" w:color="auto"/>
              <w:right w:val="single" w:sz="4" w:space="0" w:color="auto"/>
            </w:tcBorders>
            <w:shd w:val="clear" w:color="auto" w:fill="FFFF99"/>
            <w:vAlign w:val="center"/>
          </w:tcPr>
          <w:p w:rsidR="004713E0" w:rsidRPr="004638AA" w:rsidRDefault="004713E0" w:rsidP="00AB5089">
            <w:pPr>
              <w:spacing w:line="240" w:lineRule="auto"/>
              <w:ind w:firstLine="0"/>
              <w:jc w:val="center"/>
              <w:rPr>
                <w:rFonts w:ascii="Garamond" w:hAnsi="Garamond" w:cs="Arial"/>
                <w:b/>
                <w:bCs/>
                <w:color w:val="0000FF"/>
                <w:sz w:val="28"/>
                <w:szCs w:val="28"/>
              </w:rPr>
            </w:pPr>
            <w:r w:rsidRPr="004638AA">
              <w:rPr>
                <w:rFonts w:ascii="Garamond" w:hAnsi="Garamond" w:cs="Arial"/>
                <w:b/>
                <w:bCs/>
                <w:color w:val="0000FF"/>
                <w:sz w:val="28"/>
                <w:szCs w:val="28"/>
              </w:rPr>
              <w:t>% rispetto al totale dei pareri resi</w:t>
            </w:r>
            <w:r w:rsidR="007A486B">
              <w:rPr>
                <w:rFonts w:ascii="Garamond" w:hAnsi="Garamond" w:cs="Arial"/>
                <w:b/>
                <w:bCs/>
                <w:color w:val="0000FF"/>
                <w:sz w:val="28"/>
                <w:szCs w:val="28"/>
              </w:rPr>
              <w:t xml:space="preserve"> su progetti di legge contenenti deleghe</w:t>
            </w:r>
          </w:p>
        </w:tc>
      </w:tr>
      <w:tr w:rsidR="00EE2CD5" w:rsidRPr="004638AA" w:rsidTr="00EE2CD5">
        <w:trPr>
          <w:trHeight w:val="799"/>
          <w:jc w:val="center"/>
        </w:trPr>
        <w:tc>
          <w:tcPr>
            <w:tcW w:w="2507" w:type="pct"/>
            <w:tcBorders>
              <w:top w:val="nil"/>
              <w:left w:val="single" w:sz="4" w:space="0" w:color="auto"/>
              <w:bottom w:val="single" w:sz="4" w:space="0" w:color="auto"/>
              <w:right w:val="single" w:sz="4" w:space="0" w:color="auto"/>
            </w:tcBorders>
            <w:shd w:val="clear" w:color="auto" w:fill="CCFFFF"/>
            <w:vAlign w:val="center"/>
          </w:tcPr>
          <w:p w:rsidR="00EE2CD5" w:rsidRPr="004638AA" w:rsidRDefault="00EE2CD5" w:rsidP="00AB5089">
            <w:pPr>
              <w:spacing w:line="240" w:lineRule="auto"/>
              <w:ind w:firstLine="0"/>
              <w:jc w:val="left"/>
              <w:rPr>
                <w:rFonts w:ascii="Garamond" w:hAnsi="Garamond" w:cs="Arial"/>
                <w:b/>
                <w:bCs/>
                <w:sz w:val="28"/>
                <w:szCs w:val="28"/>
              </w:rPr>
            </w:pPr>
            <w:r w:rsidRPr="004638AA">
              <w:rPr>
                <w:rFonts w:ascii="Garamond" w:hAnsi="Garamond" w:cs="Arial"/>
                <w:b/>
                <w:bCs/>
                <w:sz w:val="28"/>
                <w:szCs w:val="28"/>
              </w:rPr>
              <w:t>Principi e criteri direttivi generici o mancanti</w:t>
            </w:r>
          </w:p>
        </w:tc>
        <w:tc>
          <w:tcPr>
            <w:tcW w:w="2493" w:type="pct"/>
            <w:gridSpan w:val="2"/>
            <w:tcBorders>
              <w:top w:val="nil"/>
              <w:left w:val="nil"/>
              <w:bottom w:val="single" w:sz="4" w:space="0" w:color="auto"/>
              <w:right w:val="single" w:sz="4" w:space="0" w:color="auto"/>
            </w:tcBorders>
            <w:shd w:val="clear" w:color="auto" w:fill="auto"/>
            <w:noWrap/>
            <w:vAlign w:val="center"/>
          </w:tcPr>
          <w:p w:rsidR="00EE2CD5" w:rsidRPr="00EE2CD5" w:rsidRDefault="00EE2CD5" w:rsidP="00EE2CD5">
            <w:pPr>
              <w:spacing w:line="240" w:lineRule="auto"/>
              <w:ind w:firstLine="0"/>
              <w:jc w:val="center"/>
              <w:rPr>
                <w:rFonts w:ascii="Garamond" w:hAnsi="Garamond" w:cs="Arial"/>
                <w:b/>
                <w:bCs/>
                <w:sz w:val="28"/>
                <w:szCs w:val="28"/>
              </w:rPr>
            </w:pPr>
            <w:r>
              <w:rPr>
                <w:rFonts w:ascii="Garamond" w:hAnsi="Garamond" w:cs="Arial"/>
                <w:b/>
                <w:bCs/>
                <w:sz w:val="28"/>
                <w:szCs w:val="28"/>
              </w:rPr>
              <w:t>5</w:t>
            </w:r>
          </w:p>
        </w:tc>
      </w:tr>
      <w:tr w:rsidR="00EE2CD5" w:rsidRPr="004638AA" w:rsidTr="00EE2CD5">
        <w:trPr>
          <w:trHeight w:val="799"/>
          <w:jc w:val="center"/>
        </w:trPr>
        <w:tc>
          <w:tcPr>
            <w:tcW w:w="2507" w:type="pct"/>
            <w:tcBorders>
              <w:top w:val="nil"/>
              <w:left w:val="single" w:sz="4" w:space="0" w:color="auto"/>
              <w:bottom w:val="single" w:sz="4" w:space="0" w:color="auto"/>
              <w:right w:val="single" w:sz="4" w:space="0" w:color="auto"/>
            </w:tcBorders>
            <w:shd w:val="clear" w:color="auto" w:fill="CCFFFF"/>
            <w:vAlign w:val="center"/>
          </w:tcPr>
          <w:p w:rsidR="00EE2CD5" w:rsidRPr="004638AA" w:rsidRDefault="00EE2CD5" w:rsidP="00AB5089">
            <w:pPr>
              <w:spacing w:line="240" w:lineRule="auto"/>
              <w:ind w:firstLine="0"/>
              <w:jc w:val="left"/>
              <w:rPr>
                <w:rFonts w:ascii="Garamond" w:hAnsi="Garamond" w:cs="Arial"/>
                <w:b/>
                <w:bCs/>
                <w:sz w:val="28"/>
                <w:szCs w:val="28"/>
              </w:rPr>
            </w:pPr>
            <w:r w:rsidRPr="004638AA">
              <w:rPr>
                <w:rFonts w:ascii="Garamond" w:hAnsi="Garamond" w:cs="Arial"/>
                <w:b/>
                <w:bCs/>
                <w:sz w:val="28"/>
                <w:szCs w:val="28"/>
              </w:rPr>
              <w:t>Sovrapposizione tra principi, criteri e oggetto della delega</w:t>
            </w:r>
          </w:p>
        </w:tc>
        <w:tc>
          <w:tcPr>
            <w:tcW w:w="2493" w:type="pct"/>
            <w:gridSpan w:val="2"/>
            <w:tcBorders>
              <w:top w:val="nil"/>
              <w:left w:val="nil"/>
              <w:bottom w:val="single" w:sz="4" w:space="0" w:color="auto"/>
              <w:right w:val="single" w:sz="4" w:space="0" w:color="auto"/>
            </w:tcBorders>
            <w:shd w:val="clear" w:color="auto" w:fill="auto"/>
            <w:noWrap/>
            <w:vAlign w:val="center"/>
          </w:tcPr>
          <w:p w:rsidR="00EE2CD5" w:rsidRPr="00EE2CD5" w:rsidRDefault="00EE2CD5" w:rsidP="00EE2CD5">
            <w:pPr>
              <w:spacing w:line="240" w:lineRule="auto"/>
              <w:ind w:firstLine="0"/>
              <w:jc w:val="center"/>
              <w:rPr>
                <w:rFonts w:ascii="Garamond" w:hAnsi="Garamond" w:cs="Arial"/>
                <w:b/>
                <w:bCs/>
                <w:sz w:val="28"/>
                <w:szCs w:val="28"/>
              </w:rPr>
            </w:pPr>
            <w:r>
              <w:rPr>
                <w:rFonts w:ascii="Garamond" w:hAnsi="Garamond" w:cs="Arial"/>
                <w:b/>
                <w:bCs/>
                <w:sz w:val="28"/>
                <w:szCs w:val="28"/>
              </w:rPr>
              <w:t>5</w:t>
            </w:r>
          </w:p>
        </w:tc>
      </w:tr>
      <w:tr w:rsidR="00EE2CD5" w:rsidRPr="004638AA" w:rsidTr="00EE2CD5">
        <w:trPr>
          <w:trHeight w:val="799"/>
          <w:jc w:val="center"/>
        </w:trPr>
        <w:tc>
          <w:tcPr>
            <w:tcW w:w="2507" w:type="pct"/>
            <w:tcBorders>
              <w:top w:val="nil"/>
              <w:left w:val="single" w:sz="4" w:space="0" w:color="auto"/>
              <w:bottom w:val="single" w:sz="4" w:space="0" w:color="auto"/>
              <w:right w:val="single" w:sz="4" w:space="0" w:color="auto"/>
            </w:tcBorders>
            <w:shd w:val="clear" w:color="auto" w:fill="CCFFFF"/>
            <w:vAlign w:val="center"/>
          </w:tcPr>
          <w:p w:rsidR="00EE2CD5" w:rsidRPr="004638AA" w:rsidRDefault="00EE2CD5" w:rsidP="00AB5089">
            <w:pPr>
              <w:spacing w:line="240" w:lineRule="auto"/>
              <w:ind w:firstLine="0"/>
              <w:jc w:val="left"/>
              <w:rPr>
                <w:rFonts w:ascii="Garamond" w:hAnsi="Garamond" w:cs="Arial"/>
                <w:b/>
                <w:bCs/>
                <w:sz w:val="28"/>
                <w:szCs w:val="28"/>
              </w:rPr>
            </w:pPr>
            <w:r w:rsidRPr="004638AA">
              <w:rPr>
                <w:rFonts w:ascii="Garamond" w:hAnsi="Garamond" w:cs="Arial"/>
                <w:b/>
                <w:bCs/>
                <w:sz w:val="28"/>
                <w:szCs w:val="28"/>
              </w:rPr>
              <w:t>Procedure di delega</w:t>
            </w:r>
          </w:p>
        </w:tc>
        <w:tc>
          <w:tcPr>
            <w:tcW w:w="2493" w:type="pct"/>
            <w:gridSpan w:val="2"/>
            <w:tcBorders>
              <w:top w:val="nil"/>
              <w:left w:val="nil"/>
              <w:bottom w:val="single" w:sz="4" w:space="0" w:color="auto"/>
              <w:right w:val="single" w:sz="4" w:space="0" w:color="auto"/>
            </w:tcBorders>
            <w:shd w:val="clear" w:color="auto" w:fill="auto"/>
            <w:noWrap/>
            <w:vAlign w:val="center"/>
          </w:tcPr>
          <w:p w:rsidR="00EE2CD5" w:rsidRPr="004638AA" w:rsidRDefault="00EE2CD5" w:rsidP="00E63DBD">
            <w:pPr>
              <w:spacing w:line="240" w:lineRule="auto"/>
              <w:ind w:firstLine="0"/>
              <w:jc w:val="center"/>
              <w:rPr>
                <w:rFonts w:ascii="Garamond" w:hAnsi="Garamond" w:cs="Arial"/>
                <w:b/>
                <w:bCs/>
                <w:i/>
                <w:iCs/>
                <w:sz w:val="28"/>
                <w:szCs w:val="28"/>
              </w:rPr>
            </w:pPr>
            <w:r>
              <w:rPr>
                <w:rFonts w:ascii="Garamond" w:hAnsi="Garamond" w:cs="Arial"/>
                <w:b/>
                <w:bCs/>
                <w:sz w:val="28"/>
                <w:szCs w:val="28"/>
              </w:rPr>
              <w:t>6</w:t>
            </w:r>
          </w:p>
        </w:tc>
      </w:tr>
    </w:tbl>
    <w:p w:rsidR="004713E0" w:rsidRDefault="004713E0" w:rsidP="004713E0">
      <w:pPr>
        <w:rPr>
          <w:rFonts w:ascii="Garamond" w:hAnsi="Garamond"/>
          <w:sz w:val="32"/>
          <w:szCs w:val="32"/>
        </w:rPr>
      </w:pPr>
    </w:p>
    <w:p w:rsidR="004713E0" w:rsidRDefault="004713E0" w:rsidP="004713E0">
      <w:pPr>
        <w:rPr>
          <w:rFonts w:ascii="Garamond" w:hAnsi="Garamond"/>
          <w:sz w:val="32"/>
          <w:szCs w:val="32"/>
        </w:rPr>
      </w:pPr>
    </w:p>
    <w:p w:rsidR="004713E0" w:rsidRDefault="004713E0" w:rsidP="004713E0">
      <w:pPr>
        <w:rPr>
          <w:rFonts w:ascii="Garamond" w:hAnsi="Garamond"/>
          <w:sz w:val="32"/>
          <w:szCs w:val="32"/>
        </w:rPr>
      </w:pPr>
    </w:p>
    <w:p w:rsidR="00E63DBD" w:rsidRDefault="004713E0" w:rsidP="004713E0">
      <w:pPr>
        <w:rPr>
          <w:rFonts w:ascii="Garamond" w:hAnsi="Garamond"/>
          <w:sz w:val="32"/>
          <w:szCs w:val="32"/>
        </w:rPr>
      </w:pPr>
      <w:r>
        <w:rPr>
          <w:rFonts w:ascii="Garamond" w:hAnsi="Garamond"/>
          <w:sz w:val="32"/>
          <w:szCs w:val="32"/>
        </w:rPr>
        <w:t xml:space="preserve">La </w:t>
      </w:r>
      <w:hyperlink w:anchor="Tab06" w:history="1">
        <w:r w:rsidRPr="0007765B">
          <w:rPr>
            <w:rStyle w:val="Collegamentoipertestuale"/>
            <w:rFonts w:ascii="Garamond" w:hAnsi="Garamond"/>
            <w:sz w:val="32"/>
            <w:szCs w:val="32"/>
          </w:rPr>
          <w:t xml:space="preserve">tabella </w:t>
        </w:r>
        <w:r w:rsidR="00465C1A" w:rsidRPr="0007765B">
          <w:rPr>
            <w:rStyle w:val="Collegamentoipertestuale"/>
            <w:rFonts w:ascii="Garamond" w:hAnsi="Garamond"/>
            <w:sz w:val="32"/>
            <w:szCs w:val="32"/>
          </w:rPr>
          <w:t>6</w:t>
        </w:r>
      </w:hyperlink>
      <w:r>
        <w:rPr>
          <w:rFonts w:ascii="Garamond" w:hAnsi="Garamond"/>
          <w:sz w:val="32"/>
          <w:szCs w:val="32"/>
        </w:rPr>
        <w:t xml:space="preserve"> dà conto nel dettaglio dei singoli pareri del Comitato.</w:t>
      </w:r>
    </w:p>
    <w:p w:rsidR="00E63DBD" w:rsidRDefault="00E63DBD" w:rsidP="004713E0">
      <w:pPr>
        <w:rPr>
          <w:rFonts w:ascii="Garamond" w:hAnsi="Garamond"/>
          <w:sz w:val="32"/>
          <w:szCs w:val="32"/>
        </w:rPr>
      </w:pPr>
    </w:p>
    <w:p w:rsidR="00E63DBD" w:rsidRDefault="00E63DBD" w:rsidP="004713E0">
      <w:pPr>
        <w:rPr>
          <w:rFonts w:ascii="Garamond" w:hAnsi="Garamond"/>
          <w:sz w:val="32"/>
          <w:szCs w:val="32"/>
        </w:rPr>
      </w:pPr>
    </w:p>
    <w:p w:rsidR="004713E0" w:rsidRPr="00E63DBD" w:rsidRDefault="004713E0" w:rsidP="004713E0">
      <w:pPr>
        <w:rPr>
          <w:rFonts w:ascii="Garamond" w:hAnsi="Garamond"/>
          <w:sz w:val="24"/>
          <w:szCs w:val="24"/>
        </w:rPr>
      </w:pPr>
      <w:r>
        <w:rPr>
          <w:rFonts w:ascii="Garamond" w:hAnsi="Garamond"/>
          <w:sz w:val="32"/>
          <w:szCs w:val="32"/>
        </w:rPr>
        <w:br w:type="page"/>
      </w:r>
    </w:p>
    <w:p w:rsidR="004713E0" w:rsidRPr="00063D88" w:rsidRDefault="004713E0" w:rsidP="004713E0">
      <w:pPr>
        <w:pStyle w:val="Titolo2"/>
        <w:spacing w:before="120" w:after="120"/>
        <w:ind w:left="0" w:firstLine="0"/>
        <w:rPr>
          <w:rFonts w:ascii="Garamond" w:hAnsi="Garamond"/>
          <w:i/>
          <w:color w:val="0000FF"/>
          <w:sz w:val="40"/>
          <w:szCs w:val="40"/>
        </w:rPr>
      </w:pPr>
      <w:bookmarkStart w:id="98" w:name="_Toc337653490"/>
      <w:bookmarkStart w:id="99" w:name="_Toc342035932"/>
      <w:bookmarkStart w:id="100" w:name="_Toc384976869"/>
      <w:bookmarkStart w:id="101" w:name="_Toc439082247"/>
      <w:bookmarkStart w:id="102" w:name="_Toc439953663"/>
      <w:bookmarkStart w:id="103" w:name="_Toc440030377"/>
      <w:r w:rsidRPr="00063D88">
        <w:rPr>
          <w:rFonts w:ascii="Garamond" w:hAnsi="Garamond"/>
          <w:i/>
          <w:color w:val="0000FF"/>
          <w:sz w:val="40"/>
          <w:szCs w:val="40"/>
        </w:rPr>
        <w:lastRenderedPageBreak/>
        <w:t>4.</w:t>
      </w:r>
      <w:r w:rsidR="00934ABD">
        <w:rPr>
          <w:rFonts w:ascii="Garamond" w:hAnsi="Garamond"/>
          <w:i/>
          <w:color w:val="0000FF"/>
          <w:sz w:val="40"/>
          <w:szCs w:val="40"/>
        </w:rPr>
        <w:t>8</w:t>
      </w:r>
      <w:r w:rsidRPr="00063D88">
        <w:rPr>
          <w:rFonts w:ascii="Garamond" w:hAnsi="Garamond"/>
          <w:i/>
          <w:color w:val="0000FF"/>
          <w:sz w:val="40"/>
          <w:szCs w:val="40"/>
        </w:rPr>
        <w:t>. Omogeneità/eterogeneità del contenuto</w:t>
      </w:r>
      <w:bookmarkEnd w:id="98"/>
      <w:bookmarkEnd w:id="99"/>
      <w:bookmarkEnd w:id="100"/>
      <w:bookmarkEnd w:id="101"/>
      <w:bookmarkEnd w:id="102"/>
      <w:bookmarkEnd w:id="103"/>
    </w:p>
    <w:p w:rsidR="004713E0" w:rsidRPr="00063D88" w:rsidRDefault="004713E0" w:rsidP="004713E0">
      <w:pPr>
        <w:rPr>
          <w:rFonts w:ascii="Garamond" w:hAnsi="Garamond"/>
          <w:sz w:val="32"/>
          <w:szCs w:val="32"/>
        </w:rPr>
      </w:pPr>
      <w:r w:rsidRPr="00063D88">
        <w:rPr>
          <w:rFonts w:ascii="Garamond" w:hAnsi="Garamond"/>
          <w:sz w:val="32"/>
          <w:szCs w:val="32"/>
        </w:rPr>
        <w:t xml:space="preserve">Il tema della omogeneità/eterogeneità dei contenuti dei provvedimenti sottoposti all’esame del Comitato ha sempre ricevuto particolare attenzione con specifico riguardo ai </w:t>
      </w:r>
      <w:r w:rsidRPr="003D2953">
        <w:rPr>
          <w:rFonts w:ascii="Garamond" w:hAnsi="Garamond"/>
          <w:sz w:val="32"/>
          <w:szCs w:val="32"/>
        </w:rPr>
        <w:t>disegni di legge di conversione</w:t>
      </w:r>
      <w:r w:rsidRPr="00063D88">
        <w:rPr>
          <w:rFonts w:ascii="Garamond" w:hAnsi="Garamond"/>
          <w:sz w:val="32"/>
          <w:szCs w:val="32"/>
        </w:rPr>
        <w:t>, anche in relazione al rispetto dell’articolo 15, comma 3 della legge n. 400 del 1988, in base al quale «</w:t>
      </w:r>
      <w:r w:rsidRPr="002214A6">
        <w:rPr>
          <w:rFonts w:ascii="Garamond" w:hAnsi="Garamond"/>
          <w:i/>
          <w:sz w:val="32"/>
          <w:szCs w:val="32"/>
        </w:rPr>
        <w:t>il loro contenuto deve essere specifico, omogeneo e corrispondente al titolo</w:t>
      </w:r>
      <w:r w:rsidRPr="00063D88">
        <w:rPr>
          <w:rFonts w:ascii="Garamond" w:hAnsi="Garamond"/>
          <w:sz w:val="32"/>
          <w:szCs w:val="32"/>
        </w:rPr>
        <w:t xml:space="preserve">». </w:t>
      </w:r>
    </w:p>
    <w:p w:rsidR="004713E0" w:rsidRPr="00063D88" w:rsidRDefault="004713E0" w:rsidP="006D2F68">
      <w:pPr>
        <w:rPr>
          <w:rFonts w:ascii="Garamond" w:hAnsi="Garamond"/>
          <w:sz w:val="32"/>
          <w:szCs w:val="32"/>
        </w:rPr>
      </w:pPr>
      <w:r w:rsidRPr="00063D88">
        <w:rPr>
          <w:rFonts w:ascii="Garamond" w:hAnsi="Garamond"/>
          <w:sz w:val="32"/>
          <w:szCs w:val="32"/>
        </w:rPr>
        <w:t xml:space="preserve">D’altra parte, proprio i disegni di legge di conversione appaiono </w:t>
      </w:r>
      <w:r w:rsidR="006D2F68">
        <w:rPr>
          <w:rFonts w:ascii="Garamond" w:hAnsi="Garamond"/>
          <w:sz w:val="32"/>
          <w:szCs w:val="32"/>
        </w:rPr>
        <w:t xml:space="preserve">storicamente </w:t>
      </w:r>
      <w:r w:rsidRPr="00063D88">
        <w:rPr>
          <w:rFonts w:ascii="Garamond" w:hAnsi="Garamond"/>
          <w:sz w:val="32"/>
          <w:szCs w:val="32"/>
        </w:rPr>
        <w:t>più pr</w:t>
      </w:r>
      <w:r>
        <w:rPr>
          <w:rFonts w:ascii="Garamond" w:hAnsi="Garamond"/>
          <w:sz w:val="32"/>
          <w:szCs w:val="32"/>
        </w:rPr>
        <w:t>o</w:t>
      </w:r>
      <w:r w:rsidRPr="00063D88">
        <w:rPr>
          <w:rFonts w:ascii="Garamond" w:hAnsi="Garamond"/>
          <w:sz w:val="32"/>
          <w:szCs w:val="32"/>
        </w:rPr>
        <w:t>blematici da questo punto di vista.</w:t>
      </w:r>
      <w:r>
        <w:rPr>
          <w:rFonts w:ascii="Garamond" w:hAnsi="Garamond"/>
          <w:sz w:val="32"/>
          <w:szCs w:val="32"/>
        </w:rPr>
        <w:t xml:space="preserve"> </w:t>
      </w:r>
      <w:r w:rsidR="006D2F68">
        <w:rPr>
          <w:rFonts w:ascii="Garamond" w:hAnsi="Garamond"/>
          <w:sz w:val="32"/>
          <w:szCs w:val="32"/>
        </w:rPr>
        <w:t xml:space="preserve">Nei dieci mesi di riferimento del presente rapporto tale problematicità appare limitata a </w:t>
      </w:r>
      <w:r w:rsidR="00EB6A95">
        <w:rPr>
          <w:rFonts w:ascii="Garamond" w:hAnsi="Garamond"/>
          <w:sz w:val="32"/>
          <w:szCs w:val="32"/>
        </w:rPr>
        <w:t>4</w:t>
      </w:r>
      <w:r w:rsidR="006D2F68">
        <w:rPr>
          <w:rFonts w:ascii="Garamond" w:hAnsi="Garamond"/>
          <w:sz w:val="32"/>
          <w:szCs w:val="32"/>
        </w:rPr>
        <w:t xml:space="preserve"> dei 15 decreti-legge esaminati, </w:t>
      </w:r>
      <w:r>
        <w:rPr>
          <w:rFonts w:ascii="Garamond" w:hAnsi="Garamond"/>
          <w:sz w:val="32"/>
          <w:szCs w:val="32"/>
        </w:rPr>
        <w:t xml:space="preserve">lungo </w:t>
      </w:r>
      <w:r w:rsidR="006D2F68">
        <w:rPr>
          <w:rFonts w:ascii="Garamond" w:hAnsi="Garamond"/>
          <w:sz w:val="32"/>
          <w:szCs w:val="32"/>
        </w:rPr>
        <w:t>un</w:t>
      </w:r>
      <w:r>
        <w:rPr>
          <w:rFonts w:ascii="Garamond" w:hAnsi="Garamond"/>
          <w:sz w:val="32"/>
          <w:szCs w:val="32"/>
        </w:rPr>
        <w:t xml:space="preserve"> </w:t>
      </w:r>
      <w:r w:rsidR="006D2F68">
        <w:rPr>
          <w:rFonts w:ascii="Garamond" w:hAnsi="Garamond"/>
          <w:sz w:val="32"/>
          <w:szCs w:val="32"/>
        </w:rPr>
        <w:t>crinale eterogeneità/omogeneità nel quale sono utilizzate</w:t>
      </w:r>
      <w:r>
        <w:rPr>
          <w:rFonts w:ascii="Garamond" w:hAnsi="Garamond"/>
          <w:sz w:val="32"/>
          <w:szCs w:val="32"/>
        </w:rPr>
        <w:t xml:space="preserve"> molteplici definizioni, la cui distinzione è talora impercettibile:</w:t>
      </w:r>
    </w:p>
    <w:p w:rsidR="00EB6A95" w:rsidRDefault="004713E0" w:rsidP="00E16EE8">
      <w:pPr>
        <w:rPr>
          <w:rFonts w:ascii="Garamond" w:hAnsi="Garamond"/>
          <w:sz w:val="32"/>
          <w:szCs w:val="32"/>
        </w:rPr>
      </w:pPr>
      <w:r w:rsidRPr="006D2F68">
        <w:rPr>
          <w:rFonts w:ascii="Garamond" w:hAnsi="Garamond"/>
          <w:sz w:val="32"/>
          <w:szCs w:val="32"/>
        </w:rPr>
        <w:t xml:space="preserve">♦ </w:t>
      </w:r>
      <w:r w:rsidR="00EB6A95">
        <w:rPr>
          <w:rFonts w:ascii="Garamond" w:hAnsi="Garamond"/>
          <w:sz w:val="32"/>
          <w:szCs w:val="32"/>
        </w:rPr>
        <w:t xml:space="preserve">i pareri sui decreti-legge in diverso grado eterogenei (ma in due casi </w:t>
      </w:r>
      <w:r w:rsidR="00EB6A95" w:rsidRPr="00E16EE8">
        <w:rPr>
          <w:rFonts w:ascii="Garamond" w:hAnsi="Garamond"/>
          <w:sz w:val="32"/>
          <w:szCs w:val="32"/>
        </w:rPr>
        <w:t>avvinti d</w:t>
      </w:r>
      <w:r w:rsidR="00EB6A95">
        <w:rPr>
          <w:rFonts w:ascii="Garamond" w:hAnsi="Garamond"/>
          <w:sz w:val="32"/>
          <w:szCs w:val="32"/>
        </w:rPr>
        <w:t xml:space="preserve">a finalità univoche o comunque riconducibili ad una </w:t>
      </w:r>
      <w:r w:rsidR="00EB6A95" w:rsidRPr="00EB6A95">
        <w:rPr>
          <w:rFonts w:ascii="Garamond" w:hAnsi="Garamond"/>
          <w:i/>
          <w:sz w:val="32"/>
          <w:szCs w:val="32"/>
        </w:rPr>
        <w:t>ratio</w:t>
      </w:r>
      <w:r w:rsidR="00EB6A95">
        <w:rPr>
          <w:rFonts w:ascii="Garamond" w:hAnsi="Garamond"/>
          <w:sz w:val="32"/>
          <w:szCs w:val="32"/>
        </w:rPr>
        <w:t xml:space="preserve"> unitaria) sono così sintetizzabili:</w:t>
      </w:r>
    </w:p>
    <w:p w:rsidR="006D2F68" w:rsidRDefault="00FA06F9" w:rsidP="00EB6A95">
      <w:pPr>
        <w:rPr>
          <w:rFonts w:ascii="Garamond" w:hAnsi="Garamond"/>
          <w:sz w:val="32"/>
          <w:szCs w:val="32"/>
        </w:rPr>
      </w:pPr>
      <w:r>
        <w:rPr>
          <w:rFonts w:ascii="Garamond" w:hAnsi="Garamond"/>
          <w:sz w:val="32"/>
          <w:szCs w:val="32"/>
        </w:rPr>
        <w:t xml:space="preserve">▪ </w:t>
      </w:r>
      <w:r w:rsidR="006D2F68" w:rsidRPr="006D2F68">
        <w:rPr>
          <w:rFonts w:ascii="Garamond" w:hAnsi="Garamond"/>
          <w:sz w:val="32"/>
          <w:szCs w:val="32"/>
        </w:rPr>
        <w:t xml:space="preserve">il contenuto del decreto-legge n. 78/2015 (C. 3262 – enti territoriali) è definito “estremamente complesso e articolato”: il Comitato analizza il contenuto sia del nucleo originario del decreto sia delle modifiche e integrazioni introdotte al Senato, in confronto con gli ambiti materiali individuati nel preambolo e richiamando la giurisprudenza della Corte costituzionale (Scheda 20, punto 1 e 1a). Ne conseguono due condizioni: la prima, “tenuto conto della giurisprudenza della Corte costituzionale”, invita la Commissione a valutare la soppressione di numerose disposizioni introdotte al Senato, «che appaiono estranee rispetto agli oggetti e alle finalità del decreto-legge, nonché rispetto all'intestazione del decreto e al preambolo» </w:t>
      </w:r>
      <w:r w:rsidR="006D2F68">
        <w:rPr>
          <w:rFonts w:ascii="Garamond" w:hAnsi="Garamond"/>
          <w:sz w:val="32"/>
          <w:szCs w:val="32"/>
        </w:rPr>
        <w:t>(</w:t>
      </w:r>
      <w:hyperlink w:anchor="S20c01" w:history="1">
        <w:r w:rsidR="006D2F68" w:rsidRPr="005313DE">
          <w:rPr>
            <w:rStyle w:val="Collegamentoipertestuale"/>
            <w:rFonts w:ascii="Garamond" w:hAnsi="Garamond"/>
            <w:sz w:val="32"/>
            <w:szCs w:val="32"/>
          </w:rPr>
          <w:t>Scheda 20, condizione 1</w:t>
        </w:r>
      </w:hyperlink>
      <w:r w:rsidR="006D2F68" w:rsidRPr="005313DE">
        <w:rPr>
          <w:rFonts w:ascii="Garamond" w:hAnsi="Garamond"/>
          <w:sz w:val="32"/>
          <w:szCs w:val="32"/>
        </w:rPr>
        <w:t>);</w:t>
      </w:r>
      <w:r w:rsidR="006D2F68">
        <w:rPr>
          <w:rFonts w:ascii="Garamond" w:hAnsi="Garamond"/>
          <w:sz w:val="32"/>
          <w:szCs w:val="32"/>
        </w:rPr>
        <w:t xml:space="preserve"> la seconda invita </w:t>
      </w:r>
      <w:r w:rsidR="006D2F68" w:rsidRPr="006D2F68">
        <w:rPr>
          <w:rFonts w:ascii="Garamond" w:hAnsi="Garamond"/>
          <w:sz w:val="32"/>
          <w:szCs w:val="32"/>
        </w:rPr>
        <w:t xml:space="preserve">la Commissione </w:t>
      </w:r>
      <w:r w:rsidR="006D2F68">
        <w:rPr>
          <w:rFonts w:ascii="Garamond" w:hAnsi="Garamond"/>
          <w:sz w:val="32"/>
          <w:szCs w:val="32"/>
        </w:rPr>
        <w:t xml:space="preserve">a verificare </w:t>
      </w:r>
      <w:r w:rsidR="006D2F68" w:rsidRPr="006D2F68">
        <w:rPr>
          <w:rFonts w:ascii="Garamond" w:hAnsi="Garamond"/>
          <w:sz w:val="32"/>
          <w:szCs w:val="32"/>
        </w:rPr>
        <w:t xml:space="preserve">l'opportunità di mantenere </w:t>
      </w:r>
      <w:r w:rsidR="006D2F68">
        <w:rPr>
          <w:rFonts w:ascii="Garamond" w:hAnsi="Garamond"/>
          <w:sz w:val="32"/>
          <w:szCs w:val="32"/>
        </w:rPr>
        <w:t>altre</w:t>
      </w:r>
      <w:r w:rsidR="006D2F68" w:rsidRPr="006D2F68">
        <w:rPr>
          <w:rFonts w:ascii="Garamond" w:hAnsi="Garamond"/>
          <w:sz w:val="32"/>
          <w:szCs w:val="32"/>
        </w:rPr>
        <w:t xml:space="preserve"> disposizioni</w:t>
      </w:r>
      <w:r w:rsidR="006D2F68">
        <w:rPr>
          <w:rFonts w:ascii="Garamond" w:hAnsi="Garamond"/>
          <w:sz w:val="32"/>
          <w:szCs w:val="32"/>
        </w:rPr>
        <w:t>, sempre introdotte al Senato,</w:t>
      </w:r>
      <w:r w:rsidR="006D2F68" w:rsidRPr="006D2F68">
        <w:rPr>
          <w:rFonts w:ascii="Garamond" w:hAnsi="Garamond"/>
          <w:sz w:val="32"/>
          <w:szCs w:val="32"/>
        </w:rPr>
        <w:t xml:space="preserve"> </w:t>
      </w:r>
      <w:r w:rsidR="006D2F68">
        <w:rPr>
          <w:rFonts w:ascii="Garamond" w:hAnsi="Garamond"/>
          <w:sz w:val="32"/>
          <w:szCs w:val="32"/>
        </w:rPr>
        <w:t>«</w:t>
      </w:r>
      <w:r w:rsidR="006D2F68" w:rsidRPr="006D2F68">
        <w:rPr>
          <w:rFonts w:ascii="Garamond" w:hAnsi="Garamond"/>
          <w:sz w:val="32"/>
          <w:szCs w:val="32"/>
        </w:rPr>
        <w:t xml:space="preserve">le quali, pur recando misure riguardanti gli </w:t>
      </w:r>
      <w:r w:rsidR="006936EE">
        <w:rPr>
          <w:rFonts w:ascii="Garamond" w:hAnsi="Garamond"/>
          <w:sz w:val="32"/>
          <w:szCs w:val="32"/>
        </w:rPr>
        <w:t>“</w:t>
      </w:r>
      <w:r w:rsidR="006D2F68" w:rsidRPr="006D2F68">
        <w:rPr>
          <w:rFonts w:ascii="Garamond" w:hAnsi="Garamond"/>
          <w:sz w:val="32"/>
          <w:szCs w:val="32"/>
        </w:rPr>
        <w:t>enti territoriali</w:t>
      </w:r>
      <w:r w:rsidR="006936EE">
        <w:rPr>
          <w:rFonts w:ascii="Garamond" w:hAnsi="Garamond"/>
          <w:sz w:val="32"/>
          <w:szCs w:val="32"/>
        </w:rPr>
        <w:t>”</w:t>
      </w:r>
      <w:r w:rsidR="006D2F68" w:rsidRPr="006D2F68">
        <w:rPr>
          <w:rFonts w:ascii="Garamond" w:hAnsi="Garamond"/>
          <w:sz w:val="32"/>
          <w:szCs w:val="32"/>
        </w:rPr>
        <w:t xml:space="preserve">, incidono tuttavia su </w:t>
      </w:r>
      <w:r w:rsidR="006D2F68" w:rsidRPr="006D2F68">
        <w:rPr>
          <w:rFonts w:ascii="Garamond" w:hAnsi="Garamond"/>
          <w:sz w:val="32"/>
          <w:szCs w:val="32"/>
        </w:rPr>
        <w:lastRenderedPageBreak/>
        <w:t>oggetti ulteriori rispetto a quelli specificati nel preambolo</w:t>
      </w:r>
      <w:r w:rsidR="006D2F68">
        <w:rPr>
          <w:rFonts w:ascii="Garamond" w:hAnsi="Garamond"/>
          <w:sz w:val="32"/>
          <w:szCs w:val="32"/>
        </w:rPr>
        <w:t xml:space="preserve">» </w:t>
      </w:r>
      <w:r w:rsidR="006D2F68" w:rsidRPr="005313DE">
        <w:rPr>
          <w:rFonts w:ascii="Garamond" w:hAnsi="Garamond"/>
          <w:sz w:val="32"/>
          <w:szCs w:val="32"/>
        </w:rPr>
        <w:t>(</w:t>
      </w:r>
      <w:hyperlink w:anchor="S20c02" w:history="1">
        <w:r w:rsidR="006D2F68" w:rsidRPr="005313DE">
          <w:rPr>
            <w:rStyle w:val="Collegamentoipertestuale"/>
            <w:rFonts w:ascii="Garamond" w:hAnsi="Garamond"/>
            <w:sz w:val="32"/>
            <w:szCs w:val="32"/>
          </w:rPr>
          <w:t>Scheda 20, condizione 2</w:t>
        </w:r>
      </w:hyperlink>
      <w:r w:rsidR="006D2F68" w:rsidRPr="005313DE">
        <w:rPr>
          <w:rFonts w:ascii="Garamond" w:hAnsi="Garamond"/>
          <w:sz w:val="32"/>
          <w:szCs w:val="32"/>
        </w:rPr>
        <w:t>);</w:t>
      </w:r>
    </w:p>
    <w:p w:rsidR="00467045" w:rsidRPr="006D2F68" w:rsidRDefault="00FA06F9" w:rsidP="00467045">
      <w:pPr>
        <w:rPr>
          <w:rFonts w:ascii="Garamond" w:hAnsi="Garamond"/>
          <w:sz w:val="32"/>
          <w:szCs w:val="32"/>
        </w:rPr>
      </w:pPr>
      <w:r>
        <w:rPr>
          <w:rFonts w:ascii="Garamond" w:hAnsi="Garamond"/>
          <w:sz w:val="32"/>
          <w:szCs w:val="32"/>
        </w:rPr>
        <w:t xml:space="preserve">▪ </w:t>
      </w:r>
      <w:r w:rsidR="00467045">
        <w:rPr>
          <w:rFonts w:ascii="Garamond" w:hAnsi="Garamond"/>
          <w:sz w:val="32"/>
          <w:szCs w:val="32"/>
        </w:rPr>
        <w:t>il contenuto del decreto-legge n. 192/2014 (C. 2803 – mille proroghe) è considerato fisiologicamente eterogeneo: reca infatti</w:t>
      </w:r>
      <w:r w:rsidR="00467045" w:rsidRPr="00467045">
        <w:rPr>
          <w:rFonts w:ascii="Garamond" w:hAnsi="Garamond"/>
          <w:sz w:val="32"/>
          <w:szCs w:val="32"/>
        </w:rPr>
        <w:t xml:space="preserve"> disposizioni che intervengono </w:t>
      </w:r>
      <w:r w:rsidR="00467045">
        <w:rPr>
          <w:rFonts w:ascii="Garamond" w:hAnsi="Garamond"/>
          <w:sz w:val="32"/>
          <w:szCs w:val="32"/>
        </w:rPr>
        <w:t>«</w:t>
      </w:r>
      <w:r w:rsidR="00467045" w:rsidRPr="00AA6E1E">
        <w:rPr>
          <w:rFonts w:ascii="Garamond" w:hAnsi="Garamond"/>
          <w:sz w:val="32"/>
          <w:szCs w:val="32"/>
        </w:rPr>
        <w:t>su numerosi ambiti materiali, ma che risultano legate tr</w:t>
      </w:r>
      <w:r w:rsidR="00467045" w:rsidRPr="00467045">
        <w:rPr>
          <w:rFonts w:ascii="Garamond" w:hAnsi="Garamond"/>
          <w:sz w:val="32"/>
          <w:szCs w:val="32"/>
        </w:rPr>
        <w:t>a loro dalla comune funzione di prorogare o differire termini previsti da disposizioni legislative vigenti, ovvero di introdurre regimi transitori</w:t>
      </w:r>
      <w:r w:rsidR="00467045">
        <w:rPr>
          <w:rFonts w:ascii="Garamond" w:hAnsi="Garamond"/>
          <w:sz w:val="32"/>
          <w:szCs w:val="32"/>
        </w:rPr>
        <w:t xml:space="preserve">» </w:t>
      </w:r>
      <w:r w:rsidR="00467045" w:rsidRPr="00857CEF">
        <w:rPr>
          <w:rFonts w:ascii="Garamond" w:hAnsi="Garamond"/>
          <w:sz w:val="32"/>
          <w:szCs w:val="32"/>
        </w:rPr>
        <w:t>(</w:t>
      </w:r>
      <w:hyperlink w:anchor="S01a01" w:history="1">
        <w:r w:rsidR="00467045" w:rsidRPr="00857CEF">
          <w:rPr>
            <w:rStyle w:val="Collegamentoipertestuale"/>
            <w:rFonts w:ascii="Garamond" w:hAnsi="Garamond"/>
            <w:sz w:val="32"/>
            <w:szCs w:val="32"/>
          </w:rPr>
          <w:t>Scheda 1, punto 1</w:t>
        </w:r>
      </w:hyperlink>
      <w:r w:rsidR="00467045" w:rsidRPr="00857CEF">
        <w:rPr>
          <w:rFonts w:ascii="Garamond" w:hAnsi="Garamond"/>
          <w:sz w:val="32"/>
          <w:szCs w:val="32"/>
        </w:rPr>
        <w:t>);</w:t>
      </w:r>
    </w:p>
    <w:p w:rsidR="00467045" w:rsidRDefault="00FA06F9" w:rsidP="004713E0">
      <w:pPr>
        <w:rPr>
          <w:rFonts w:ascii="Garamond" w:hAnsi="Garamond"/>
          <w:sz w:val="32"/>
          <w:szCs w:val="32"/>
        </w:rPr>
      </w:pPr>
      <w:r>
        <w:rPr>
          <w:rFonts w:ascii="Garamond" w:hAnsi="Garamond"/>
          <w:sz w:val="32"/>
          <w:szCs w:val="32"/>
        </w:rPr>
        <w:t xml:space="preserve">▪ </w:t>
      </w:r>
      <w:r w:rsidR="00467045">
        <w:rPr>
          <w:rFonts w:ascii="Garamond" w:hAnsi="Garamond"/>
          <w:sz w:val="32"/>
          <w:szCs w:val="32"/>
        </w:rPr>
        <w:t>il contenuto del decreto-legge n. 154/2015 (C. 3340 – materia economico-sociale</w:t>
      </w:r>
      <w:r w:rsidR="00AA6E1E">
        <w:rPr>
          <w:rFonts w:ascii="Garamond" w:hAnsi="Garamond"/>
          <w:sz w:val="32"/>
          <w:szCs w:val="32"/>
        </w:rPr>
        <w:t>)</w:t>
      </w:r>
      <w:r w:rsidR="00467045">
        <w:rPr>
          <w:rFonts w:ascii="Garamond" w:hAnsi="Garamond"/>
          <w:sz w:val="32"/>
          <w:szCs w:val="32"/>
        </w:rPr>
        <w:t xml:space="preserve"> è considerato implicitamente eterogeneo: </w:t>
      </w:r>
      <w:r w:rsidR="00467045" w:rsidRPr="00467045">
        <w:rPr>
          <w:rFonts w:ascii="Garamond" w:hAnsi="Garamond"/>
          <w:sz w:val="32"/>
          <w:szCs w:val="32"/>
        </w:rPr>
        <w:t>«il decreto-legge consta di tre articoli di natura sostanziale, recanti, rispettivamente, misure per garantire il decoro degli istituti scolastici, interventi volti ad assicurare l’esecuzione dei programmi di Amministrazione straordinaria delle grandi imprese in stato di insolvenza, nonché interventi nei territori colpiti dagli eccezionali eventi metereologici dei giorni 13 e 14 settembre 2015; il titolo del decreto-legge riconduce alla generica e vasta materia economico-sociale i contenuti dei tre articoli, i quali, invece, incidono ciascuno su un diverso ambito materiale</w:t>
      </w:r>
      <w:r w:rsidR="00467045" w:rsidRPr="00857CEF">
        <w:rPr>
          <w:rFonts w:ascii="Garamond" w:hAnsi="Garamond"/>
          <w:sz w:val="32"/>
          <w:szCs w:val="32"/>
        </w:rPr>
        <w:t>»</w:t>
      </w:r>
      <w:r w:rsidR="00EB6A95" w:rsidRPr="00857CEF">
        <w:rPr>
          <w:rFonts w:ascii="Garamond" w:hAnsi="Garamond"/>
          <w:sz w:val="32"/>
          <w:szCs w:val="32"/>
        </w:rPr>
        <w:t xml:space="preserve"> (</w:t>
      </w:r>
      <w:hyperlink w:anchor="S24a01" w:history="1">
        <w:r w:rsidR="00EB6A95" w:rsidRPr="00857CEF">
          <w:rPr>
            <w:rStyle w:val="Collegamentoipertestuale"/>
            <w:rFonts w:ascii="Garamond" w:hAnsi="Garamond"/>
            <w:sz w:val="32"/>
            <w:szCs w:val="32"/>
          </w:rPr>
          <w:t>Scheda 24, punto 1</w:t>
        </w:r>
      </w:hyperlink>
      <w:r w:rsidR="00EB6A95" w:rsidRPr="00857CEF">
        <w:rPr>
          <w:rFonts w:ascii="Garamond" w:hAnsi="Garamond"/>
          <w:sz w:val="32"/>
          <w:szCs w:val="32"/>
        </w:rPr>
        <w:t>)</w:t>
      </w:r>
      <w:r w:rsidR="00467045" w:rsidRPr="00857CEF">
        <w:rPr>
          <w:rFonts w:ascii="Garamond" w:hAnsi="Garamond"/>
          <w:sz w:val="32"/>
          <w:szCs w:val="32"/>
        </w:rPr>
        <w:t>;</w:t>
      </w:r>
    </w:p>
    <w:p w:rsidR="00467045" w:rsidRPr="00467045" w:rsidRDefault="00FA06F9" w:rsidP="00467045">
      <w:pPr>
        <w:rPr>
          <w:rFonts w:ascii="Garamond" w:hAnsi="Garamond"/>
          <w:sz w:val="32"/>
          <w:szCs w:val="32"/>
        </w:rPr>
      </w:pPr>
      <w:r>
        <w:rPr>
          <w:rFonts w:ascii="Garamond" w:hAnsi="Garamond"/>
          <w:sz w:val="32"/>
          <w:szCs w:val="32"/>
        </w:rPr>
        <w:t xml:space="preserve">▪ </w:t>
      </w:r>
      <w:r w:rsidR="00EB6A95">
        <w:rPr>
          <w:rFonts w:ascii="Garamond" w:hAnsi="Garamond"/>
          <w:sz w:val="32"/>
          <w:szCs w:val="32"/>
        </w:rPr>
        <w:t xml:space="preserve">nel parere sul decreto-legge n. 7/2015, che riunisce in un unico contesto normativo disposizioni finalizzate sia alla partecipazione italiana alle missioni internazionali sia le misure di contrasto al terrorismo, il Comitato compie un’ampia disamina del contenuto: </w:t>
      </w:r>
      <w:r w:rsidR="00467045" w:rsidRPr="00467045">
        <w:rPr>
          <w:rFonts w:ascii="Garamond" w:hAnsi="Garamond"/>
          <w:sz w:val="32"/>
          <w:szCs w:val="32"/>
        </w:rPr>
        <w:t xml:space="preserve">«il decreto-legge si compone di cinque Capi, dei quali il primo e il secondo recano misure antiterrorismo, il terzo e il quarto – come avviene di consueto nei decreti “proroga missioni” – recano misure in tema, rispettivamente, di missioni internazionali e di cooperazione allo sviluppo, il quinto reca disposizioni finali e transitorie; il decreto-legge unisce dunque alle consuete misure ripetutamente disposte e prorogate in materia di missioni internazionali, un nutrito </w:t>
      </w:r>
      <w:r w:rsidR="00467045" w:rsidRPr="00467045">
        <w:rPr>
          <w:rFonts w:ascii="Garamond" w:hAnsi="Garamond"/>
          <w:i/>
          <w:iCs/>
          <w:sz w:val="32"/>
          <w:szCs w:val="32"/>
        </w:rPr>
        <w:t>corpus</w:t>
      </w:r>
      <w:r w:rsidR="00467045" w:rsidRPr="00467045">
        <w:rPr>
          <w:rFonts w:ascii="Garamond" w:hAnsi="Garamond"/>
          <w:sz w:val="32"/>
          <w:szCs w:val="32"/>
        </w:rPr>
        <w:t xml:space="preserve"> (ben 11 articoli) di disposizioni antiterrorismo, espandendo l'oggetto usuale della disciplina dell'atto; </w:t>
      </w:r>
    </w:p>
    <w:p w:rsidR="00467045" w:rsidRPr="00467045" w:rsidRDefault="00467045" w:rsidP="00467045">
      <w:pPr>
        <w:rPr>
          <w:rFonts w:ascii="Garamond" w:hAnsi="Garamond"/>
          <w:sz w:val="32"/>
          <w:szCs w:val="32"/>
        </w:rPr>
      </w:pPr>
      <w:r w:rsidRPr="00467045">
        <w:rPr>
          <w:rFonts w:ascii="Garamond" w:hAnsi="Garamond"/>
          <w:sz w:val="32"/>
          <w:szCs w:val="32"/>
        </w:rPr>
        <w:lastRenderedPageBreak/>
        <w:t xml:space="preserve">la relazione illustrativa evidenzia una </w:t>
      </w:r>
      <w:r w:rsidRPr="00467045">
        <w:rPr>
          <w:rFonts w:ascii="Garamond" w:hAnsi="Garamond"/>
          <w:i/>
          <w:iCs/>
          <w:sz w:val="32"/>
          <w:szCs w:val="32"/>
        </w:rPr>
        <w:t>ratio</w:t>
      </w:r>
      <w:r w:rsidRPr="00467045">
        <w:rPr>
          <w:rFonts w:ascii="Garamond" w:hAnsi="Garamond"/>
          <w:sz w:val="32"/>
          <w:szCs w:val="32"/>
        </w:rPr>
        <w:t xml:space="preserve"> unitaria del decreto in questi termini: “[i]l consolidamento... dei processi di pace e di stabilizzazione in aree di crisi acquisisce sempre più anche... funzione preventiva... con sicuri riflessi sulla sicurezza dei cittadini. La lotta al terrorismo va realizzata pertanto in maniera unitaria senza dividere tra sicurezza interna ed esterna, come d'altronde dimostrato dal fenomeno dei cosiddetti </w:t>
      </w:r>
      <w:r w:rsidRPr="00467045">
        <w:rPr>
          <w:rFonts w:ascii="Garamond" w:hAnsi="Garamond"/>
          <w:i/>
          <w:iCs/>
          <w:sz w:val="32"/>
          <w:szCs w:val="32"/>
        </w:rPr>
        <w:t>foreign fighters</w:t>
      </w:r>
      <w:r w:rsidRPr="00467045">
        <w:rPr>
          <w:rFonts w:ascii="Garamond" w:hAnsi="Garamond"/>
          <w:sz w:val="32"/>
          <w:szCs w:val="32"/>
        </w:rPr>
        <w:t xml:space="preserve">. ..[dunque] il provvedimento prevede misure volte sia a rafforzare e attualizzare gli strumenti di prevenzione e repressione penale del fenomeno nel territorio dello Stato, sia a consentire la partecipazione a missioni internazionali delle Forze armate e di polizia finalizzate alla cooperazione allo sviluppo e al sostegno ai processi di ricostruzione e di pace”; </w:t>
      </w:r>
    </w:p>
    <w:p w:rsidR="00467045" w:rsidRPr="00467045" w:rsidRDefault="00467045" w:rsidP="00467045">
      <w:pPr>
        <w:rPr>
          <w:rFonts w:ascii="Garamond" w:hAnsi="Garamond"/>
          <w:sz w:val="32"/>
          <w:szCs w:val="32"/>
        </w:rPr>
      </w:pPr>
      <w:r w:rsidRPr="00467045">
        <w:rPr>
          <w:rFonts w:ascii="Garamond" w:hAnsi="Garamond"/>
          <w:sz w:val="32"/>
          <w:szCs w:val="32"/>
        </w:rPr>
        <w:t xml:space="preserve">le disposizioni del decreto risultano infatti avvinte da </w:t>
      </w:r>
      <w:r w:rsidRPr="00EB6A95">
        <w:rPr>
          <w:rFonts w:ascii="Garamond" w:hAnsi="Garamond"/>
          <w:sz w:val="32"/>
          <w:szCs w:val="32"/>
        </w:rPr>
        <w:t>un unico nesso teleologico (per di più puntualmente esplicita</w:t>
      </w:r>
      <w:r w:rsidRPr="00467045">
        <w:rPr>
          <w:rFonts w:ascii="Garamond" w:hAnsi="Garamond"/>
          <w:sz w:val="32"/>
          <w:szCs w:val="32"/>
        </w:rPr>
        <w:t>to nella relazione illustrativa e – quanto ai contenuti – riscontrabile anche nel titolo del provvedimento e nel preambolo), pur afferendo ad ambiti materiali distinti»</w:t>
      </w:r>
      <w:r w:rsidR="00EB6A95">
        <w:rPr>
          <w:rFonts w:ascii="Garamond" w:hAnsi="Garamond"/>
          <w:sz w:val="32"/>
          <w:szCs w:val="32"/>
        </w:rPr>
        <w:t xml:space="preserve"> </w:t>
      </w:r>
      <w:r w:rsidR="00EB6A95" w:rsidRPr="00857CEF">
        <w:rPr>
          <w:rFonts w:ascii="Garamond" w:hAnsi="Garamond"/>
          <w:sz w:val="32"/>
          <w:szCs w:val="32"/>
        </w:rPr>
        <w:t>(</w:t>
      </w:r>
      <w:hyperlink w:anchor="S04a01" w:history="1">
        <w:r w:rsidR="00EB6A95" w:rsidRPr="00857CEF">
          <w:rPr>
            <w:rStyle w:val="Collegamentoipertestuale"/>
            <w:rFonts w:ascii="Garamond" w:hAnsi="Garamond"/>
            <w:sz w:val="32"/>
            <w:szCs w:val="32"/>
          </w:rPr>
          <w:t>Scheda 4, punto 1</w:t>
        </w:r>
      </w:hyperlink>
      <w:r w:rsidR="00EB6A95" w:rsidRPr="00857CEF">
        <w:rPr>
          <w:rFonts w:ascii="Garamond" w:hAnsi="Garamond"/>
          <w:sz w:val="32"/>
          <w:szCs w:val="32"/>
        </w:rPr>
        <w:t>);</w:t>
      </w:r>
    </w:p>
    <w:p w:rsidR="007D785A" w:rsidRPr="0017280E" w:rsidRDefault="006D2F68" w:rsidP="004713E0">
      <w:pPr>
        <w:rPr>
          <w:rFonts w:ascii="Garamond" w:hAnsi="Garamond"/>
          <w:sz w:val="32"/>
          <w:szCs w:val="32"/>
        </w:rPr>
      </w:pPr>
      <w:r>
        <w:rPr>
          <w:rFonts w:ascii="Garamond" w:hAnsi="Garamond"/>
          <w:sz w:val="32"/>
          <w:szCs w:val="32"/>
        </w:rPr>
        <w:t xml:space="preserve"> </w:t>
      </w:r>
      <w:r w:rsidR="00266E2E" w:rsidRPr="0017280E">
        <w:rPr>
          <w:rFonts w:ascii="Garamond" w:hAnsi="Garamond"/>
          <w:sz w:val="32"/>
          <w:szCs w:val="32"/>
        </w:rPr>
        <w:t xml:space="preserve">♦ </w:t>
      </w:r>
      <w:r w:rsidR="00EB6A95">
        <w:rPr>
          <w:rFonts w:ascii="Garamond" w:hAnsi="Garamond"/>
          <w:sz w:val="32"/>
          <w:szCs w:val="32"/>
        </w:rPr>
        <w:t>2 decreti-legge vengono considerati sostanzialmente omogenei: n. 3/2015 (C. 2844 – sistema bancario) e n. 83/2015 (C. 3134 – fallimenti; modifiche ai codici civile e di procedura civile)</w:t>
      </w:r>
      <w:r w:rsidR="007D785A" w:rsidRPr="0017280E">
        <w:rPr>
          <w:rFonts w:ascii="Garamond" w:hAnsi="Garamond"/>
          <w:sz w:val="32"/>
          <w:szCs w:val="32"/>
        </w:rPr>
        <w:t>;</w:t>
      </w:r>
    </w:p>
    <w:p w:rsidR="004713E0" w:rsidRPr="0017280E" w:rsidRDefault="004713E0" w:rsidP="004713E0">
      <w:pPr>
        <w:rPr>
          <w:rFonts w:ascii="Garamond" w:hAnsi="Garamond"/>
          <w:sz w:val="32"/>
          <w:szCs w:val="32"/>
        </w:rPr>
      </w:pPr>
      <w:r w:rsidRPr="0017280E">
        <w:rPr>
          <w:rFonts w:ascii="Garamond" w:hAnsi="Garamond"/>
          <w:sz w:val="32"/>
          <w:szCs w:val="32"/>
        </w:rPr>
        <w:t xml:space="preserve">♦ </w:t>
      </w:r>
      <w:r w:rsidR="00EB6A95">
        <w:rPr>
          <w:rFonts w:ascii="Garamond" w:hAnsi="Garamond"/>
          <w:sz w:val="32"/>
          <w:szCs w:val="32"/>
        </w:rPr>
        <w:t xml:space="preserve">7 decreti-legge sono considerati omogenei: n. 1/2015 (C. 2894 – ILVA e Taranto); n. 4/2015 (C. 2915 </w:t>
      </w:r>
      <w:r w:rsidR="00E16EE8">
        <w:rPr>
          <w:rFonts w:ascii="Garamond" w:hAnsi="Garamond"/>
          <w:sz w:val="32"/>
          <w:szCs w:val="32"/>
        </w:rPr>
        <w:t>–</w:t>
      </w:r>
      <w:r w:rsidR="00EB6A95">
        <w:rPr>
          <w:rFonts w:ascii="Garamond" w:hAnsi="Garamond"/>
          <w:sz w:val="32"/>
          <w:szCs w:val="32"/>
        </w:rPr>
        <w:t xml:space="preserve"> </w:t>
      </w:r>
      <w:r w:rsidR="00E16EE8">
        <w:rPr>
          <w:rFonts w:ascii="Garamond" w:hAnsi="Garamond"/>
          <w:sz w:val="32"/>
          <w:szCs w:val="32"/>
        </w:rPr>
        <w:t>esenzione IMU e proroga termini delega fiscale); n. 51/2015 (C. 3104 – agricoltura e quote latte); n. 65/2015 (C. 3134 – pensioni, ammortizzatori sociali e TFR); n. 92/2015 (C. 3210 – rifiuti e ILVA); n. 99/2015 (C. 3249 – missione EUNAVFOR MED); n. 153/2015 (C. 3386 – finanza pubblica)</w:t>
      </w:r>
      <w:r w:rsidRPr="0017280E">
        <w:rPr>
          <w:rFonts w:ascii="Garamond" w:hAnsi="Garamond"/>
          <w:sz w:val="32"/>
          <w:szCs w:val="32"/>
        </w:rPr>
        <w:t>;</w:t>
      </w:r>
    </w:p>
    <w:p w:rsidR="004713E0" w:rsidRDefault="004713E0" w:rsidP="004713E0">
      <w:pPr>
        <w:rPr>
          <w:rFonts w:ascii="Garamond" w:hAnsi="Garamond"/>
          <w:sz w:val="32"/>
          <w:szCs w:val="32"/>
        </w:rPr>
      </w:pPr>
      <w:r w:rsidRPr="0017280E">
        <w:rPr>
          <w:rFonts w:ascii="Garamond" w:hAnsi="Garamond"/>
          <w:sz w:val="32"/>
          <w:szCs w:val="32"/>
        </w:rPr>
        <w:t xml:space="preserve">♦ </w:t>
      </w:r>
      <w:r w:rsidR="00E16EE8">
        <w:rPr>
          <w:rFonts w:ascii="Garamond" w:hAnsi="Garamond"/>
          <w:sz w:val="32"/>
          <w:szCs w:val="32"/>
        </w:rPr>
        <w:t>il decreto-legge n. 146/2015 (C. 3315 – scioperi nei musei) presenta un “contenuto puntuale”;</w:t>
      </w:r>
    </w:p>
    <w:p w:rsidR="004713E0" w:rsidRDefault="004713E0" w:rsidP="004713E0">
      <w:pPr>
        <w:rPr>
          <w:rFonts w:ascii="Garamond" w:hAnsi="Garamond"/>
          <w:sz w:val="32"/>
          <w:szCs w:val="32"/>
        </w:rPr>
      </w:pPr>
      <w:r w:rsidRPr="00063D88">
        <w:rPr>
          <w:rFonts w:ascii="Garamond" w:hAnsi="Garamond"/>
          <w:sz w:val="32"/>
          <w:szCs w:val="32"/>
        </w:rPr>
        <w:t>♦</w:t>
      </w:r>
      <w:r>
        <w:rPr>
          <w:rFonts w:ascii="Garamond" w:hAnsi="Garamond"/>
          <w:sz w:val="32"/>
          <w:szCs w:val="32"/>
        </w:rPr>
        <w:t xml:space="preserve"> </w:t>
      </w:r>
      <w:r w:rsidR="00E16EE8">
        <w:rPr>
          <w:rFonts w:ascii="Garamond" w:hAnsi="Garamond"/>
          <w:sz w:val="32"/>
          <w:szCs w:val="32"/>
        </w:rPr>
        <w:t xml:space="preserve">il decreto-legge n. 27/2015 (C. 3059 – elezioni regionali e amministrative 2015) presenta un contenuto </w:t>
      </w:r>
      <w:r>
        <w:rPr>
          <w:rFonts w:ascii="Garamond" w:hAnsi="Garamond"/>
          <w:sz w:val="32"/>
          <w:szCs w:val="32"/>
        </w:rPr>
        <w:t>“</w:t>
      </w:r>
      <w:r w:rsidR="00E16EE8">
        <w:rPr>
          <w:rFonts w:ascii="Garamond" w:hAnsi="Garamond"/>
          <w:sz w:val="32"/>
          <w:szCs w:val="32"/>
        </w:rPr>
        <w:t>puntuale e specifico”.</w:t>
      </w:r>
    </w:p>
    <w:p w:rsidR="004713E0" w:rsidRPr="00063D88" w:rsidRDefault="004713E0" w:rsidP="004713E0">
      <w:pPr>
        <w:rPr>
          <w:rFonts w:ascii="Garamond" w:hAnsi="Garamond"/>
          <w:sz w:val="32"/>
          <w:szCs w:val="32"/>
        </w:rPr>
      </w:pPr>
    </w:p>
    <w:p w:rsidR="00B80024" w:rsidRDefault="00B80024" w:rsidP="00E63DBD">
      <w:pPr>
        <w:pStyle w:val="Titolo2"/>
        <w:spacing w:before="240" w:after="120"/>
        <w:rPr>
          <w:rFonts w:ascii="Garamond" w:hAnsi="Garamond"/>
          <w:i/>
          <w:color w:val="0000FF"/>
          <w:sz w:val="40"/>
          <w:szCs w:val="40"/>
        </w:rPr>
        <w:sectPr w:rsidR="00B80024" w:rsidSect="00B80024">
          <w:pgSz w:w="11906" w:h="16838" w:code="9"/>
          <w:pgMar w:top="1985" w:right="1985" w:bottom="1985" w:left="1985" w:header="1134" w:footer="1134" w:gutter="0"/>
          <w:cols w:sep="1" w:space="284"/>
          <w:titlePg/>
        </w:sectPr>
      </w:pPr>
      <w:bookmarkStart w:id="104" w:name="_Toc342035933"/>
      <w:bookmarkStart w:id="105" w:name="_Toc384976870"/>
    </w:p>
    <w:p w:rsidR="004713E0" w:rsidRPr="00063D88" w:rsidRDefault="004713E0" w:rsidP="00E63DBD">
      <w:pPr>
        <w:pStyle w:val="Titolo2"/>
        <w:spacing w:before="240" w:after="120"/>
        <w:rPr>
          <w:rFonts w:ascii="Garamond" w:hAnsi="Garamond"/>
          <w:i/>
          <w:color w:val="0000FF"/>
          <w:sz w:val="40"/>
          <w:szCs w:val="40"/>
        </w:rPr>
      </w:pPr>
      <w:bookmarkStart w:id="106" w:name="_Toc439082248"/>
      <w:bookmarkStart w:id="107" w:name="_Toc439953664"/>
      <w:bookmarkStart w:id="108" w:name="_Toc440030378"/>
      <w:r w:rsidRPr="00063D88">
        <w:rPr>
          <w:rFonts w:ascii="Garamond" w:hAnsi="Garamond"/>
          <w:i/>
          <w:color w:val="0000FF"/>
          <w:sz w:val="40"/>
          <w:szCs w:val="40"/>
        </w:rPr>
        <w:lastRenderedPageBreak/>
        <w:t>4.</w:t>
      </w:r>
      <w:r w:rsidR="007D4AAE">
        <w:rPr>
          <w:rFonts w:ascii="Garamond" w:hAnsi="Garamond"/>
          <w:i/>
          <w:color w:val="0000FF"/>
          <w:sz w:val="40"/>
          <w:szCs w:val="40"/>
        </w:rPr>
        <w:t>9</w:t>
      </w:r>
      <w:r w:rsidRPr="00063D88">
        <w:rPr>
          <w:rFonts w:ascii="Garamond" w:hAnsi="Garamond"/>
          <w:i/>
          <w:color w:val="0000FF"/>
          <w:sz w:val="40"/>
          <w:szCs w:val="40"/>
        </w:rPr>
        <w:t>. Richiami alla legge n. 212 del 2000</w:t>
      </w:r>
      <w:bookmarkEnd w:id="93"/>
      <w:bookmarkEnd w:id="94"/>
      <w:bookmarkEnd w:id="104"/>
      <w:bookmarkEnd w:id="105"/>
      <w:bookmarkEnd w:id="106"/>
      <w:bookmarkEnd w:id="107"/>
      <w:bookmarkEnd w:id="108"/>
    </w:p>
    <w:p w:rsidR="00E16EE8" w:rsidRPr="00E16EE8" w:rsidRDefault="004713E0" w:rsidP="00E16EE8">
      <w:pPr>
        <w:rPr>
          <w:rFonts w:ascii="Garamond" w:hAnsi="Garamond"/>
          <w:bCs/>
          <w:sz w:val="32"/>
          <w:szCs w:val="32"/>
        </w:rPr>
      </w:pPr>
      <w:r w:rsidRPr="00063D88">
        <w:rPr>
          <w:rFonts w:ascii="Garamond" w:hAnsi="Garamond"/>
          <w:sz w:val="32"/>
          <w:szCs w:val="32"/>
        </w:rPr>
        <w:t xml:space="preserve">Il Comitato, nel periodo di riferimento, ha effettuato espliciti richiami allo </w:t>
      </w:r>
      <w:r w:rsidRPr="00AA6E1E">
        <w:rPr>
          <w:rStyle w:val="StileGrassetto"/>
          <w:rFonts w:ascii="Garamond" w:hAnsi="Garamond"/>
          <w:b w:val="0"/>
          <w:sz w:val="32"/>
          <w:szCs w:val="32"/>
        </w:rPr>
        <w:t xml:space="preserve">Statuto del contribuente </w:t>
      </w:r>
      <w:r w:rsidR="00BA3CB5" w:rsidRPr="00AA6E1E">
        <w:rPr>
          <w:rStyle w:val="StileGrassetto"/>
          <w:rFonts w:ascii="Garamond" w:hAnsi="Garamond"/>
          <w:b w:val="0"/>
          <w:sz w:val="32"/>
          <w:szCs w:val="32"/>
        </w:rPr>
        <w:t>nel</w:t>
      </w:r>
      <w:r w:rsidRPr="00AA6E1E">
        <w:rPr>
          <w:rStyle w:val="StileGrassetto"/>
          <w:rFonts w:ascii="Garamond" w:hAnsi="Garamond"/>
          <w:b w:val="0"/>
          <w:sz w:val="32"/>
          <w:szCs w:val="32"/>
        </w:rPr>
        <w:t xml:space="preserve"> parer</w:t>
      </w:r>
      <w:r w:rsidR="00BA3CB5" w:rsidRPr="00AA6E1E">
        <w:rPr>
          <w:rStyle w:val="StileGrassetto"/>
          <w:rFonts w:ascii="Garamond" w:hAnsi="Garamond"/>
          <w:b w:val="0"/>
          <w:sz w:val="32"/>
          <w:szCs w:val="32"/>
        </w:rPr>
        <w:t>e</w:t>
      </w:r>
      <w:r w:rsidRPr="00AA6E1E">
        <w:rPr>
          <w:rStyle w:val="StileGrassetto"/>
          <w:rFonts w:ascii="Garamond" w:hAnsi="Garamond"/>
          <w:b w:val="0"/>
          <w:sz w:val="32"/>
          <w:szCs w:val="32"/>
        </w:rPr>
        <w:t xml:space="preserve"> relativ</w:t>
      </w:r>
      <w:r w:rsidR="00BA3CB5" w:rsidRPr="00AA6E1E">
        <w:rPr>
          <w:rStyle w:val="StileGrassetto"/>
          <w:rFonts w:ascii="Garamond" w:hAnsi="Garamond"/>
          <w:b w:val="0"/>
          <w:sz w:val="32"/>
          <w:szCs w:val="32"/>
        </w:rPr>
        <w:t>o</w:t>
      </w:r>
      <w:r w:rsidRPr="00AA6E1E">
        <w:rPr>
          <w:rStyle w:val="StileGrassetto"/>
          <w:rFonts w:ascii="Garamond" w:hAnsi="Garamond"/>
          <w:b w:val="0"/>
          <w:sz w:val="32"/>
          <w:szCs w:val="32"/>
        </w:rPr>
        <w:t xml:space="preserve"> a</w:t>
      </w:r>
      <w:r w:rsidR="00BA3CB5" w:rsidRPr="00AA6E1E">
        <w:rPr>
          <w:rStyle w:val="StileGrassetto"/>
          <w:rFonts w:ascii="Garamond" w:hAnsi="Garamond"/>
          <w:b w:val="0"/>
          <w:sz w:val="32"/>
          <w:szCs w:val="32"/>
        </w:rPr>
        <w:t>l decreto-legge</w:t>
      </w:r>
      <w:r w:rsidR="00BA3CB5">
        <w:rPr>
          <w:rStyle w:val="StileGrassetto"/>
          <w:rFonts w:ascii="Garamond" w:hAnsi="Garamond"/>
          <w:b w:val="0"/>
          <w:sz w:val="32"/>
          <w:szCs w:val="32"/>
        </w:rPr>
        <w:t xml:space="preserve"> n. </w:t>
      </w:r>
      <w:r w:rsidR="00E16EE8">
        <w:rPr>
          <w:rStyle w:val="StileGrassetto"/>
          <w:rFonts w:ascii="Garamond" w:hAnsi="Garamond"/>
          <w:b w:val="0"/>
          <w:sz w:val="32"/>
          <w:szCs w:val="32"/>
        </w:rPr>
        <w:t>4</w:t>
      </w:r>
      <w:r w:rsidR="00BA3CB5">
        <w:rPr>
          <w:rStyle w:val="StileGrassetto"/>
          <w:rFonts w:ascii="Garamond" w:hAnsi="Garamond"/>
          <w:b w:val="0"/>
          <w:sz w:val="32"/>
          <w:szCs w:val="32"/>
        </w:rPr>
        <w:t>/201</w:t>
      </w:r>
      <w:r w:rsidR="00E16EE8">
        <w:rPr>
          <w:rStyle w:val="StileGrassetto"/>
          <w:rFonts w:ascii="Garamond" w:hAnsi="Garamond"/>
          <w:b w:val="0"/>
          <w:sz w:val="32"/>
          <w:szCs w:val="32"/>
        </w:rPr>
        <w:t>5</w:t>
      </w:r>
      <w:r w:rsidR="00BA3CB5">
        <w:rPr>
          <w:rStyle w:val="StileGrassetto"/>
          <w:rFonts w:ascii="Garamond" w:hAnsi="Garamond"/>
          <w:b w:val="0"/>
          <w:sz w:val="32"/>
          <w:szCs w:val="32"/>
        </w:rPr>
        <w:t xml:space="preserve"> (C. </w:t>
      </w:r>
      <w:r w:rsidR="00E16EE8">
        <w:rPr>
          <w:rStyle w:val="StileGrassetto"/>
          <w:rFonts w:ascii="Garamond" w:hAnsi="Garamond"/>
          <w:b w:val="0"/>
          <w:sz w:val="32"/>
          <w:szCs w:val="32"/>
        </w:rPr>
        <w:t>2915</w:t>
      </w:r>
      <w:r w:rsidR="00BA3CB5">
        <w:rPr>
          <w:rStyle w:val="StileGrassetto"/>
          <w:rFonts w:ascii="Garamond" w:hAnsi="Garamond"/>
          <w:b w:val="0"/>
          <w:sz w:val="32"/>
          <w:szCs w:val="32"/>
        </w:rPr>
        <w:t xml:space="preserve"> – </w:t>
      </w:r>
      <w:r w:rsidR="00E16EE8">
        <w:rPr>
          <w:rStyle w:val="StileGrassetto"/>
          <w:rFonts w:ascii="Garamond" w:hAnsi="Garamond"/>
          <w:b w:val="0"/>
          <w:sz w:val="32"/>
          <w:szCs w:val="32"/>
        </w:rPr>
        <w:t>esenzione IMU</w:t>
      </w:r>
      <w:r w:rsidR="00BA3CB5">
        <w:rPr>
          <w:rStyle w:val="StileGrassetto"/>
          <w:rFonts w:ascii="Garamond" w:hAnsi="Garamond"/>
          <w:b w:val="0"/>
          <w:sz w:val="32"/>
          <w:szCs w:val="32"/>
        </w:rPr>
        <w:t xml:space="preserve">), dove ha rimarcato che </w:t>
      </w:r>
      <w:r w:rsidR="00E16EE8" w:rsidRPr="00E16EE8">
        <w:rPr>
          <w:rFonts w:ascii="Garamond" w:hAnsi="Garamond"/>
          <w:bCs/>
          <w:sz w:val="32"/>
          <w:szCs w:val="32"/>
        </w:rPr>
        <w:t xml:space="preserve">«il provvedimento è, in alcuni punti, </w:t>
      </w:r>
      <w:r w:rsidR="00E16EE8" w:rsidRPr="00AA6E1E">
        <w:rPr>
          <w:rFonts w:ascii="Garamond" w:hAnsi="Garamond"/>
          <w:bCs/>
          <w:sz w:val="32"/>
          <w:szCs w:val="32"/>
        </w:rPr>
        <w:t>derogatorio della legge n. 212 del 2000 (statuto dei diritti del contribuente), le cui disposizioni “costituiscono</w:t>
      </w:r>
      <w:r w:rsidR="00E16EE8" w:rsidRPr="00E16EE8">
        <w:rPr>
          <w:rFonts w:ascii="Garamond" w:hAnsi="Garamond"/>
          <w:bCs/>
          <w:sz w:val="32"/>
          <w:szCs w:val="32"/>
        </w:rPr>
        <w:t xml:space="preserve"> princìpi generali dell'ordinamento tributario e possono essere derogate o modificate solo espressamente e mai da leggi speciali” (articolo 1, comma 1). Si tratta, in particolare: </w:t>
      </w:r>
    </w:p>
    <w:p w:rsidR="00E16EE8" w:rsidRPr="00E16EE8" w:rsidRDefault="00E16EE8" w:rsidP="00E16EE8">
      <w:pPr>
        <w:rPr>
          <w:rFonts w:ascii="Garamond" w:hAnsi="Garamond"/>
          <w:bCs/>
          <w:sz w:val="32"/>
          <w:szCs w:val="32"/>
        </w:rPr>
      </w:pPr>
      <w:r w:rsidRPr="00E16EE8">
        <w:rPr>
          <w:rFonts w:ascii="Garamond" w:hAnsi="Garamond"/>
          <w:bCs/>
          <w:i/>
          <w:iCs/>
          <w:sz w:val="32"/>
          <w:szCs w:val="32"/>
        </w:rPr>
        <w:t>a)</w:t>
      </w:r>
      <w:r w:rsidRPr="00E16EE8">
        <w:rPr>
          <w:rFonts w:ascii="Garamond" w:hAnsi="Garamond"/>
          <w:bCs/>
          <w:sz w:val="32"/>
          <w:szCs w:val="32"/>
        </w:rPr>
        <w:t xml:space="preserve"> del comma 9-</w:t>
      </w:r>
      <w:r w:rsidRPr="00E16EE8">
        <w:rPr>
          <w:rFonts w:ascii="Garamond" w:hAnsi="Garamond"/>
          <w:bCs/>
          <w:i/>
          <w:iCs/>
          <w:sz w:val="32"/>
          <w:szCs w:val="32"/>
        </w:rPr>
        <w:t xml:space="preserve">quater </w:t>
      </w:r>
      <w:r w:rsidRPr="00E16EE8">
        <w:rPr>
          <w:rFonts w:ascii="Garamond" w:hAnsi="Garamond"/>
          <w:bCs/>
          <w:sz w:val="32"/>
          <w:szCs w:val="32"/>
        </w:rPr>
        <w:t xml:space="preserve">dell'articolo 1 del decreto, il quale introduce un'interpretazione autentica dell'IMI in Provincia di Bolzano in difformità dall'articolo 1, comma 2, dello statuto del contribuente secondo cui l'adozione di </w:t>
      </w:r>
      <w:r w:rsidRPr="00AA6E1E">
        <w:rPr>
          <w:rFonts w:ascii="Garamond" w:hAnsi="Garamond"/>
          <w:bCs/>
          <w:sz w:val="32"/>
          <w:szCs w:val="32"/>
        </w:rPr>
        <w:t>norme interpretative in materia tributaria può essere dispos</w:t>
      </w:r>
      <w:r w:rsidRPr="00E16EE8">
        <w:rPr>
          <w:rFonts w:ascii="Garamond" w:hAnsi="Garamond"/>
          <w:bCs/>
          <w:sz w:val="32"/>
          <w:szCs w:val="32"/>
        </w:rPr>
        <w:t xml:space="preserve">ta, fra l'altro, soltanto “con legge ordinaria” (e non, dunque, con decreto-legge): al riguardo è, inoltre, privo di portata normativa il riferimento allo statuto del contribuente effettuato dal decreto in esame, per di più nel momento stesso in cui vi deroga; </w:t>
      </w:r>
    </w:p>
    <w:p w:rsidR="00E16EE8" w:rsidRDefault="00E16EE8" w:rsidP="00E16EE8">
      <w:pPr>
        <w:rPr>
          <w:rFonts w:ascii="Garamond" w:hAnsi="Garamond"/>
          <w:bCs/>
          <w:sz w:val="32"/>
          <w:szCs w:val="32"/>
        </w:rPr>
      </w:pPr>
      <w:r w:rsidRPr="00E16EE8">
        <w:rPr>
          <w:rFonts w:ascii="Garamond" w:hAnsi="Garamond"/>
          <w:bCs/>
          <w:i/>
          <w:iCs/>
          <w:sz w:val="32"/>
          <w:szCs w:val="32"/>
        </w:rPr>
        <w:t>b)</w:t>
      </w:r>
      <w:r w:rsidRPr="00E16EE8">
        <w:rPr>
          <w:rFonts w:ascii="Garamond" w:hAnsi="Garamond"/>
          <w:bCs/>
          <w:sz w:val="32"/>
          <w:szCs w:val="32"/>
        </w:rPr>
        <w:t xml:space="preserve"> dell'articolo 1-</w:t>
      </w:r>
      <w:r w:rsidRPr="00E16EE8">
        <w:rPr>
          <w:rFonts w:ascii="Garamond" w:hAnsi="Garamond"/>
          <w:bCs/>
          <w:i/>
          <w:iCs/>
          <w:sz w:val="32"/>
          <w:szCs w:val="32"/>
        </w:rPr>
        <w:t xml:space="preserve">bis, </w:t>
      </w:r>
      <w:r w:rsidRPr="00E16EE8">
        <w:rPr>
          <w:rFonts w:ascii="Garamond" w:hAnsi="Garamond"/>
          <w:bCs/>
          <w:sz w:val="32"/>
          <w:szCs w:val="32"/>
        </w:rPr>
        <w:t>che proroga la sospensione di adempimenti e versamenti nell'isola di Lampedusa, senza novellare l'articolo 23, comma 12-</w:t>
      </w:r>
      <w:r w:rsidRPr="00E16EE8">
        <w:rPr>
          <w:rFonts w:ascii="Garamond" w:hAnsi="Garamond"/>
          <w:bCs/>
          <w:i/>
          <w:iCs/>
          <w:sz w:val="32"/>
          <w:szCs w:val="32"/>
        </w:rPr>
        <w:t>octies</w:t>
      </w:r>
      <w:r w:rsidRPr="00E16EE8">
        <w:rPr>
          <w:rFonts w:ascii="Garamond" w:hAnsi="Garamond"/>
          <w:bCs/>
          <w:sz w:val="32"/>
          <w:szCs w:val="32"/>
        </w:rPr>
        <w:t xml:space="preserve"> del decreto-legge n. 95 del 2012, la cui efficacia già è stata differita, in tempi recentissimi, dall'articolo 10, comma 12 del decreto-legge n. 192 del 2014 (“milleproroghe”), in difformità dall'articolo 2, comma 4, dello statuto del contribuente, secondo cui </w:t>
      </w:r>
      <w:r w:rsidRPr="00AA6E1E">
        <w:rPr>
          <w:rFonts w:ascii="Garamond" w:hAnsi="Garamond"/>
          <w:bCs/>
          <w:sz w:val="32"/>
          <w:szCs w:val="32"/>
        </w:rPr>
        <w:t>le disposizioni modificative di leggi tributarie debbono essere introdotte riportando il testo conseguentemente modificato</w:t>
      </w:r>
      <w:r w:rsidRPr="00E16EE8">
        <w:rPr>
          <w:rFonts w:ascii="Garamond" w:hAnsi="Garamond"/>
          <w:bCs/>
          <w:sz w:val="32"/>
          <w:szCs w:val="32"/>
        </w:rPr>
        <w:t xml:space="preserve"> (detta disposizione, inoltre, è stata introdotta nel presente decreto mentre era ancora in corso la conversione del decreto-legge “milleproroghe”)»</w:t>
      </w:r>
      <w:r w:rsidR="00AA6E1E">
        <w:rPr>
          <w:rFonts w:ascii="Garamond" w:hAnsi="Garamond"/>
          <w:bCs/>
          <w:sz w:val="32"/>
          <w:szCs w:val="32"/>
        </w:rPr>
        <w:t xml:space="preserve"> </w:t>
      </w:r>
      <w:r w:rsidR="00AA6E1E" w:rsidRPr="00857CEF">
        <w:rPr>
          <w:rFonts w:ascii="Garamond" w:hAnsi="Garamond"/>
          <w:bCs/>
          <w:sz w:val="32"/>
          <w:szCs w:val="32"/>
        </w:rPr>
        <w:t>(</w:t>
      </w:r>
      <w:hyperlink w:anchor="S05a07" w:history="1">
        <w:r w:rsidR="00AA6E1E" w:rsidRPr="00857CEF">
          <w:rPr>
            <w:rStyle w:val="Collegamentoipertestuale"/>
            <w:rFonts w:ascii="Garamond" w:hAnsi="Garamond"/>
            <w:bCs/>
            <w:sz w:val="32"/>
            <w:szCs w:val="32"/>
          </w:rPr>
          <w:t>Scheda 5, punto 7</w:t>
        </w:r>
      </w:hyperlink>
      <w:r w:rsidR="00AA6E1E" w:rsidRPr="00857CEF">
        <w:rPr>
          <w:rFonts w:ascii="Garamond" w:hAnsi="Garamond"/>
          <w:bCs/>
          <w:sz w:val="32"/>
          <w:szCs w:val="32"/>
        </w:rPr>
        <w:t>).</w:t>
      </w:r>
    </w:p>
    <w:p w:rsidR="00AA6E1E" w:rsidRDefault="00AA6E1E" w:rsidP="00E16EE8">
      <w:pPr>
        <w:rPr>
          <w:rFonts w:ascii="Garamond" w:hAnsi="Garamond"/>
          <w:bCs/>
          <w:sz w:val="32"/>
          <w:szCs w:val="32"/>
        </w:rPr>
      </w:pPr>
      <w:r>
        <w:rPr>
          <w:rFonts w:ascii="Garamond" w:hAnsi="Garamond"/>
          <w:bCs/>
          <w:sz w:val="32"/>
          <w:szCs w:val="32"/>
        </w:rPr>
        <w:t>Ne conseguono due osservazioni, la prima delle quali, in particolare, invita a «</w:t>
      </w:r>
      <w:r w:rsidRPr="00AA6E1E">
        <w:rPr>
          <w:rFonts w:ascii="Garamond" w:hAnsi="Garamond"/>
          <w:bCs/>
          <w:sz w:val="32"/>
          <w:szCs w:val="32"/>
        </w:rPr>
        <w:t xml:space="preserve">esplicitare il carattere derogatorio – e non </w:t>
      </w:r>
      <w:r w:rsidRPr="00AA6E1E">
        <w:rPr>
          <w:rFonts w:ascii="Garamond" w:hAnsi="Garamond"/>
          <w:bCs/>
          <w:sz w:val="32"/>
          <w:szCs w:val="32"/>
        </w:rPr>
        <w:lastRenderedPageBreak/>
        <w:t>applicativo – dell'articolo 1, comma 2, dello statuto del contribuente</w:t>
      </w:r>
      <w:r>
        <w:rPr>
          <w:rFonts w:ascii="Garamond" w:hAnsi="Garamond"/>
          <w:bCs/>
          <w:sz w:val="32"/>
          <w:szCs w:val="32"/>
        </w:rPr>
        <w:t>».</w:t>
      </w:r>
    </w:p>
    <w:p w:rsidR="00AA6E1E" w:rsidRDefault="00AA6E1E" w:rsidP="00AA6E1E">
      <w:pPr>
        <w:rPr>
          <w:rFonts w:ascii="Garamond" w:hAnsi="Garamond"/>
          <w:bCs/>
          <w:sz w:val="32"/>
          <w:szCs w:val="32"/>
        </w:rPr>
      </w:pPr>
      <w:r>
        <w:rPr>
          <w:rFonts w:ascii="Garamond" w:hAnsi="Garamond"/>
          <w:bCs/>
          <w:sz w:val="32"/>
          <w:szCs w:val="32"/>
        </w:rPr>
        <w:t>In connessione con l’esordio delle premesse, ove viene richiamato il parere sul decreto-legge n. 66/2014, che già aveva sollevato le questioni trattate nel parere in esame, il Comitato formula la seguente raccomandazione: «</w:t>
      </w:r>
      <w:r w:rsidRPr="00AA6E1E">
        <w:rPr>
          <w:rFonts w:ascii="Garamond" w:hAnsi="Garamond"/>
          <w:bCs/>
          <w:sz w:val="32"/>
          <w:szCs w:val="32"/>
        </w:rPr>
        <w:t>si valuti l'opportunità di coordinare e consolidare in un testo unico o comunque in un idoneo contesto normativo la complessiva disciplina della tassazione immobiliare, curandone in particolare una più stretta rispondenza ai princìpi di cui allo “</w:t>
      </w:r>
      <w:r w:rsidRPr="00AA6E1E">
        <w:rPr>
          <w:rFonts w:ascii="Garamond" w:hAnsi="Garamond"/>
          <w:bCs/>
          <w:i/>
          <w:iCs/>
          <w:sz w:val="32"/>
          <w:szCs w:val="32"/>
        </w:rPr>
        <w:t>Statuto del contribuente</w:t>
      </w:r>
      <w:r w:rsidRPr="00AA6E1E">
        <w:rPr>
          <w:rFonts w:ascii="Garamond" w:hAnsi="Garamond"/>
          <w:bCs/>
          <w:sz w:val="32"/>
          <w:szCs w:val="32"/>
        </w:rPr>
        <w:t>”, avendo particolare riguardo ai requisiti di stabilità, certezza e semplificazione della normativa vigen</w:t>
      </w:r>
      <w:r>
        <w:rPr>
          <w:rFonts w:ascii="Garamond" w:hAnsi="Garamond"/>
          <w:bCs/>
          <w:sz w:val="32"/>
          <w:szCs w:val="32"/>
        </w:rPr>
        <w:t xml:space="preserve">te». </w:t>
      </w:r>
    </w:p>
    <w:p w:rsidR="00BA3CB5" w:rsidRDefault="00BA3CB5" w:rsidP="00E16EE8">
      <w:pPr>
        <w:rPr>
          <w:rFonts w:ascii="Garamond" w:hAnsi="Garamond"/>
          <w:sz w:val="32"/>
          <w:szCs w:val="32"/>
        </w:rPr>
      </w:pPr>
    </w:p>
    <w:p w:rsidR="00E63DBD" w:rsidRDefault="00E63DBD" w:rsidP="00BA3CB5">
      <w:pPr>
        <w:rPr>
          <w:rFonts w:ascii="Garamond" w:hAnsi="Garamond"/>
          <w:sz w:val="32"/>
          <w:szCs w:val="32"/>
        </w:rPr>
      </w:pPr>
    </w:p>
    <w:p w:rsidR="00B80024" w:rsidRDefault="00B80024" w:rsidP="004713E0">
      <w:pPr>
        <w:pStyle w:val="Titolo2"/>
        <w:rPr>
          <w:rFonts w:ascii="Garamond" w:hAnsi="Garamond"/>
          <w:i/>
          <w:color w:val="0000FF"/>
          <w:sz w:val="40"/>
          <w:szCs w:val="40"/>
        </w:rPr>
        <w:sectPr w:rsidR="00B80024" w:rsidSect="00B80024">
          <w:pgSz w:w="11906" w:h="16838" w:code="9"/>
          <w:pgMar w:top="1985" w:right="1985" w:bottom="1985" w:left="1985" w:header="1134" w:footer="1134" w:gutter="0"/>
          <w:cols w:sep="1" w:space="284"/>
          <w:titlePg/>
        </w:sectPr>
      </w:pPr>
      <w:bookmarkStart w:id="109" w:name="_4.10._Profili_di"/>
      <w:bookmarkStart w:id="110" w:name="_Toc342035934"/>
      <w:bookmarkStart w:id="111" w:name="_Toc384976871"/>
      <w:bookmarkStart w:id="112" w:name="p4_10"/>
      <w:bookmarkEnd w:id="109"/>
    </w:p>
    <w:p w:rsidR="004713E0" w:rsidRPr="00063D88" w:rsidRDefault="004713E0" w:rsidP="004713E0">
      <w:pPr>
        <w:pStyle w:val="Titolo2"/>
        <w:rPr>
          <w:rFonts w:ascii="Garamond" w:hAnsi="Garamond"/>
          <w:i/>
          <w:color w:val="0000FF"/>
          <w:sz w:val="40"/>
          <w:szCs w:val="40"/>
        </w:rPr>
      </w:pPr>
      <w:bookmarkStart w:id="113" w:name="_Toc439082249"/>
      <w:bookmarkStart w:id="114" w:name="_Toc439953665"/>
      <w:bookmarkStart w:id="115" w:name="_Toc440030379"/>
      <w:r w:rsidRPr="00063D88">
        <w:rPr>
          <w:rFonts w:ascii="Garamond" w:hAnsi="Garamond"/>
          <w:i/>
          <w:color w:val="0000FF"/>
          <w:sz w:val="40"/>
          <w:szCs w:val="40"/>
        </w:rPr>
        <w:lastRenderedPageBreak/>
        <w:t>4.1</w:t>
      </w:r>
      <w:r w:rsidR="007D4AAE">
        <w:rPr>
          <w:rFonts w:ascii="Garamond" w:hAnsi="Garamond"/>
          <w:i/>
          <w:color w:val="0000FF"/>
          <w:sz w:val="40"/>
          <w:szCs w:val="40"/>
        </w:rPr>
        <w:t>0</w:t>
      </w:r>
      <w:r w:rsidRPr="00063D88">
        <w:rPr>
          <w:rFonts w:ascii="Garamond" w:hAnsi="Garamond"/>
          <w:i/>
          <w:color w:val="0000FF"/>
          <w:sz w:val="40"/>
          <w:szCs w:val="40"/>
        </w:rPr>
        <w:t>. Profili di coordinamento con disposizioni di rango costituzionale</w:t>
      </w:r>
      <w:bookmarkEnd w:id="110"/>
      <w:bookmarkEnd w:id="111"/>
      <w:bookmarkEnd w:id="113"/>
      <w:bookmarkEnd w:id="114"/>
      <w:bookmarkEnd w:id="115"/>
    </w:p>
    <w:bookmarkEnd w:id="112"/>
    <w:p w:rsidR="00175CC6" w:rsidRDefault="00175CC6" w:rsidP="002010DB">
      <w:pPr>
        <w:keepNext/>
        <w:rPr>
          <w:rFonts w:ascii="Garamond" w:hAnsi="Garamond"/>
          <w:sz w:val="32"/>
          <w:szCs w:val="32"/>
        </w:rPr>
      </w:pPr>
      <w:r>
        <w:rPr>
          <w:rFonts w:ascii="Garamond" w:hAnsi="Garamond"/>
          <w:b/>
          <w:color w:val="993300"/>
          <w:sz w:val="32"/>
          <w:szCs w:val="32"/>
        </w:rPr>
        <w:t>4</w:t>
      </w:r>
      <w:r w:rsidR="004713E0">
        <w:rPr>
          <w:rFonts w:ascii="Garamond" w:hAnsi="Garamond"/>
          <w:sz w:val="32"/>
          <w:szCs w:val="32"/>
        </w:rPr>
        <w:t xml:space="preserve"> dei </w:t>
      </w:r>
      <w:r w:rsidR="002D0F44">
        <w:rPr>
          <w:rFonts w:ascii="Garamond" w:hAnsi="Garamond"/>
          <w:b/>
          <w:color w:val="0000FF"/>
          <w:sz w:val="32"/>
          <w:szCs w:val="32"/>
        </w:rPr>
        <w:t>2</w:t>
      </w:r>
      <w:r>
        <w:rPr>
          <w:rFonts w:ascii="Garamond" w:hAnsi="Garamond"/>
          <w:b/>
          <w:color w:val="0000FF"/>
          <w:sz w:val="32"/>
          <w:szCs w:val="32"/>
        </w:rPr>
        <w:t>7</w:t>
      </w:r>
      <w:r w:rsidR="004713E0" w:rsidRPr="00063D88">
        <w:rPr>
          <w:rFonts w:ascii="Garamond" w:hAnsi="Garamond"/>
          <w:sz w:val="32"/>
          <w:szCs w:val="32"/>
        </w:rPr>
        <w:t xml:space="preserve"> </w:t>
      </w:r>
      <w:r w:rsidR="004713E0">
        <w:rPr>
          <w:rFonts w:ascii="Garamond" w:hAnsi="Garamond"/>
          <w:sz w:val="32"/>
          <w:szCs w:val="32"/>
        </w:rPr>
        <w:t>pareri resi</w:t>
      </w:r>
      <w:r w:rsidR="004713E0" w:rsidRPr="00063D88">
        <w:rPr>
          <w:rFonts w:ascii="Garamond" w:hAnsi="Garamond"/>
          <w:sz w:val="32"/>
          <w:szCs w:val="32"/>
        </w:rPr>
        <w:t xml:space="preserve"> dal Comitato nel periodo di riferimento contengono rich</w:t>
      </w:r>
      <w:r>
        <w:rPr>
          <w:rFonts w:ascii="Garamond" w:hAnsi="Garamond"/>
          <w:sz w:val="32"/>
          <w:szCs w:val="32"/>
        </w:rPr>
        <w:t>iami a norme della Costituzione:</w:t>
      </w:r>
    </w:p>
    <w:p w:rsidR="00175CC6" w:rsidRDefault="00FA06F9" w:rsidP="002010DB">
      <w:pPr>
        <w:keepNext/>
        <w:rPr>
          <w:rFonts w:ascii="Garamond" w:hAnsi="Garamond"/>
          <w:sz w:val="32"/>
          <w:szCs w:val="32"/>
        </w:rPr>
      </w:pPr>
      <w:r>
        <w:rPr>
          <w:rFonts w:ascii="Garamond" w:hAnsi="Garamond"/>
          <w:sz w:val="32"/>
          <w:szCs w:val="32"/>
        </w:rPr>
        <w:t xml:space="preserve">▪ </w:t>
      </w:r>
      <w:r w:rsidR="004713E0" w:rsidRPr="00063D88">
        <w:rPr>
          <w:rFonts w:ascii="Garamond" w:hAnsi="Garamond"/>
          <w:sz w:val="32"/>
          <w:szCs w:val="32"/>
        </w:rPr>
        <w:t xml:space="preserve"> </w:t>
      </w:r>
      <w:r w:rsidR="00175CC6">
        <w:rPr>
          <w:rFonts w:ascii="Garamond" w:hAnsi="Garamond"/>
          <w:sz w:val="32"/>
          <w:szCs w:val="32"/>
        </w:rPr>
        <w:t>il parere sul decreto-legge n. 192/2014 (C. 2803 – mille proroghe) si sofferma su</w:t>
      </w:r>
      <w:r w:rsidR="00175CC6" w:rsidRPr="00175CC6">
        <w:rPr>
          <w:rFonts w:ascii="Garamond" w:hAnsi="Garamond"/>
          <w:sz w:val="32"/>
          <w:szCs w:val="32"/>
        </w:rPr>
        <w:t xml:space="preserve"> </w:t>
      </w:r>
      <w:r w:rsidR="00175CC6">
        <w:rPr>
          <w:rFonts w:ascii="Garamond" w:hAnsi="Garamond"/>
          <w:sz w:val="32"/>
          <w:szCs w:val="32"/>
        </w:rPr>
        <w:t xml:space="preserve">una fattispecie di delegificazione spuria riguardante la riserva di legge in materia tributaria disposta dall’articolo 23 della </w:t>
      </w:r>
      <w:r w:rsidR="00175CC6" w:rsidRPr="00504BA4">
        <w:rPr>
          <w:rFonts w:ascii="Garamond" w:hAnsi="Garamond"/>
          <w:sz w:val="32"/>
          <w:szCs w:val="32"/>
        </w:rPr>
        <w:t>Costituzione (</w:t>
      </w:r>
      <w:hyperlink w:anchor="S01a13" w:history="1">
        <w:r w:rsidR="00175CC6" w:rsidRPr="00504BA4">
          <w:rPr>
            <w:rStyle w:val="Collegamentoipertestuale"/>
            <w:rFonts w:ascii="Garamond" w:hAnsi="Garamond"/>
            <w:sz w:val="32"/>
            <w:szCs w:val="32"/>
          </w:rPr>
          <w:t>Scheda 1, punto 13</w:t>
        </w:r>
      </w:hyperlink>
      <w:r w:rsidR="00175CC6" w:rsidRPr="00504BA4">
        <w:rPr>
          <w:rFonts w:ascii="Garamond" w:hAnsi="Garamond"/>
          <w:sz w:val="32"/>
          <w:szCs w:val="32"/>
        </w:rPr>
        <w:t>);</w:t>
      </w:r>
    </w:p>
    <w:p w:rsidR="00175CC6" w:rsidRDefault="00FA06F9" w:rsidP="002010DB">
      <w:pPr>
        <w:keepNext/>
        <w:rPr>
          <w:rFonts w:ascii="Garamond" w:hAnsi="Garamond"/>
          <w:sz w:val="32"/>
          <w:szCs w:val="32"/>
        </w:rPr>
      </w:pPr>
      <w:r>
        <w:rPr>
          <w:rFonts w:ascii="Garamond" w:hAnsi="Garamond"/>
          <w:sz w:val="32"/>
          <w:szCs w:val="32"/>
        </w:rPr>
        <w:t xml:space="preserve">▪ </w:t>
      </w:r>
      <w:r w:rsidR="00175CC6">
        <w:rPr>
          <w:rFonts w:ascii="Garamond" w:hAnsi="Garamond"/>
          <w:sz w:val="32"/>
          <w:szCs w:val="32"/>
        </w:rPr>
        <w:t xml:space="preserve">il parere sul decreto-legge n. 27/2015 (C. 3059 – elezioni regionali e amministrative 2015), con riguardo ai limiti di contenuto dei decreti-legge, compiendo la disamina già riportata nel paragrafo relativo alla legge n. 400 del 1988, richiama , con riguardo alla materia elettorale, l’articolo 72, quarto comma </w:t>
      </w:r>
      <w:r w:rsidR="00175CC6" w:rsidRPr="00504BA4">
        <w:rPr>
          <w:rFonts w:ascii="Garamond" w:hAnsi="Garamond"/>
          <w:sz w:val="32"/>
          <w:szCs w:val="32"/>
        </w:rPr>
        <w:t>(</w:t>
      </w:r>
      <w:hyperlink w:anchor="S07a02" w:history="1">
        <w:r w:rsidR="00175CC6" w:rsidRPr="00504BA4">
          <w:rPr>
            <w:rStyle w:val="Collegamentoipertestuale"/>
            <w:rFonts w:ascii="Garamond" w:hAnsi="Garamond"/>
            <w:sz w:val="32"/>
            <w:szCs w:val="32"/>
          </w:rPr>
          <w:t>Scheda 7, punto 2</w:t>
        </w:r>
      </w:hyperlink>
      <w:r w:rsidR="00175CC6" w:rsidRPr="00504BA4">
        <w:rPr>
          <w:rFonts w:ascii="Garamond" w:hAnsi="Garamond"/>
          <w:sz w:val="32"/>
          <w:szCs w:val="32"/>
        </w:rPr>
        <w:t>);</w:t>
      </w:r>
    </w:p>
    <w:p w:rsidR="00175CC6" w:rsidRDefault="00FA06F9" w:rsidP="002010DB">
      <w:pPr>
        <w:keepNext/>
        <w:rPr>
          <w:rFonts w:ascii="Garamond" w:hAnsi="Garamond"/>
          <w:sz w:val="32"/>
          <w:szCs w:val="32"/>
        </w:rPr>
      </w:pPr>
      <w:r>
        <w:rPr>
          <w:rFonts w:ascii="Garamond" w:hAnsi="Garamond"/>
          <w:sz w:val="32"/>
          <w:szCs w:val="32"/>
        </w:rPr>
        <w:t xml:space="preserve">▪ </w:t>
      </w:r>
      <w:r w:rsidR="00175CC6">
        <w:rPr>
          <w:rFonts w:ascii="Garamond" w:hAnsi="Garamond"/>
          <w:sz w:val="32"/>
          <w:szCs w:val="32"/>
        </w:rPr>
        <w:t xml:space="preserve">il parere sul disegno di legge di conversione del decreto-legge n. 4 del 2015 (C. 2915 – esenzione IMU e proroga termini delega fiscale), sempre con riguardo ai limiti di contenuto dei decreti-legge, richiama il divieto esplicitato dall’articolo 15, comma 2, lettera a) della lege n. 400 del 1988, il quale a sua volta fa riferimento all’articolo 76 della Costituzione, sulla delega </w:t>
      </w:r>
      <w:r w:rsidR="00175CC6" w:rsidRPr="00504BA4">
        <w:rPr>
          <w:rFonts w:ascii="Garamond" w:hAnsi="Garamond"/>
          <w:sz w:val="32"/>
          <w:szCs w:val="32"/>
        </w:rPr>
        <w:t>legislativa (</w:t>
      </w:r>
      <w:hyperlink w:anchor="S05o03" w:history="1">
        <w:r w:rsidR="00175CC6" w:rsidRPr="00504BA4">
          <w:rPr>
            <w:rStyle w:val="Collegamentoipertestuale"/>
            <w:rFonts w:ascii="Garamond" w:hAnsi="Garamond"/>
            <w:sz w:val="32"/>
            <w:szCs w:val="32"/>
          </w:rPr>
          <w:t>Scheda 5, punto 3</w:t>
        </w:r>
      </w:hyperlink>
      <w:r w:rsidR="00175CC6" w:rsidRPr="00504BA4">
        <w:rPr>
          <w:rFonts w:ascii="Garamond" w:hAnsi="Garamond"/>
          <w:sz w:val="32"/>
          <w:szCs w:val="32"/>
        </w:rPr>
        <w:t>);</w:t>
      </w:r>
    </w:p>
    <w:p w:rsidR="009D0B27" w:rsidRDefault="00FA06F9" w:rsidP="004500B9">
      <w:pPr>
        <w:keepNext/>
        <w:rPr>
          <w:rFonts w:ascii="Garamond" w:hAnsi="Garamond"/>
          <w:sz w:val="32"/>
          <w:szCs w:val="32"/>
        </w:rPr>
      </w:pPr>
      <w:r>
        <w:rPr>
          <w:rFonts w:ascii="Garamond" w:hAnsi="Garamond"/>
          <w:sz w:val="32"/>
          <w:szCs w:val="32"/>
        </w:rPr>
        <w:t xml:space="preserve">▪ </w:t>
      </w:r>
      <w:r w:rsidR="00175CC6">
        <w:rPr>
          <w:rFonts w:ascii="Garamond" w:hAnsi="Garamond"/>
          <w:sz w:val="32"/>
          <w:szCs w:val="32"/>
        </w:rPr>
        <w:t xml:space="preserve">nel parere sul decreto-legge n. 1 del 2015 (C. 2894 – ILVA e Taranto) </w:t>
      </w:r>
      <w:r w:rsidR="004500B9">
        <w:rPr>
          <w:rFonts w:ascii="Garamond" w:hAnsi="Garamond"/>
          <w:sz w:val="32"/>
          <w:szCs w:val="32"/>
        </w:rPr>
        <w:t>svolge un articolato ragionamento sugli obiettivi del decreto, richiamando la giurisprudenza costituzionale sull’articolo 111 della Costituzione (principio del gusto processo). Vale la pena riportare il lungo passo delle premesse, che mette in evidenza questioni di indubbia rilevanza nel rap</w:t>
      </w:r>
      <w:r>
        <w:rPr>
          <w:rFonts w:ascii="Garamond" w:hAnsi="Garamond"/>
          <w:sz w:val="32"/>
          <w:szCs w:val="32"/>
        </w:rPr>
        <w:t>p</w:t>
      </w:r>
      <w:r w:rsidR="004500B9">
        <w:rPr>
          <w:rFonts w:ascii="Garamond" w:hAnsi="Garamond"/>
          <w:sz w:val="32"/>
          <w:szCs w:val="32"/>
        </w:rPr>
        <w:t>orto</w:t>
      </w:r>
      <w:r>
        <w:rPr>
          <w:rFonts w:ascii="Garamond" w:hAnsi="Garamond"/>
          <w:sz w:val="32"/>
          <w:szCs w:val="32"/>
        </w:rPr>
        <w:t xml:space="preserve"> </w:t>
      </w:r>
      <w:r w:rsidR="004500B9">
        <w:rPr>
          <w:rFonts w:ascii="Garamond" w:hAnsi="Garamond"/>
          <w:sz w:val="32"/>
          <w:szCs w:val="32"/>
        </w:rPr>
        <w:t>tra decretazione d’urgenza, provvedim</w:t>
      </w:r>
      <w:r>
        <w:rPr>
          <w:rFonts w:ascii="Garamond" w:hAnsi="Garamond"/>
          <w:sz w:val="32"/>
          <w:szCs w:val="32"/>
        </w:rPr>
        <w:t>e</w:t>
      </w:r>
      <w:r w:rsidR="004500B9">
        <w:rPr>
          <w:rFonts w:ascii="Garamond" w:hAnsi="Garamond"/>
          <w:sz w:val="32"/>
          <w:szCs w:val="32"/>
        </w:rPr>
        <w:t xml:space="preserve">nti amministrativi e potere giudiziario: </w:t>
      </w:r>
    </w:p>
    <w:p w:rsidR="004500B9" w:rsidRPr="004500B9" w:rsidRDefault="004500B9" w:rsidP="004500B9">
      <w:pPr>
        <w:keepNext/>
        <w:rPr>
          <w:rFonts w:ascii="Garamond" w:hAnsi="Garamond"/>
          <w:sz w:val="32"/>
          <w:szCs w:val="32"/>
        </w:rPr>
      </w:pPr>
      <w:r w:rsidRPr="004500B9">
        <w:rPr>
          <w:rFonts w:ascii="Garamond" w:hAnsi="Garamond"/>
          <w:sz w:val="32"/>
          <w:szCs w:val="32"/>
        </w:rPr>
        <w:t xml:space="preserve">«l'articolo 4, ai commi 1 e 2, dispone l'approvazione </w:t>
      </w:r>
      <w:r w:rsidRPr="004500B9">
        <w:rPr>
          <w:rFonts w:ascii="Garamond" w:hAnsi="Garamond"/>
          <w:i/>
          <w:iCs/>
          <w:sz w:val="32"/>
          <w:szCs w:val="32"/>
        </w:rPr>
        <w:t>ope legis</w:t>
      </w:r>
      <w:r w:rsidRPr="004500B9">
        <w:rPr>
          <w:rFonts w:ascii="Garamond" w:hAnsi="Garamond"/>
          <w:sz w:val="32"/>
          <w:szCs w:val="32"/>
        </w:rPr>
        <w:t xml:space="preserve"> delle seguenti proposte di piano (che dovevano essere sottoposte ad una procedura di approvazione disciplinata dal </w:t>
      </w:r>
      <w:r w:rsidRPr="004500B9">
        <w:rPr>
          <w:rFonts w:ascii="Garamond" w:hAnsi="Garamond"/>
          <w:sz w:val="32"/>
          <w:szCs w:val="32"/>
        </w:rPr>
        <w:lastRenderedPageBreak/>
        <w:t>decreto-legge n.101 del 2013), richiamate ma non allegate al decreto stesso:</w:t>
      </w:r>
    </w:p>
    <w:p w:rsidR="004500B9" w:rsidRPr="004500B9" w:rsidRDefault="004500B9" w:rsidP="004500B9">
      <w:pPr>
        <w:keepNext/>
        <w:rPr>
          <w:rFonts w:ascii="Garamond" w:hAnsi="Garamond"/>
          <w:sz w:val="32"/>
          <w:szCs w:val="32"/>
        </w:rPr>
      </w:pPr>
      <w:r w:rsidRPr="004500B9">
        <w:rPr>
          <w:rFonts w:ascii="Garamond" w:hAnsi="Garamond"/>
          <w:sz w:val="32"/>
          <w:szCs w:val="32"/>
        </w:rPr>
        <w:t>1) le modalità di costruzione e di gestione delle discariche per rifiuti speciali, pericolosi e non pericolosi, localizzate nel perimetro dell'impianto produttivo dell'Ilva di Taranto, presentate in data 19 dicembre 2014 dal sub-commissario ambientale;</w:t>
      </w:r>
    </w:p>
    <w:p w:rsidR="004500B9" w:rsidRPr="004500B9" w:rsidRDefault="004500B9" w:rsidP="004500B9">
      <w:pPr>
        <w:keepNext/>
        <w:rPr>
          <w:rFonts w:ascii="Garamond" w:hAnsi="Garamond"/>
          <w:sz w:val="32"/>
          <w:szCs w:val="32"/>
        </w:rPr>
      </w:pPr>
      <w:r w:rsidRPr="004500B9">
        <w:rPr>
          <w:rFonts w:ascii="Garamond" w:hAnsi="Garamond"/>
          <w:sz w:val="32"/>
          <w:szCs w:val="32"/>
        </w:rPr>
        <w:t>2) (per effetto di una previsione introdotta al Senato) le proposte presentate in data 19 dicembre 2014 al Ministro dell'ambiente dal sub-commissario ambientale, relative alla definizione delle misure di compensazione ambientale;</w:t>
      </w:r>
    </w:p>
    <w:p w:rsidR="004500B9" w:rsidRPr="004500B9" w:rsidRDefault="004500B9" w:rsidP="004500B9">
      <w:pPr>
        <w:keepNext/>
        <w:rPr>
          <w:rFonts w:ascii="Garamond" w:hAnsi="Garamond"/>
          <w:sz w:val="32"/>
          <w:szCs w:val="32"/>
        </w:rPr>
      </w:pPr>
      <w:r w:rsidRPr="004500B9">
        <w:rPr>
          <w:rFonts w:ascii="Garamond" w:hAnsi="Garamond"/>
          <w:sz w:val="32"/>
          <w:szCs w:val="32"/>
        </w:rPr>
        <w:t>3) le modalità di gestione e smaltimento dei rifiuti del ciclo produttivo dell'Ilva di Taranto presentate in data 11 dicembre 2014 dal sub-commissario ambientale;</w:t>
      </w:r>
    </w:p>
    <w:p w:rsidR="004500B9" w:rsidRPr="004500B9" w:rsidRDefault="004500B9" w:rsidP="004500B9">
      <w:pPr>
        <w:keepNext/>
        <w:rPr>
          <w:rFonts w:ascii="Garamond" w:hAnsi="Garamond"/>
          <w:sz w:val="32"/>
          <w:szCs w:val="32"/>
        </w:rPr>
      </w:pPr>
      <w:r w:rsidRPr="004500B9">
        <w:rPr>
          <w:rFonts w:ascii="Garamond" w:hAnsi="Garamond"/>
          <w:sz w:val="32"/>
          <w:szCs w:val="32"/>
        </w:rPr>
        <w:t>sul piano dell'uso della tecnica legislativa, tali previsioni assumono rilievo sotto due distinti profili:</w:t>
      </w:r>
    </w:p>
    <w:p w:rsidR="004500B9" w:rsidRPr="00072617" w:rsidRDefault="004500B9" w:rsidP="004500B9">
      <w:pPr>
        <w:keepNext/>
        <w:rPr>
          <w:rFonts w:ascii="Garamond" w:hAnsi="Garamond"/>
          <w:sz w:val="32"/>
          <w:szCs w:val="32"/>
        </w:rPr>
      </w:pPr>
      <w:r w:rsidRPr="004500B9">
        <w:rPr>
          <w:rFonts w:ascii="Garamond" w:hAnsi="Garamond"/>
          <w:i/>
          <w:iCs/>
          <w:sz w:val="32"/>
          <w:szCs w:val="32"/>
        </w:rPr>
        <w:t>a)</w:t>
      </w:r>
      <w:r w:rsidRPr="004500B9">
        <w:rPr>
          <w:rFonts w:ascii="Garamond" w:hAnsi="Garamond"/>
          <w:sz w:val="32"/>
          <w:szCs w:val="32"/>
        </w:rPr>
        <w:t xml:space="preserve"> in linea generale</w:t>
      </w:r>
      <w:r w:rsidRPr="00072617">
        <w:rPr>
          <w:rFonts w:ascii="Garamond" w:hAnsi="Garamond"/>
          <w:sz w:val="32"/>
          <w:szCs w:val="32"/>
        </w:rPr>
        <w:t>, l'approvazione per decreto-legge, presenta – rispetto all'adozione di un provvedimento amministrativo, come originariamente previsto – diversi regimi di:</w:t>
      </w:r>
    </w:p>
    <w:p w:rsidR="004500B9" w:rsidRPr="00072617" w:rsidRDefault="004500B9" w:rsidP="004500B9">
      <w:pPr>
        <w:keepNext/>
        <w:rPr>
          <w:rFonts w:ascii="Garamond" w:hAnsi="Garamond"/>
          <w:sz w:val="32"/>
          <w:szCs w:val="32"/>
        </w:rPr>
      </w:pPr>
      <w:r w:rsidRPr="00072617">
        <w:rPr>
          <w:rFonts w:ascii="Garamond" w:hAnsi="Garamond"/>
          <w:sz w:val="32"/>
          <w:szCs w:val="32"/>
        </w:rPr>
        <w:t>formazione dell'atto (si pensi agli istituti di: partecipazione, informazione al pubblico, ponderazione degli interessi, acquisizione di pareri e atti propedeutici, motivazione, responsabilità amministrativa);</w:t>
      </w:r>
    </w:p>
    <w:p w:rsidR="004500B9" w:rsidRPr="00072617" w:rsidRDefault="004500B9" w:rsidP="004500B9">
      <w:pPr>
        <w:keepNext/>
        <w:rPr>
          <w:rFonts w:ascii="Garamond" w:hAnsi="Garamond"/>
          <w:sz w:val="32"/>
          <w:szCs w:val="32"/>
        </w:rPr>
      </w:pPr>
      <w:r w:rsidRPr="00072617">
        <w:rPr>
          <w:rFonts w:ascii="Garamond" w:hAnsi="Garamond"/>
          <w:sz w:val="32"/>
          <w:szCs w:val="32"/>
        </w:rPr>
        <w:t>tutela giurisdizionale (accesso alla giustizia costituzionale piuttosto che a quella amministrativa);</w:t>
      </w:r>
    </w:p>
    <w:p w:rsidR="004500B9" w:rsidRPr="004500B9" w:rsidRDefault="004500B9" w:rsidP="004500B9">
      <w:pPr>
        <w:keepNext/>
        <w:rPr>
          <w:rFonts w:ascii="Garamond" w:hAnsi="Garamond"/>
          <w:sz w:val="32"/>
          <w:szCs w:val="32"/>
        </w:rPr>
      </w:pPr>
      <w:r w:rsidRPr="00072617">
        <w:rPr>
          <w:rFonts w:ascii="Garamond" w:hAnsi="Garamond"/>
          <w:sz w:val="32"/>
          <w:szCs w:val="32"/>
        </w:rPr>
        <w:t xml:space="preserve">incidenza su eventuali procedimenti </w:t>
      </w:r>
      <w:r w:rsidRPr="00072617">
        <w:rPr>
          <w:rFonts w:ascii="Garamond" w:hAnsi="Garamond"/>
          <w:i/>
          <w:iCs/>
          <w:sz w:val="32"/>
          <w:szCs w:val="32"/>
        </w:rPr>
        <w:t>sub iudice</w:t>
      </w:r>
      <w:r w:rsidRPr="00072617">
        <w:rPr>
          <w:rFonts w:ascii="Garamond" w:hAnsi="Garamond"/>
          <w:sz w:val="32"/>
          <w:szCs w:val="32"/>
        </w:rPr>
        <w:t xml:space="preserve"> (al riguardo si rammenta, da un lato, che “La giurisprudenza costituzionale ravvisa una violazione del ’principio della parità delle parti’, di cui all'articolo 111 Cost., quando il legislatore statale immette nell'ordinamento una fattispecie di </w:t>
      </w:r>
      <w:r w:rsidRPr="00072617">
        <w:rPr>
          <w:rFonts w:ascii="Garamond" w:hAnsi="Garamond"/>
          <w:i/>
          <w:iCs/>
          <w:sz w:val="32"/>
          <w:szCs w:val="32"/>
        </w:rPr>
        <w:t>ius singulare</w:t>
      </w:r>
      <w:r w:rsidRPr="00072617">
        <w:rPr>
          <w:rFonts w:ascii="Garamond" w:hAnsi="Garamond"/>
          <w:sz w:val="32"/>
          <w:szCs w:val="32"/>
        </w:rPr>
        <w:t xml:space="preserve"> che determina lo sbilanciamento fra le due posizioni in gioco (da ultimo, </w:t>
      </w:r>
      <w:r w:rsidRPr="00072617">
        <w:rPr>
          <w:rFonts w:ascii="Garamond" w:hAnsi="Garamond"/>
          <w:i/>
          <w:iCs/>
          <w:sz w:val="32"/>
          <w:szCs w:val="32"/>
        </w:rPr>
        <w:t>ex plurimis</w:t>
      </w:r>
      <w:r w:rsidRPr="00072617">
        <w:rPr>
          <w:rFonts w:ascii="Garamond" w:hAnsi="Garamond"/>
          <w:sz w:val="32"/>
          <w:szCs w:val="32"/>
        </w:rPr>
        <w:t>, sentenza n. 186 del 2013)” (sent. n.191 del 2014) e, dall'altro, che in un caso simile, sempre relativo all'emergenza</w:t>
      </w:r>
      <w:r w:rsidRPr="004500B9">
        <w:rPr>
          <w:rFonts w:ascii="Garamond" w:hAnsi="Garamond"/>
          <w:sz w:val="32"/>
          <w:szCs w:val="32"/>
        </w:rPr>
        <w:t xml:space="preserve"> dell'Ilva, gli articoli 1 e 3 del decreto-legge n. 207 del 2012 sono passati indenni al vaglio di costituzionalità” proprio in quanto </w:t>
      </w:r>
      <w:r w:rsidRPr="004500B9">
        <w:rPr>
          <w:rFonts w:ascii="Garamond" w:hAnsi="Garamond"/>
          <w:sz w:val="32"/>
          <w:szCs w:val="32"/>
        </w:rPr>
        <w:lastRenderedPageBreak/>
        <w:t>nella fattispecie non sussisteva alcuna lesione della riserva di giurisdizione (sent. n. 85 del 2013);</w:t>
      </w:r>
    </w:p>
    <w:p w:rsidR="004500B9" w:rsidRDefault="004500B9" w:rsidP="004500B9">
      <w:pPr>
        <w:keepNext/>
        <w:rPr>
          <w:rFonts w:ascii="Garamond" w:hAnsi="Garamond"/>
          <w:sz w:val="32"/>
          <w:szCs w:val="32"/>
        </w:rPr>
      </w:pPr>
      <w:r w:rsidRPr="004500B9">
        <w:rPr>
          <w:rFonts w:ascii="Garamond" w:hAnsi="Garamond"/>
          <w:i/>
          <w:iCs/>
          <w:sz w:val="32"/>
          <w:szCs w:val="32"/>
        </w:rPr>
        <w:t>b)</w:t>
      </w:r>
      <w:r w:rsidRPr="004500B9">
        <w:rPr>
          <w:rFonts w:ascii="Garamond" w:hAnsi="Garamond"/>
          <w:sz w:val="32"/>
          <w:szCs w:val="32"/>
        </w:rPr>
        <w:t xml:space="preserve"> nel caso in esame, le proposte di cui all'articolo 4, proprio in quanto approvate in via legislativa e richiamate dall'atto stesso, dovrebbero essere oggetto di pubblicazione ufficiale per consentirne un idoneo regime di pubblicità e di conoscibilità legale: al riguardo, esse potrebbero essere allegate al decreto-legge, pubblicate nella </w:t>
      </w:r>
      <w:r w:rsidRPr="004500B9">
        <w:rPr>
          <w:rFonts w:ascii="Garamond" w:hAnsi="Garamond"/>
          <w:i/>
          <w:iCs/>
          <w:sz w:val="32"/>
          <w:szCs w:val="32"/>
        </w:rPr>
        <w:t>Gazzetta Ufficiale</w:t>
      </w:r>
      <w:r w:rsidRPr="004500B9">
        <w:rPr>
          <w:rFonts w:ascii="Garamond" w:hAnsi="Garamond"/>
          <w:sz w:val="32"/>
          <w:szCs w:val="32"/>
        </w:rPr>
        <w:t xml:space="preserve"> oppure anche pubblicate in un sito internet istituzionale dandone però avviso nella Gazzetta ufficiale. Il Comitato ha affrontato una questione simile nel parere sul decreto-legge n. 78 del 2013, il quale “richiamava” un decreto del Presidente della Repubblica, peraltro mai pubblicato con le forme previste per gli atti normativi: in tale circostanza, anche in accoglimento della condizione formulata dal Comitato, l'Assemblea della Camera deliberò di allegare al decreto-legge il testo del decreto del Presidente della Repubblica di cui, in quel caso, si operava la “legificazione</w:t>
      </w:r>
      <w:r w:rsidRPr="00504BA4">
        <w:rPr>
          <w:rFonts w:ascii="Garamond" w:hAnsi="Garamond"/>
          <w:sz w:val="32"/>
          <w:szCs w:val="32"/>
        </w:rPr>
        <w:t>”» (</w:t>
      </w:r>
      <w:hyperlink w:anchor="S03a07" w:history="1">
        <w:r w:rsidRPr="00504BA4">
          <w:rPr>
            <w:rStyle w:val="Collegamentoipertestuale"/>
            <w:rFonts w:ascii="Garamond" w:hAnsi="Garamond"/>
            <w:sz w:val="32"/>
            <w:szCs w:val="32"/>
          </w:rPr>
          <w:t>Scheda 3, punto 7</w:t>
        </w:r>
      </w:hyperlink>
      <w:r w:rsidRPr="00504BA4">
        <w:rPr>
          <w:rFonts w:ascii="Garamond" w:hAnsi="Garamond"/>
          <w:sz w:val="32"/>
          <w:szCs w:val="32"/>
        </w:rPr>
        <w:t>).</w:t>
      </w:r>
      <w:r w:rsidRPr="004500B9">
        <w:rPr>
          <w:rFonts w:ascii="Garamond" w:hAnsi="Garamond"/>
          <w:sz w:val="32"/>
          <w:szCs w:val="32"/>
        </w:rPr>
        <w:t xml:space="preserve"> Anche la condizione che ne consegue è</w:t>
      </w:r>
      <w:r>
        <w:rPr>
          <w:rFonts w:ascii="Garamond" w:hAnsi="Garamond"/>
          <w:sz w:val="32"/>
          <w:szCs w:val="32"/>
        </w:rPr>
        <w:t xml:space="preserve"> particolarmente elaborata:</w:t>
      </w:r>
    </w:p>
    <w:p w:rsidR="004500B9" w:rsidRDefault="004500B9" w:rsidP="004500B9">
      <w:pPr>
        <w:keepNext/>
        <w:rPr>
          <w:rFonts w:ascii="Garamond" w:hAnsi="Garamond"/>
          <w:sz w:val="32"/>
          <w:szCs w:val="32"/>
        </w:rPr>
      </w:pPr>
      <w:bookmarkStart w:id="116" w:name="S03c01"/>
      <w:r>
        <w:rPr>
          <w:rFonts w:ascii="Garamond" w:hAnsi="Garamond"/>
          <w:sz w:val="32"/>
          <w:szCs w:val="32"/>
        </w:rPr>
        <w:t>«</w:t>
      </w:r>
      <w:r w:rsidRPr="004500B9">
        <w:rPr>
          <w:rFonts w:ascii="Garamond" w:hAnsi="Garamond"/>
          <w:sz w:val="32"/>
          <w:szCs w:val="32"/>
        </w:rPr>
        <w:t xml:space="preserve">con riferimento </w:t>
      </w:r>
      <w:bookmarkEnd w:id="116"/>
      <w:r w:rsidRPr="004500B9">
        <w:rPr>
          <w:rFonts w:ascii="Garamond" w:hAnsi="Garamond"/>
          <w:sz w:val="32"/>
          <w:szCs w:val="32"/>
        </w:rPr>
        <w:t xml:space="preserve">ai piani e alle misure richiamati ed approvati </w:t>
      </w:r>
      <w:r w:rsidRPr="004500B9">
        <w:rPr>
          <w:rFonts w:ascii="Garamond" w:hAnsi="Garamond"/>
          <w:i/>
          <w:iCs/>
          <w:sz w:val="32"/>
          <w:szCs w:val="32"/>
        </w:rPr>
        <w:t>ope legis</w:t>
      </w:r>
      <w:r w:rsidRPr="004500B9">
        <w:rPr>
          <w:rFonts w:ascii="Garamond" w:hAnsi="Garamond"/>
          <w:sz w:val="32"/>
          <w:szCs w:val="32"/>
        </w:rPr>
        <w:t xml:space="preserve"> dall'articolo 4, commi 1 e 2:</w:t>
      </w:r>
      <w:r w:rsidRPr="004500B9">
        <w:rPr>
          <w:rFonts w:ascii="Garamond" w:hAnsi="Garamond"/>
          <w:sz w:val="32"/>
          <w:szCs w:val="32"/>
        </w:rPr>
        <w:br/>
      </w:r>
      <w:r w:rsidRPr="004500B9">
        <w:rPr>
          <w:rFonts w:ascii="Garamond" w:hAnsi="Garamond"/>
          <w:i/>
          <w:iCs/>
          <w:sz w:val="32"/>
          <w:szCs w:val="32"/>
        </w:rPr>
        <w:t>a)</w:t>
      </w:r>
      <w:r w:rsidRPr="004500B9">
        <w:rPr>
          <w:rFonts w:ascii="Garamond" w:hAnsi="Garamond"/>
          <w:sz w:val="32"/>
          <w:szCs w:val="32"/>
        </w:rPr>
        <w:t xml:space="preserve"> si valuti se sia effettivamente necessario e congruo l'impiego della fonte legislativa in sostituzione di provvedimenti amministrativi, caratterizzati da significative differenze in materia di: formazione dell'atto, tutela giurisdizionale, incidenza su eventuali procedimenti </w:t>
      </w:r>
      <w:r w:rsidRPr="004500B9">
        <w:rPr>
          <w:rFonts w:ascii="Garamond" w:hAnsi="Garamond"/>
          <w:i/>
          <w:iCs/>
          <w:sz w:val="32"/>
          <w:szCs w:val="32"/>
        </w:rPr>
        <w:t>sub iudice</w:t>
      </w:r>
      <w:r w:rsidRPr="004500B9">
        <w:rPr>
          <w:rFonts w:ascii="Garamond" w:hAnsi="Garamond"/>
          <w:sz w:val="32"/>
          <w:szCs w:val="32"/>
        </w:rPr>
        <w:t>;</w:t>
      </w:r>
      <w:r w:rsidRPr="004500B9">
        <w:rPr>
          <w:rFonts w:ascii="Garamond" w:hAnsi="Garamond"/>
          <w:sz w:val="32"/>
          <w:szCs w:val="32"/>
        </w:rPr>
        <w:br/>
      </w:r>
      <w:r w:rsidRPr="004500B9">
        <w:rPr>
          <w:rFonts w:ascii="Garamond" w:hAnsi="Garamond"/>
          <w:i/>
          <w:iCs/>
          <w:sz w:val="32"/>
          <w:szCs w:val="32"/>
        </w:rPr>
        <w:t>b)</w:t>
      </w:r>
      <w:r w:rsidRPr="004500B9">
        <w:rPr>
          <w:rFonts w:ascii="Garamond" w:hAnsi="Garamond"/>
          <w:sz w:val="32"/>
          <w:szCs w:val="32"/>
        </w:rPr>
        <w:t xml:space="preserve"> considerando che i predetti atti così approvati non corredano il provvedimento in esame, si individuino forme di pubblicazione ufficiale idonee a consentirne un adeguato regime di pubblicità e di conoscibilità legale, come la pubblicazione in allegato al decreto-legge (analogamente a quanto avvenuto con il decreto del Presidente della Repubblica richiamato dal decreto-legge n. 78 del 2013), la pubblicazione nella Gazzetta ufficiale oppure la pubblicazione in un sito internet istituzionale </w:t>
      </w:r>
      <w:r w:rsidRPr="004500B9">
        <w:rPr>
          <w:rFonts w:ascii="Garamond" w:hAnsi="Garamond"/>
          <w:sz w:val="32"/>
          <w:szCs w:val="32"/>
        </w:rPr>
        <w:lastRenderedPageBreak/>
        <w:t xml:space="preserve">dandone comunque avviso nella </w:t>
      </w:r>
      <w:r w:rsidRPr="004500B9">
        <w:rPr>
          <w:rFonts w:ascii="Garamond" w:hAnsi="Garamond"/>
          <w:i/>
          <w:iCs/>
          <w:sz w:val="32"/>
          <w:szCs w:val="32"/>
        </w:rPr>
        <w:t>Gazzetta Ufficiale</w:t>
      </w:r>
      <w:r>
        <w:rPr>
          <w:rFonts w:ascii="Garamond" w:hAnsi="Garamond"/>
          <w:sz w:val="32"/>
          <w:szCs w:val="32"/>
        </w:rPr>
        <w:t>»</w:t>
      </w:r>
      <w:r w:rsidR="00072617">
        <w:rPr>
          <w:rFonts w:ascii="Garamond" w:hAnsi="Garamond"/>
          <w:sz w:val="32"/>
          <w:szCs w:val="32"/>
        </w:rPr>
        <w:t xml:space="preserve"> </w:t>
      </w:r>
      <w:r w:rsidR="00072617" w:rsidRPr="00504BA4">
        <w:rPr>
          <w:rFonts w:ascii="Garamond" w:hAnsi="Garamond"/>
          <w:sz w:val="32"/>
          <w:szCs w:val="32"/>
        </w:rPr>
        <w:t>(</w:t>
      </w:r>
      <w:hyperlink w:anchor="S03c01" w:history="1">
        <w:r w:rsidR="00072617" w:rsidRPr="00504BA4">
          <w:rPr>
            <w:rStyle w:val="Collegamentoipertestuale"/>
            <w:rFonts w:ascii="Garamond" w:hAnsi="Garamond"/>
            <w:sz w:val="32"/>
            <w:szCs w:val="32"/>
          </w:rPr>
          <w:t>Scheda 3, condizione 1</w:t>
        </w:r>
      </w:hyperlink>
      <w:r w:rsidR="00072617" w:rsidRPr="00504BA4">
        <w:rPr>
          <w:rFonts w:ascii="Garamond" w:hAnsi="Garamond"/>
          <w:sz w:val="32"/>
          <w:szCs w:val="32"/>
        </w:rPr>
        <w:t>)</w:t>
      </w:r>
      <w:r w:rsidRPr="00504BA4">
        <w:rPr>
          <w:rFonts w:ascii="Garamond" w:hAnsi="Garamond"/>
          <w:sz w:val="32"/>
          <w:szCs w:val="32"/>
        </w:rPr>
        <w:t>.</w:t>
      </w:r>
      <w:r>
        <w:rPr>
          <w:rFonts w:ascii="Garamond" w:hAnsi="Garamond"/>
          <w:sz w:val="32"/>
          <w:szCs w:val="32"/>
        </w:rPr>
        <w:t xml:space="preserve"> </w:t>
      </w:r>
    </w:p>
    <w:p w:rsidR="004713E0" w:rsidRDefault="004713E0" w:rsidP="004713E0">
      <w:pPr>
        <w:rPr>
          <w:rFonts w:ascii="Garamond" w:hAnsi="Garamond"/>
          <w:sz w:val="32"/>
          <w:szCs w:val="32"/>
        </w:rPr>
      </w:pPr>
    </w:p>
    <w:p w:rsidR="00EA442B" w:rsidRDefault="00286E9B" w:rsidP="006D2914">
      <w:pPr>
        <w:spacing w:line="240" w:lineRule="auto"/>
        <w:ind w:firstLine="0"/>
        <w:rPr>
          <w:rFonts w:ascii="Garamond" w:hAnsi="Garamond"/>
          <w:b/>
          <w:i/>
          <w:color w:val="0000FF"/>
          <w:sz w:val="28"/>
          <w:szCs w:val="28"/>
        </w:rPr>
      </w:pPr>
      <w:r w:rsidRPr="00286E9B">
        <w:rPr>
          <w:rFonts w:ascii="Garamond" w:hAnsi="Garamond"/>
          <w:b/>
          <w:i/>
          <w:color w:val="0000FF"/>
          <w:sz w:val="28"/>
          <w:szCs w:val="28"/>
        </w:rPr>
        <w:t>4.10.1. Il parere sul disegno di legge di riforma costituzionale</w:t>
      </w:r>
    </w:p>
    <w:p w:rsidR="00EA442B" w:rsidRDefault="00EA442B" w:rsidP="00EA442B">
      <w:pPr>
        <w:spacing w:line="240" w:lineRule="auto"/>
        <w:rPr>
          <w:rFonts w:ascii="Garamond" w:hAnsi="Garamond"/>
          <w:sz w:val="32"/>
          <w:szCs w:val="32"/>
        </w:rPr>
      </w:pPr>
      <w:r>
        <w:rPr>
          <w:rFonts w:ascii="Garamond" w:hAnsi="Garamond"/>
          <w:sz w:val="32"/>
          <w:szCs w:val="32"/>
        </w:rPr>
        <w:t>Il 4 novembre 2015 il Comitato ha espresso il parere sul disegno di legge n. 2613-B, recante d</w:t>
      </w:r>
      <w:r w:rsidRPr="00EA442B">
        <w:rPr>
          <w:rFonts w:ascii="Garamond" w:hAnsi="Garamond"/>
          <w:sz w:val="32"/>
          <w:szCs w:val="32"/>
        </w:rPr>
        <w:t>isposizioni per il superamento del bicameralismo paritario, la riduzione del numero dei parlamentari, il contenimento dei costi di funzionamento delle istituzioni, la soppressione del CNEL e la revisione del titolo V della parte II della Costituzione</w:t>
      </w:r>
      <w:r>
        <w:rPr>
          <w:rFonts w:ascii="Garamond" w:hAnsi="Garamond"/>
          <w:sz w:val="32"/>
          <w:szCs w:val="32"/>
        </w:rPr>
        <w:t>.</w:t>
      </w:r>
    </w:p>
    <w:p w:rsidR="00EA442B" w:rsidRDefault="00EA442B" w:rsidP="00EA442B">
      <w:pPr>
        <w:spacing w:line="240" w:lineRule="auto"/>
        <w:rPr>
          <w:rFonts w:ascii="Garamond" w:hAnsi="Garamond"/>
          <w:sz w:val="32"/>
          <w:szCs w:val="32"/>
        </w:rPr>
      </w:pPr>
      <w:r>
        <w:rPr>
          <w:rFonts w:ascii="Garamond" w:hAnsi="Garamond"/>
          <w:sz w:val="32"/>
          <w:szCs w:val="32"/>
        </w:rPr>
        <w:t>Il parere, privo di rilievi, si articola in quattro capoversi:</w:t>
      </w:r>
    </w:p>
    <w:p w:rsidR="00423088" w:rsidRDefault="00EA442B" w:rsidP="00EA442B">
      <w:pPr>
        <w:spacing w:line="240" w:lineRule="auto"/>
        <w:rPr>
          <w:rFonts w:ascii="Garamond" w:hAnsi="Garamond"/>
          <w:sz w:val="32"/>
          <w:szCs w:val="32"/>
        </w:rPr>
      </w:pPr>
      <w:r>
        <w:rPr>
          <w:rFonts w:ascii="Garamond" w:hAnsi="Garamond"/>
          <w:sz w:val="32"/>
          <w:szCs w:val="32"/>
        </w:rPr>
        <w:t xml:space="preserve">il primo e il secondo affrontano due questioni di coordinamento interno al testo: la prima </w:t>
      </w:r>
      <w:r w:rsidR="00423088">
        <w:rPr>
          <w:rFonts w:ascii="Garamond" w:hAnsi="Garamond"/>
          <w:sz w:val="32"/>
          <w:szCs w:val="32"/>
        </w:rPr>
        <w:t>concerne</w:t>
      </w:r>
      <w:r>
        <w:rPr>
          <w:rFonts w:ascii="Garamond" w:hAnsi="Garamond"/>
          <w:sz w:val="32"/>
          <w:szCs w:val="32"/>
        </w:rPr>
        <w:t xml:space="preserve"> il quinto comma del nuovo articolo 55 della Costituzione</w:t>
      </w:r>
      <w:r w:rsidR="00423088">
        <w:rPr>
          <w:rFonts w:ascii="Garamond" w:hAnsi="Garamond"/>
          <w:sz w:val="32"/>
          <w:szCs w:val="32"/>
        </w:rPr>
        <w:t>, relativamente alle funzio</w:t>
      </w:r>
      <w:r>
        <w:rPr>
          <w:rFonts w:ascii="Garamond" w:hAnsi="Garamond"/>
          <w:sz w:val="32"/>
          <w:szCs w:val="32"/>
        </w:rPr>
        <w:t>ni del Senato</w:t>
      </w:r>
      <w:r w:rsidR="00430F45">
        <w:rPr>
          <w:rFonts w:ascii="Garamond" w:hAnsi="Garamond"/>
          <w:sz w:val="32"/>
          <w:szCs w:val="32"/>
        </w:rPr>
        <w:t>,</w:t>
      </w:r>
      <w:r>
        <w:rPr>
          <w:rFonts w:ascii="Garamond" w:hAnsi="Garamond"/>
          <w:sz w:val="32"/>
          <w:szCs w:val="32"/>
        </w:rPr>
        <w:t xml:space="preserve"> e viene risolta</w:t>
      </w:r>
      <w:r w:rsidR="00423088">
        <w:rPr>
          <w:rFonts w:ascii="Garamond" w:hAnsi="Garamond"/>
          <w:sz w:val="32"/>
          <w:szCs w:val="32"/>
        </w:rPr>
        <w:t xml:space="preserve"> richiamando </w:t>
      </w:r>
      <w:r w:rsidR="00430F45">
        <w:rPr>
          <w:rFonts w:ascii="Garamond" w:hAnsi="Garamond"/>
          <w:sz w:val="32"/>
          <w:szCs w:val="32"/>
        </w:rPr>
        <w:t xml:space="preserve">i lavori preparatori e </w:t>
      </w:r>
      <w:r w:rsidR="00423088">
        <w:rPr>
          <w:rFonts w:ascii="Garamond" w:hAnsi="Garamond"/>
          <w:sz w:val="32"/>
          <w:szCs w:val="32"/>
        </w:rPr>
        <w:t xml:space="preserve">una interpretazione sistematica delle disposizioni apparentemente in </w:t>
      </w:r>
      <w:r w:rsidR="00423088" w:rsidRPr="0079184F">
        <w:rPr>
          <w:rFonts w:ascii="Garamond" w:hAnsi="Garamond"/>
          <w:sz w:val="32"/>
          <w:szCs w:val="32"/>
        </w:rPr>
        <w:t>conflitto (</w:t>
      </w:r>
      <w:hyperlink w:anchor="S25a01" w:history="1">
        <w:r w:rsidR="00423088" w:rsidRPr="0079184F">
          <w:rPr>
            <w:rStyle w:val="Collegamentoipertestuale"/>
            <w:rFonts w:ascii="Garamond" w:hAnsi="Garamond"/>
            <w:sz w:val="32"/>
            <w:szCs w:val="32"/>
          </w:rPr>
          <w:t>Scheda 25, punto 1</w:t>
        </w:r>
      </w:hyperlink>
      <w:r w:rsidR="00423088" w:rsidRPr="0079184F">
        <w:rPr>
          <w:rFonts w:ascii="Garamond" w:hAnsi="Garamond"/>
          <w:sz w:val="32"/>
          <w:szCs w:val="32"/>
        </w:rPr>
        <w:t>); con</w:t>
      </w:r>
      <w:r w:rsidR="00423088">
        <w:rPr>
          <w:rFonts w:ascii="Garamond" w:hAnsi="Garamond"/>
          <w:sz w:val="32"/>
          <w:szCs w:val="32"/>
        </w:rPr>
        <w:t xml:space="preserve"> riguardo al termine entro il quale approvare la legge volta a disciplinare le modalità di attribuzione dei seggi e di elezione dei membri del Senato, il Comitato annota una sovrapposizione tra il comma 6, già oggetto di doppia deliberazione in prima lettura, e il comma 11, terzo periodo dell’articolo </w:t>
      </w:r>
      <w:r w:rsidR="00423088" w:rsidRPr="0079184F">
        <w:rPr>
          <w:rFonts w:ascii="Garamond" w:hAnsi="Garamond"/>
          <w:sz w:val="32"/>
          <w:szCs w:val="32"/>
        </w:rPr>
        <w:t>39</w:t>
      </w:r>
      <w:r w:rsidR="009D31BA" w:rsidRPr="0079184F">
        <w:rPr>
          <w:rFonts w:ascii="Garamond" w:hAnsi="Garamond"/>
          <w:sz w:val="32"/>
          <w:szCs w:val="32"/>
        </w:rPr>
        <w:t xml:space="preserve"> (</w:t>
      </w:r>
      <w:hyperlink w:anchor="S25a02" w:history="1">
        <w:r w:rsidR="009D31BA" w:rsidRPr="0079184F">
          <w:rPr>
            <w:rStyle w:val="Collegamentoipertestuale"/>
            <w:rFonts w:ascii="Garamond" w:hAnsi="Garamond"/>
            <w:sz w:val="32"/>
            <w:szCs w:val="32"/>
          </w:rPr>
          <w:t>Scheda 25, punto 2</w:t>
        </w:r>
      </w:hyperlink>
      <w:r w:rsidR="009D31BA" w:rsidRPr="0079184F">
        <w:rPr>
          <w:rFonts w:ascii="Garamond" w:hAnsi="Garamond"/>
          <w:sz w:val="32"/>
          <w:szCs w:val="32"/>
        </w:rPr>
        <w:t>)</w:t>
      </w:r>
      <w:r w:rsidR="00423088" w:rsidRPr="0079184F">
        <w:rPr>
          <w:rFonts w:ascii="Garamond" w:hAnsi="Garamond"/>
          <w:sz w:val="32"/>
          <w:szCs w:val="32"/>
        </w:rPr>
        <w:t>;</w:t>
      </w:r>
    </w:p>
    <w:p w:rsidR="00423088" w:rsidRDefault="00423088" w:rsidP="00EA442B">
      <w:pPr>
        <w:spacing w:line="240" w:lineRule="auto"/>
        <w:rPr>
          <w:rFonts w:ascii="Garamond" w:hAnsi="Garamond"/>
          <w:sz w:val="32"/>
          <w:szCs w:val="32"/>
        </w:rPr>
      </w:pPr>
      <w:r>
        <w:rPr>
          <w:rFonts w:ascii="Garamond" w:hAnsi="Garamond"/>
          <w:sz w:val="32"/>
          <w:szCs w:val="32"/>
        </w:rPr>
        <w:t xml:space="preserve">il terzo capoverso segnala </w:t>
      </w:r>
      <w:r w:rsidR="00EA442B">
        <w:rPr>
          <w:rFonts w:ascii="Garamond" w:hAnsi="Garamond"/>
          <w:sz w:val="32"/>
          <w:szCs w:val="32"/>
        </w:rPr>
        <w:t>l’</w:t>
      </w:r>
      <w:r>
        <w:rPr>
          <w:rFonts w:ascii="Garamond" w:hAnsi="Garamond"/>
          <w:sz w:val="32"/>
          <w:szCs w:val="32"/>
        </w:rPr>
        <w:t>ult</w:t>
      </w:r>
      <w:r w:rsidR="00EA442B">
        <w:rPr>
          <w:rFonts w:ascii="Garamond" w:hAnsi="Garamond"/>
          <w:sz w:val="32"/>
          <w:szCs w:val="32"/>
        </w:rPr>
        <w:t xml:space="preserve">rattività del vigente testo dell’articolo 116 della Costituzione, con riferimento alle sole regioni a statuto speciale e alle province </w:t>
      </w:r>
      <w:r w:rsidR="00EA442B" w:rsidRPr="0079184F">
        <w:rPr>
          <w:rFonts w:ascii="Garamond" w:hAnsi="Garamond"/>
          <w:sz w:val="32"/>
          <w:szCs w:val="32"/>
        </w:rPr>
        <w:t>autonome</w:t>
      </w:r>
      <w:r w:rsidR="009D31BA" w:rsidRPr="0079184F">
        <w:rPr>
          <w:rFonts w:ascii="Garamond" w:hAnsi="Garamond"/>
          <w:sz w:val="32"/>
          <w:szCs w:val="32"/>
        </w:rPr>
        <w:t xml:space="preserve"> (</w:t>
      </w:r>
      <w:hyperlink w:anchor="S25a03" w:history="1">
        <w:r w:rsidR="009D31BA" w:rsidRPr="0079184F">
          <w:rPr>
            <w:rStyle w:val="Collegamentoipertestuale"/>
            <w:rFonts w:ascii="Garamond" w:hAnsi="Garamond"/>
            <w:sz w:val="32"/>
            <w:szCs w:val="32"/>
          </w:rPr>
          <w:t>Scheda 25, punto 3</w:t>
        </w:r>
      </w:hyperlink>
      <w:r w:rsidR="009D31BA" w:rsidRPr="0079184F">
        <w:rPr>
          <w:rFonts w:ascii="Garamond" w:hAnsi="Garamond"/>
          <w:sz w:val="32"/>
          <w:szCs w:val="32"/>
        </w:rPr>
        <w:t>)</w:t>
      </w:r>
      <w:r w:rsidRPr="0079184F">
        <w:rPr>
          <w:rFonts w:ascii="Garamond" w:hAnsi="Garamond"/>
          <w:sz w:val="32"/>
          <w:szCs w:val="32"/>
        </w:rPr>
        <w:t>;</w:t>
      </w:r>
    </w:p>
    <w:p w:rsidR="004713E0" w:rsidRPr="00EA442B" w:rsidRDefault="00423088" w:rsidP="00EA442B">
      <w:pPr>
        <w:spacing w:line="240" w:lineRule="auto"/>
        <w:rPr>
          <w:rFonts w:ascii="Garamond" w:hAnsi="Garamond"/>
          <w:b/>
          <w:i/>
          <w:color w:val="0000FF"/>
          <w:sz w:val="28"/>
          <w:szCs w:val="28"/>
        </w:rPr>
      </w:pPr>
      <w:r>
        <w:rPr>
          <w:rFonts w:ascii="Garamond" w:hAnsi="Garamond"/>
          <w:sz w:val="32"/>
          <w:szCs w:val="32"/>
        </w:rPr>
        <w:t>il quarto capoverso rileva che il nuovo articolo 55, quinto comma, penultimo periodo, si riferisce «genericamente ed in senso a-tecnico» all’impatto delle politiche dell’Unione europea “sui territori”, annotando che «la medesima dizione è già contenuta, nella medesima accezione, nel testo vigente dell’articolo 119, terzo comma, della Costituzione»</w:t>
      </w:r>
      <w:r w:rsidR="009D31BA">
        <w:rPr>
          <w:rFonts w:ascii="Garamond" w:hAnsi="Garamond"/>
          <w:sz w:val="32"/>
          <w:szCs w:val="32"/>
        </w:rPr>
        <w:t xml:space="preserve"> </w:t>
      </w:r>
      <w:r w:rsidR="009D31BA" w:rsidRPr="0079184F">
        <w:rPr>
          <w:rFonts w:ascii="Garamond" w:hAnsi="Garamond"/>
          <w:sz w:val="32"/>
          <w:szCs w:val="32"/>
        </w:rPr>
        <w:t>(</w:t>
      </w:r>
      <w:hyperlink w:anchor="S25a04" w:history="1">
        <w:r w:rsidR="009D31BA" w:rsidRPr="0079184F">
          <w:rPr>
            <w:rStyle w:val="Collegamentoipertestuale"/>
            <w:rFonts w:ascii="Garamond" w:hAnsi="Garamond"/>
            <w:sz w:val="32"/>
            <w:szCs w:val="32"/>
          </w:rPr>
          <w:t>Scheda 25, punto 4</w:t>
        </w:r>
      </w:hyperlink>
      <w:r w:rsidR="009D31BA" w:rsidRPr="0079184F">
        <w:rPr>
          <w:rFonts w:ascii="Garamond" w:hAnsi="Garamond"/>
          <w:sz w:val="32"/>
          <w:szCs w:val="32"/>
        </w:rPr>
        <w:t>)</w:t>
      </w:r>
      <w:r w:rsidRPr="0079184F">
        <w:rPr>
          <w:rFonts w:ascii="Garamond" w:hAnsi="Garamond"/>
          <w:sz w:val="32"/>
          <w:szCs w:val="32"/>
        </w:rPr>
        <w:t>.</w:t>
      </w:r>
      <w:r w:rsidR="00054A2C">
        <w:rPr>
          <w:rFonts w:ascii="Garamond" w:hAnsi="Garamond"/>
          <w:sz w:val="32"/>
          <w:szCs w:val="32"/>
        </w:rPr>
        <w:br w:type="page"/>
      </w:r>
    </w:p>
    <w:p w:rsidR="004713E0" w:rsidRPr="00CE70EE" w:rsidRDefault="004713E0" w:rsidP="00E63DBD">
      <w:pPr>
        <w:pStyle w:val="Titolo2"/>
        <w:spacing w:before="120"/>
        <w:rPr>
          <w:rFonts w:ascii="Garamond" w:hAnsi="Garamond"/>
          <w:i/>
          <w:color w:val="0000FF"/>
          <w:sz w:val="40"/>
          <w:szCs w:val="40"/>
        </w:rPr>
      </w:pPr>
      <w:bookmarkStart w:id="117" w:name="_4.11._La_giurisprudenza"/>
      <w:bookmarkStart w:id="118" w:name="_Toc342035935"/>
      <w:bookmarkStart w:id="119" w:name="_Toc384976872"/>
      <w:bookmarkStart w:id="120" w:name="_Toc439082250"/>
      <w:bookmarkStart w:id="121" w:name="_Toc439953666"/>
      <w:bookmarkStart w:id="122" w:name="_Toc440030380"/>
      <w:bookmarkEnd w:id="117"/>
      <w:r w:rsidRPr="00CE70EE">
        <w:rPr>
          <w:rFonts w:ascii="Garamond" w:hAnsi="Garamond"/>
          <w:i/>
          <w:color w:val="0000FF"/>
          <w:sz w:val="40"/>
          <w:szCs w:val="40"/>
        </w:rPr>
        <w:lastRenderedPageBreak/>
        <w:t>4.1</w:t>
      </w:r>
      <w:r w:rsidR="007D4AAE">
        <w:rPr>
          <w:rFonts w:ascii="Garamond" w:hAnsi="Garamond"/>
          <w:i/>
          <w:color w:val="0000FF"/>
          <w:sz w:val="40"/>
          <w:szCs w:val="40"/>
        </w:rPr>
        <w:t>1</w:t>
      </w:r>
      <w:r w:rsidRPr="00CE70EE">
        <w:rPr>
          <w:rFonts w:ascii="Garamond" w:hAnsi="Garamond"/>
          <w:i/>
          <w:color w:val="0000FF"/>
          <w:sz w:val="40"/>
          <w:szCs w:val="40"/>
        </w:rPr>
        <w:t>. La giurisprudenza della Corte costituzionale</w:t>
      </w:r>
      <w:bookmarkEnd w:id="118"/>
      <w:bookmarkEnd w:id="119"/>
      <w:bookmarkEnd w:id="120"/>
      <w:bookmarkEnd w:id="121"/>
      <w:bookmarkEnd w:id="122"/>
    </w:p>
    <w:p w:rsidR="00D61396" w:rsidRDefault="00606326" w:rsidP="00D61396">
      <w:pPr>
        <w:ind w:firstLine="180"/>
        <w:rPr>
          <w:rFonts w:ascii="Garamond" w:hAnsi="Garamond"/>
          <w:sz w:val="32"/>
          <w:szCs w:val="32"/>
        </w:rPr>
      </w:pPr>
      <w:r>
        <w:rPr>
          <w:rFonts w:ascii="Garamond" w:hAnsi="Garamond"/>
          <w:sz w:val="32"/>
          <w:szCs w:val="32"/>
        </w:rPr>
        <w:t>Ne</w:t>
      </w:r>
      <w:r w:rsidR="004713E0" w:rsidRPr="009C2308">
        <w:rPr>
          <w:rFonts w:ascii="Garamond" w:hAnsi="Garamond"/>
          <w:sz w:val="32"/>
          <w:szCs w:val="32"/>
        </w:rPr>
        <w:t xml:space="preserve">l </w:t>
      </w:r>
      <w:r>
        <w:rPr>
          <w:rFonts w:ascii="Garamond" w:hAnsi="Garamond"/>
          <w:sz w:val="32"/>
          <w:szCs w:val="32"/>
        </w:rPr>
        <w:t>terz</w:t>
      </w:r>
      <w:r w:rsidR="004713E0" w:rsidRPr="009C2308">
        <w:rPr>
          <w:rFonts w:ascii="Garamond" w:hAnsi="Garamond"/>
          <w:sz w:val="32"/>
          <w:szCs w:val="32"/>
        </w:rPr>
        <w:t>o turno di presidenza del Comitato</w:t>
      </w:r>
      <w:r>
        <w:rPr>
          <w:rFonts w:ascii="Garamond" w:hAnsi="Garamond"/>
          <w:sz w:val="32"/>
          <w:szCs w:val="32"/>
        </w:rPr>
        <w:t>, in tendenziale continuità con la linea emersa nei precedenti dieci mesi, sono stati abbastanza frequenti i richiami</w:t>
      </w:r>
      <w:r w:rsidR="00A34363">
        <w:rPr>
          <w:rFonts w:ascii="Garamond" w:hAnsi="Garamond"/>
          <w:sz w:val="32"/>
          <w:szCs w:val="32"/>
        </w:rPr>
        <w:t xml:space="preserve"> alla giurisprudenza della Corte costituzionale, </w:t>
      </w:r>
      <w:r>
        <w:rPr>
          <w:rFonts w:ascii="Garamond" w:hAnsi="Garamond"/>
          <w:sz w:val="32"/>
          <w:szCs w:val="32"/>
        </w:rPr>
        <w:t>che ricorrono</w:t>
      </w:r>
      <w:r w:rsidR="0093331E">
        <w:rPr>
          <w:rFonts w:ascii="Garamond" w:hAnsi="Garamond"/>
          <w:sz w:val="32"/>
          <w:szCs w:val="32"/>
        </w:rPr>
        <w:t xml:space="preserve"> in </w:t>
      </w:r>
      <w:r w:rsidRPr="00606326">
        <w:rPr>
          <w:rFonts w:ascii="Garamond" w:hAnsi="Garamond"/>
          <w:b/>
          <w:color w:val="0033CC"/>
          <w:sz w:val="32"/>
          <w:szCs w:val="32"/>
        </w:rPr>
        <w:t>7</w:t>
      </w:r>
      <w:r w:rsidR="0093331E">
        <w:rPr>
          <w:rFonts w:ascii="Garamond" w:hAnsi="Garamond"/>
          <w:sz w:val="32"/>
          <w:szCs w:val="32"/>
        </w:rPr>
        <w:t xml:space="preserve"> dei </w:t>
      </w:r>
      <w:r w:rsidRPr="00606326">
        <w:rPr>
          <w:rFonts w:ascii="Garamond" w:hAnsi="Garamond"/>
          <w:b/>
          <w:color w:val="0033CC"/>
          <w:sz w:val="32"/>
          <w:szCs w:val="32"/>
        </w:rPr>
        <w:t>27</w:t>
      </w:r>
      <w:r w:rsidR="0093331E">
        <w:rPr>
          <w:rFonts w:ascii="Garamond" w:hAnsi="Garamond"/>
          <w:sz w:val="32"/>
          <w:szCs w:val="32"/>
        </w:rPr>
        <w:t xml:space="preserve"> pareri: </w:t>
      </w:r>
      <w:r w:rsidR="00D61396" w:rsidRPr="000E5C94">
        <w:rPr>
          <w:rFonts w:ascii="Garamond" w:hAnsi="Garamond"/>
          <w:b/>
          <w:sz w:val="32"/>
          <w:szCs w:val="32"/>
        </w:rPr>
        <w:t>1</w:t>
      </w:r>
      <w:r w:rsidR="0093331E">
        <w:rPr>
          <w:rFonts w:ascii="Garamond" w:hAnsi="Garamond"/>
          <w:sz w:val="32"/>
          <w:szCs w:val="32"/>
        </w:rPr>
        <w:t xml:space="preserve"> richiama </w:t>
      </w:r>
      <w:r w:rsidR="00A34363">
        <w:rPr>
          <w:rFonts w:ascii="Garamond" w:hAnsi="Garamond"/>
          <w:sz w:val="32"/>
          <w:szCs w:val="32"/>
        </w:rPr>
        <w:t xml:space="preserve">sentenze </w:t>
      </w:r>
      <w:r w:rsidR="00A115E1">
        <w:rPr>
          <w:rFonts w:ascii="Garamond" w:hAnsi="Garamond"/>
          <w:sz w:val="32"/>
          <w:szCs w:val="32"/>
        </w:rPr>
        <w:t>comunque riconducibili al tema de</w:t>
      </w:r>
      <w:r w:rsidR="00A34363">
        <w:rPr>
          <w:rFonts w:ascii="Garamond" w:hAnsi="Garamond"/>
          <w:sz w:val="32"/>
          <w:szCs w:val="32"/>
        </w:rPr>
        <w:t>i limiti di contenuto della decretazione d’urgenza</w:t>
      </w:r>
      <w:r w:rsidR="0093331E">
        <w:rPr>
          <w:rFonts w:ascii="Garamond" w:hAnsi="Garamond"/>
          <w:sz w:val="32"/>
          <w:szCs w:val="32"/>
        </w:rPr>
        <w:t>;</w:t>
      </w:r>
      <w:r w:rsidR="00A115E1">
        <w:rPr>
          <w:rFonts w:ascii="Garamond" w:hAnsi="Garamond"/>
          <w:sz w:val="32"/>
          <w:szCs w:val="32"/>
        </w:rPr>
        <w:t xml:space="preserve"> </w:t>
      </w:r>
      <w:r w:rsidR="000E5C94" w:rsidRPr="000E5C94">
        <w:rPr>
          <w:rFonts w:ascii="Garamond" w:hAnsi="Garamond"/>
          <w:b/>
          <w:sz w:val="32"/>
          <w:szCs w:val="32"/>
        </w:rPr>
        <w:t>1</w:t>
      </w:r>
      <w:r w:rsidR="000E5C94">
        <w:rPr>
          <w:rFonts w:ascii="Garamond" w:hAnsi="Garamond"/>
          <w:sz w:val="32"/>
          <w:szCs w:val="32"/>
        </w:rPr>
        <w:t xml:space="preserve"> richiama la sentenza n. 70 del 2015, in materia di trattamenti pensionistici, a seguito della quale è stato emanato il decreto-legge n. 65 del 2015 (C. 3134 – pensioni, ammortizzatori sociali e TFR</w:t>
      </w:r>
      <w:r w:rsidR="006D2914">
        <w:rPr>
          <w:rFonts w:ascii="Garamond" w:hAnsi="Garamond"/>
          <w:sz w:val="32"/>
          <w:szCs w:val="32"/>
        </w:rPr>
        <w:t>)</w:t>
      </w:r>
      <w:r w:rsidR="000E5C94">
        <w:rPr>
          <w:rFonts w:ascii="Garamond" w:hAnsi="Garamond"/>
          <w:sz w:val="32"/>
          <w:szCs w:val="32"/>
        </w:rPr>
        <w:t xml:space="preserve">; </w:t>
      </w:r>
      <w:r w:rsidR="0093331E" w:rsidRPr="0093331E">
        <w:rPr>
          <w:rFonts w:ascii="Garamond" w:hAnsi="Garamond"/>
          <w:b/>
          <w:sz w:val="32"/>
          <w:szCs w:val="32"/>
        </w:rPr>
        <w:t>4</w:t>
      </w:r>
      <w:r w:rsidR="0093331E">
        <w:rPr>
          <w:rFonts w:ascii="Garamond" w:hAnsi="Garamond"/>
          <w:sz w:val="32"/>
          <w:szCs w:val="32"/>
        </w:rPr>
        <w:t xml:space="preserve"> richiamano sentenze</w:t>
      </w:r>
      <w:r w:rsidR="00A34363">
        <w:rPr>
          <w:rFonts w:ascii="Garamond" w:hAnsi="Garamond"/>
          <w:sz w:val="32"/>
          <w:szCs w:val="32"/>
        </w:rPr>
        <w:t xml:space="preserve"> </w:t>
      </w:r>
      <w:r w:rsidR="0093331E">
        <w:rPr>
          <w:rFonts w:ascii="Garamond" w:hAnsi="Garamond"/>
          <w:sz w:val="32"/>
          <w:szCs w:val="32"/>
        </w:rPr>
        <w:t>concernenti la formulazione di</w:t>
      </w:r>
      <w:r w:rsidR="00A34363">
        <w:rPr>
          <w:rFonts w:ascii="Garamond" w:hAnsi="Garamond"/>
          <w:sz w:val="32"/>
          <w:szCs w:val="32"/>
        </w:rPr>
        <w:t xml:space="preserve"> disposizioni di delega</w:t>
      </w:r>
      <w:r w:rsidR="0093331E">
        <w:rPr>
          <w:rFonts w:ascii="Garamond" w:hAnsi="Garamond"/>
          <w:sz w:val="32"/>
          <w:szCs w:val="32"/>
        </w:rPr>
        <w:t>zione legislativa</w:t>
      </w:r>
      <w:r w:rsidR="00D61396">
        <w:rPr>
          <w:rFonts w:ascii="Garamond" w:hAnsi="Garamond"/>
          <w:sz w:val="32"/>
          <w:szCs w:val="32"/>
        </w:rPr>
        <w:t>; 2 richiamano sentenze attinenti a specifici profili.</w:t>
      </w:r>
    </w:p>
    <w:p w:rsidR="000E5C94" w:rsidRDefault="000E5C94" w:rsidP="004713E0">
      <w:pPr>
        <w:ind w:firstLine="180"/>
        <w:rPr>
          <w:rFonts w:ascii="Garamond" w:hAnsi="Garamond"/>
          <w:sz w:val="32"/>
          <w:szCs w:val="32"/>
        </w:rPr>
      </w:pPr>
    </w:p>
    <w:p w:rsidR="00B96849" w:rsidRPr="00617A19" w:rsidRDefault="00B96849" w:rsidP="00617A19">
      <w:pPr>
        <w:pStyle w:val="Titolo2"/>
        <w:rPr>
          <w:rFonts w:ascii="Garamond" w:hAnsi="Garamond"/>
          <w:i/>
          <w:iCs/>
          <w:color w:val="0000FF"/>
          <w:sz w:val="28"/>
          <w:szCs w:val="28"/>
        </w:rPr>
      </w:pPr>
      <w:bookmarkStart w:id="123" w:name="_Toc439082251"/>
      <w:bookmarkStart w:id="124" w:name="_Toc439953667"/>
      <w:bookmarkStart w:id="125" w:name="_Toc440030381"/>
      <w:r w:rsidRPr="00617A19">
        <w:rPr>
          <w:rFonts w:ascii="Garamond" w:hAnsi="Garamond"/>
          <w:i/>
          <w:iCs/>
          <w:color w:val="0000FF"/>
          <w:sz w:val="28"/>
          <w:szCs w:val="28"/>
        </w:rPr>
        <w:t>4.11.1. Limiti di contenuto dei decreti-legge</w:t>
      </w:r>
      <w:bookmarkEnd w:id="123"/>
      <w:bookmarkEnd w:id="124"/>
      <w:bookmarkEnd w:id="125"/>
    </w:p>
    <w:p w:rsidR="0093331E" w:rsidRDefault="00B96849" w:rsidP="000E5C94">
      <w:pPr>
        <w:ind w:firstLine="180"/>
        <w:rPr>
          <w:rFonts w:ascii="Garamond" w:hAnsi="Garamond"/>
          <w:sz w:val="32"/>
          <w:szCs w:val="32"/>
        </w:rPr>
      </w:pPr>
      <w:r>
        <w:rPr>
          <w:rFonts w:ascii="Garamond" w:hAnsi="Garamond"/>
          <w:sz w:val="32"/>
          <w:szCs w:val="32"/>
        </w:rPr>
        <w:t>Le sentenze fondamentali in materia di omogeneità dei decr</w:t>
      </w:r>
      <w:r w:rsidR="00ED4C6B">
        <w:rPr>
          <w:rFonts w:ascii="Garamond" w:hAnsi="Garamond"/>
          <w:sz w:val="32"/>
          <w:szCs w:val="32"/>
        </w:rPr>
        <w:t>et</w:t>
      </w:r>
      <w:r>
        <w:rPr>
          <w:rFonts w:ascii="Garamond" w:hAnsi="Garamond"/>
          <w:sz w:val="32"/>
          <w:szCs w:val="32"/>
        </w:rPr>
        <w:t>i-legge sono la n. 22 del 2012 e la n. 32 del 2014, che il Comitato</w:t>
      </w:r>
      <w:r w:rsidR="000E5C94">
        <w:rPr>
          <w:rFonts w:ascii="Garamond" w:hAnsi="Garamond"/>
          <w:sz w:val="32"/>
          <w:szCs w:val="32"/>
        </w:rPr>
        <w:t>, nel passato,</w:t>
      </w:r>
      <w:r>
        <w:rPr>
          <w:rFonts w:ascii="Garamond" w:hAnsi="Garamond"/>
          <w:sz w:val="32"/>
          <w:szCs w:val="32"/>
        </w:rPr>
        <w:t xml:space="preserve"> </w:t>
      </w:r>
      <w:r w:rsidR="000E5C94">
        <w:rPr>
          <w:rFonts w:ascii="Garamond" w:hAnsi="Garamond"/>
          <w:sz w:val="32"/>
          <w:szCs w:val="32"/>
        </w:rPr>
        <w:t xml:space="preserve">ha </w:t>
      </w:r>
      <w:r>
        <w:rPr>
          <w:rFonts w:ascii="Garamond" w:hAnsi="Garamond"/>
          <w:sz w:val="32"/>
          <w:szCs w:val="32"/>
        </w:rPr>
        <w:t>richiama</w:t>
      </w:r>
      <w:r w:rsidR="000E5C94">
        <w:rPr>
          <w:rFonts w:ascii="Garamond" w:hAnsi="Garamond"/>
          <w:sz w:val="32"/>
          <w:szCs w:val="32"/>
        </w:rPr>
        <w:t>to</w:t>
      </w:r>
      <w:r>
        <w:rPr>
          <w:rFonts w:ascii="Garamond" w:hAnsi="Garamond"/>
          <w:sz w:val="32"/>
          <w:szCs w:val="32"/>
        </w:rPr>
        <w:t xml:space="preserve"> con una certa frequenza.</w:t>
      </w:r>
      <w:r w:rsidR="000E5C94">
        <w:rPr>
          <w:rFonts w:ascii="Garamond" w:hAnsi="Garamond"/>
          <w:sz w:val="32"/>
          <w:szCs w:val="32"/>
        </w:rPr>
        <w:t xml:space="preserve"> Nei dieci mesi di riferimento, invece, soltanto nel parere sul decreto-legge n. 78 del 2015 (C. 3262 – enti territoriali) si elenca una lunga serie di disposizioni introdotte nel corso dell’</w:t>
      </w:r>
      <w:r w:rsidR="000E5C94" w:rsidRPr="006D2914">
        <w:rPr>
          <w:rFonts w:ascii="Garamond" w:hAnsi="Garamond"/>
          <w:i/>
          <w:sz w:val="32"/>
          <w:szCs w:val="32"/>
        </w:rPr>
        <w:t>iter</w:t>
      </w:r>
      <w:r w:rsidR="000E5C94">
        <w:rPr>
          <w:rFonts w:ascii="Garamond" w:hAnsi="Garamond"/>
          <w:sz w:val="32"/>
          <w:szCs w:val="32"/>
        </w:rPr>
        <w:t xml:space="preserve"> al Senato e che appaiono estranee al contenuto originario del decreto-legge, richiamando non soltanto le due sentenze sopra citate ma anche altre tre: </w:t>
      </w:r>
    </w:p>
    <w:p w:rsidR="00CA41DD" w:rsidRDefault="000E5C94" w:rsidP="004713E0">
      <w:pPr>
        <w:ind w:firstLine="180"/>
        <w:rPr>
          <w:rFonts w:ascii="Garamond" w:hAnsi="Garamond"/>
          <w:sz w:val="32"/>
          <w:szCs w:val="32"/>
        </w:rPr>
      </w:pPr>
      <w:r>
        <w:rPr>
          <w:rFonts w:ascii="Garamond" w:hAnsi="Garamond"/>
          <w:sz w:val="32"/>
          <w:szCs w:val="32"/>
        </w:rPr>
        <w:t>«</w:t>
      </w:r>
      <w:r w:rsidRPr="000E5C94">
        <w:rPr>
          <w:rFonts w:ascii="Garamond" w:hAnsi="Garamond"/>
          <w:sz w:val="32"/>
          <w:szCs w:val="32"/>
        </w:rPr>
        <w:t>con riferimento alle disposizioni prima indicate, che inseriscono, nella legge di conversione, oggetti di disciplina nuovi rispetto a quelli contenuti nel decreto-legge, si ricorda che la Corte costituzionale, nella sentenza n. 22 del 2012, richiamando al riguardo quanto già statuito nelle sentenze n. 171 del 2007 e n. 128 del 2008, ha individuato, “</w:t>
      </w:r>
      <w:r w:rsidRPr="000E5C94">
        <w:rPr>
          <w:rFonts w:ascii="Garamond" w:hAnsi="Garamond"/>
          <w:i/>
          <w:iCs/>
          <w:sz w:val="32"/>
          <w:szCs w:val="32"/>
        </w:rPr>
        <w:t xml:space="preserve">tra gli indici alla stregua dei quali verificare se risulti evidente o meno la carenza del requisito della straordinarietà del caso di necessità e d'urgenza di provvedere, la </w:t>
      </w:r>
      <w:r w:rsidRPr="000E5C94">
        <w:rPr>
          <w:rFonts w:ascii="Garamond" w:hAnsi="Garamond"/>
          <w:i/>
          <w:iCs/>
          <w:sz w:val="32"/>
          <w:szCs w:val="32"/>
        </w:rPr>
        <w:lastRenderedPageBreak/>
        <w:t>evidente estraneità della norma censurata rispetto alla materia disciplinata da altre disposizioni del decreto legge in cui è inserita</w:t>
      </w:r>
      <w:r w:rsidRPr="000E5C94">
        <w:rPr>
          <w:rFonts w:ascii="Garamond" w:hAnsi="Garamond"/>
          <w:sz w:val="32"/>
          <w:szCs w:val="32"/>
        </w:rPr>
        <w:t>”, nonché rispetto all'intestazione del decreto e al preambolo; si ricorda altresì che, nella sentenza n. 32 del 2014, con orientamento confermato, da ultimo, nella recentissima sentenza n. 154 del 2015, la Corte costituzionale ha inoltre chiarito che “</w:t>
      </w:r>
      <w:r w:rsidRPr="000E5C94">
        <w:rPr>
          <w:rFonts w:ascii="Garamond" w:hAnsi="Garamond"/>
          <w:i/>
          <w:iCs/>
          <w:sz w:val="32"/>
          <w:szCs w:val="32"/>
        </w:rPr>
        <w:t>le disposizioni introdotte in sede di conversione devono potersi collegare al contenuto già disciplinato dal decreto-legge, ovvero, in caso di provvedimenti governativi a contenuto plurimo, alla ratio dominante del provvedimento originario considerato nel suo complesso</w:t>
      </w:r>
      <w:r w:rsidRPr="000E5C94">
        <w:rPr>
          <w:rFonts w:ascii="Garamond" w:hAnsi="Garamond"/>
          <w:sz w:val="32"/>
          <w:szCs w:val="32"/>
        </w:rPr>
        <w:t>”</w:t>
      </w:r>
      <w:r>
        <w:rPr>
          <w:rFonts w:ascii="Garamond" w:hAnsi="Garamond"/>
          <w:sz w:val="32"/>
          <w:szCs w:val="32"/>
        </w:rPr>
        <w:t xml:space="preserve"> </w:t>
      </w:r>
      <w:r w:rsidRPr="0079184F">
        <w:rPr>
          <w:rFonts w:ascii="Garamond" w:hAnsi="Garamond"/>
          <w:sz w:val="32"/>
          <w:szCs w:val="32"/>
        </w:rPr>
        <w:t>(</w:t>
      </w:r>
      <w:hyperlink w:anchor="S20a01a" w:history="1">
        <w:r w:rsidRPr="0079184F">
          <w:rPr>
            <w:rStyle w:val="Collegamentoipertestuale"/>
            <w:rFonts w:ascii="Garamond" w:hAnsi="Garamond"/>
            <w:sz w:val="32"/>
            <w:szCs w:val="32"/>
          </w:rPr>
          <w:t>Scheda 20, punto 1a</w:t>
        </w:r>
      </w:hyperlink>
      <w:r w:rsidRPr="0079184F">
        <w:rPr>
          <w:rFonts w:ascii="Garamond" w:hAnsi="Garamond"/>
          <w:sz w:val="32"/>
          <w:szCs w:val="32"/>
        </w:rPr>
        <w:t>).</w:t>
      </w:r>
    </w:p>
    <w:p w:rsidR="000E5C94" w:rsidRDefault="000E5C94" w:rsidP="004713E0">
      <w:pPr>
        <w:ind w:firstLine="180"/>
        <w:rPr>
          <w:rFonts w:ascii="Garamond" w:hAnsi="Garamond"/>
          <w:sz w:val="32"/>
          <w:szCs w:val="32"/>
        </w:rPr>
      </w:pPr>
    </w:p>
    <w:p w:rsidR="000E5C94" w:rsidRPr="00617A19" w:rsidRDefault="000E5C94" w:rsidP="00617A19">
      <w:pPr>
        <w:pStyle w:val="Titolo2"/>
        <w:rPr>
          <w:rFonts w:ascii="Garamond" w:hAnsi="Garamond"/>
          <w:i/>
          <w:iCs/>
          <w:color w:val="0000FF"/>
          <w:sz w:val="28"/>
          <w:szCs w:val="28"/>
        </w:rPr>
      </w:pPr>
      <w:bookmarkStart w:id="126" w:name="_Toc439082252"/>
      <w:bookmarkStart w:id="127" w:name="_Toc439953668"/>
      <w:bookmarkStart w:id="128" w:name="_Toc440030382"/>
      <w:r w:rsidRPr="00617A19">
        <w:rPr>
          <w:rFonts w:ascii="Garamond" w:hAnsi="Garamond"/>
          <w:i/>
          <w:iCs/>
          <w:color w:val="0000FF"/>
          <w:sz w:val="28"/>
          <w:szCs w:val="28"/>
        </w:rPr>
        <w:t>4.11.2. La sentenza n. 70 del 2015</w:t>
      </w:r>
      <w:bookmarkEnd w:id="126"/>
      <w:bookmarkEnd w:id="127"/>
      <w:bookmarkEnd w:id="128"/>
    </w:p>
    <w:p w:rsidR="000E5C94" w:rsidRDefault="000E5C94" w:rsidP="000E5C94">
      <w:pPr>
        <w:spacing w:after="120"/>
        <w:rPr>
          <w:rFonts w:ascii="Garamond" w:hAnsi="Garamond"/>
          <w:sz w:val="32"/>
          <w:szCs w:val="32"/>
        </w:rPr>
      </w:pPr>
      <w:r w:rsidRPr="0039668E">
        <w:rPr>
          <w:rFonts w:ascii="Garamond" w:hAnsi="Garamond"/>
          <w:sz w:val="32"/>
          <w:szCs w:val="32"/>
        </w:rPr>
        <w:t>Il decreto-legge n. 65 del 2015, come già accennato, è stato emanato a seguito della sentenza della Corte costituzionale n. 70 del 2015</w:t>
      </w:r>
      <w:r w:rsidR="0039668E" w:rsidRPr="0039668E">
        <w:rPr>
          <w:rFonts w:ascii="Garamond" w:hAnsi="Garamond"/>
          <w:sz w:val="32"/>
          <w:szCs w:val="32"/>
        </w:rPr>
        <w:t>, della quale il parer</w:t>
      </w:r>
      <w:r w:rsidR="0039668E">
        <w:rPr>
          <w:rFonts w:ascii="Garamond" w:hAnsi="Garamond"/>
          <w:sz w:val="32"/>
          <w:szCs w:val="32"/>
        </w:rPr>
        <w:t>e</w:t>
      </w:r>
      <w:r w:rsidR="0039668E" w:rsidRPr="0039668E">
        <w:rPr>
          <w:rFonts w:ascii="Garamond" w:hAnsi="Garamond"/>
          <w:sz w:val="32"/>
          <w:szCs w:val="32"/>
        </w:rPr>
        <w:t xml:space="preserve"> dà ampio conto nell’esordio delle premesse</w:t>
      </w:r>
      <w:r w:rsidR="0039668E">
        <w:rPr>
          <w:rFonts w:ascii="Garamond" w:hAnsi="Garamond"/>
          <w:sz w:val="32"/>
          <w:szCs w:val="32"/>
        </w:rPr>
        <w:t xml:space="preserve">, soffermandosi poi, per giustificarla, su una previsione </w:t>
      </w:r>
      <w:r w:rsidR="006D2914">
        <w:rPr>
          <w:rFonts w:ascii="Garamond" w:hAnsi="Garamond"/>
          <w:sz w:val="32"/>
          <w:szCs w:val="32"/>
        </w:rPr>
        <w:t xml:space="preserve">– già richiamata – </w:t>
      </w:r>
      <w:r w:rsidR="0039668E">
        <w:rPr>
          <w:rFonts w:ascii="Garamond" w:hAnsi="Garamond"/>
          <w:sz w:val="32"/>
          <w:szCs w:val="32"/>
        </w:rPr>
        <w:t xml:space="preserve">apparentemente priva di portata normativa, volta ad esplicitare le finalità del decreto in conseguenza della citata sentenza:  </w:t>
      </w:r>
      <w:r w:rsidR="0039668E" w:rsidRPr="0039668E">
        <w:rPr>
          <w:rFonts w:ascii="Garamond" w:hAnsi="Garamond"/>
          <w:sz w:val="32"/>
          <w:szCs w:val="32"/>
        </w:rPr>
        <w:t>«l'articolo 1, comma 1, alinea, premette testualmente che le modificazioni al decreto-legge n. 201 del 2011 avvengono: “</w:t>
      </w:r>
      <w:r w:rsidR="0039668E" w:rsidRPr="0039668E">
        <w:rPr>
          <w:rFonts w:ascii="Garamond" w:hAnsi="Garamond"/>
          <w:i/>
          <w:iCs/>
          <w:sz w:val="32"/>
          <w:szCs w:val="32"/>
        </w:rPr>
        <w:t>Al fine di dare attuazione ai princìpi enunciati nella sentenza della Corte costituzionale n. 70 del 2015, nel rispetto del principio dell'equilibrio di bilancio e degli obiettivi di finanza pubblica, assicurando la tutela dei livelli essenziali delle prestazioni concernenti i diritti civili e sociali, anche in funzione della salvaguardia della solidarietà intergenerazionale</w:t>
      </w:r>
      <w:r w:rsidR="0039668E" w:rsidRPr="0039668E">
        <w:rPr>
          <w:rFonts w:ascii="Garamond" w:hAnsi="Garamond"/>
          <w:sz w:val="32"/>
          <w:szCs w:val="32"/>
        </w:rPr>
        <w:t xml:space="preserve">...”; tale esplicitazione delle finalità, del bilanciamento perseguito nonché dei vincoli costituzionali a prima vista parrebbe di dubbia portata normativa, in quanto non ha carattere effettivamente innovativo dell'ordinamento vigente ed è meramente descrittiva di elementi del contesto istituzionale nel quale è posta in essere la norma: tuttavia, nel caso di specie, essa appare rispondente a un espresso richiamo della Corte costituzionale che nella citata sentenza n. 70 ha </w:t>
      </w:r>
      <w:r w:rsidR="0039668E" w:rsidRPr="0039668E">
        <w:rPr>
          <w:rFonts w:ascii="Garamond" w:hAnsi="Garamond"/>
          <w:sz w:val="32"/>
          <w:szCs w:val="32"/>
        </w:rPr>
        <w:lastRenderedPageBreak/>
        <w:t>osservato, fra l'altro, che la disposizione annullata “</w:t>
      </w:r>
      <w:r w:rsidR="0039668E" w:rsidRPr="0039668E">
        <w:rPr>
          <w:rFonts w:ascii="Garamond" w:hAnsi="Garamond"/>
          <w:i/>
          <w:iCs/>
          <w:sz w:val="32"/>
          <w:szCs w:val="32"/>
        </w:rPr>
        <w:t>si limita a richiamare genericamente la ‘contingente situazione finanziaria’, senza che emerga dal disegno complessivo la necessaria prevalenza delle esigenze finanziarie sui diritti oggetto di bilanciamento, nei cui confronti si effettuano interventi così fortemente incisivi</w:t>
      </w:r>
      <w:r w:rsidR="0039668E" w:rsidRPr="0039668E">
        <w:rPr>
          <w:rFonts w:ascii="Garamond" w:hAnsi="Garamond"/>
          <w:sz w:val="32"/>
          <w:szCs w:val="32"/>
        </w:rPr>
        <w:t xml:space="preserve">. ..”; poiché dunque il giudice delle leggi – in questa sentenza – sembra richiedere al legislatore l'esplicitazione, nello stesso testo normativo e non </w:t>
      </w:r>
      <w:r w:rsidR="0039668E" w:rsidRPr="0039668E">
        <w:rPr>
          <w:rFonts w:ascii="Garamond" w:hAnsi="Garamond"/>
          <w:i/>
          <w:iCs/>
          <w:sz w:val="32"/>
          <w:szCs w:val="32"/>
        </w:rPr>
        <w:t>ab extra</w:t>
      </w:r>
      <w:r w:rsidR="0039668E" w:rsidRPr="0039668E">
        <w:rPr>
          <w:rFonts w:ascii="Garamond" w:hAnsi="Garamond"/>
          <w:sz w:val="32"/>
          <w:szCs w:val="32"/>
        </w:rPr>
        <w:t>, del percorso logico seguito nell'esercizio della sua discrezionalità, nel caso di specie la predetta premessa appare giustificata</w:t>
      </w:r>
      <w:r w:rsidR="0039668E" w:rsidRPr="0079184F">
        <w:rPr>
          <w:rFonts w:ascii="Garamond" w:hAnsi="Garamond"/>
          <w:sz w:val="32"/>
          <w:szCs w:val="32"/>
        </w:rPr>
        <w:t>» (</w:t>
      </w:r>
      <w:hyperlink w:anchor="S11a05" w:history="1">
        <w:r w:rsidR="0039668E" w:rsidRPr="0079184F">
          <w:rPr>
            <w:rStyle w:val="Collegamentoipertestuale"/>
            <w:rFonts w:ascii="Garamond" w:hAnsi="Garamond"/>
            <w:sz w:val="32"/>
            <w:szCs w:val="32"/>
          </w:rPr>
          <w:t>Scheda 11, punto 5</w:t>
        </w:r>
      </w:hyperlink>
      <w:r w:rsidR="0039668E" w:rsidRPr="0079184F">
        <w:rPr>
          <w:rFonts w:ascii="Garamond" w:hAnsi="Garamond"/>
          <w:sz w:val="32"/>
          <w:szCs w:val="32"/>
        </w:rPr>
        <w:t>).</w:t>
      </w:r>
    </w:p>
    <w:p w:rsidR="0039668E" w:rsidRPr="000E5C94" w:rsidRDefault="0039668E" w:rsidP="000E5C94">
      <w:pPr>
        <w:spacing w:after="120"/>
        <w:rPr>
          <w:rFonts w:ascii="Garamond" w:hAnsi="Garamond"/>
          <w:sz w:val="32"/>
          <w:szCs w:val="32"/>
        </w:rPr>
      </w:pPr>
      <w:r>
        <w:rPr>
          <w:rFonts w:ascii="Garamond" w:hAnsi="Garamond"/>
          <w:sz w:val="32"/>
          <w:szCs w:val="32"/>
        </w:rPr>
        <w:t xml:space="preserve">Nello stesso parere, con riguardo a disposizioni a carattere derogatorio, si richiamano anche la sentenza della Corte costituzionale n. 289 del 1994 e la sentenza della Corte di cassazione n. 23793 del 2010 </w:t>
      </w:r>
      <w:r w:rsidRPr="0079184F">
        <w:rPr>
          <w:rFonts w:ascii="Garamond" w:hAnsi="Garamond"/>
          <w:sz w:val="32"/>
          <w:szCs w:val="32"/>
        </w:rPr>
        <w:t>(</w:t>
      </w:r>
      <w:hyperlink w:anchor="S11a06" w:history="1">
        <w:r w:rsidRPr="0079184F">
          <w:rPr>
            <w:rStyle w:val="Collegamentoipertestuale"/>
            <w:rFonts w:ascii="Garamond" w:hAnsi="Garamond"/>
            <w:sz w:val="32"/>
            <w:szCs w:val="32"/>
          </w:rPr>
          <w:t>Scheda 11, punto 6</w:t>
        </w:r>
      </w:hyperlink>
      <w:r w:rsidRPr="0079184F">
        <w:rPr>
          <w:rFonts w:ascii="Garamond" w:hAnsi="Garamond"/>
          <w:sz w:val="32"/>
          <w:szCs w:val="32"/>
        </w:rPr>
        <w:t>).</w:t>
      </w:r>
    </w:p>
    <w:p w:rsidR="009B057E" w:rsidRDefault="009B057E" w:rsidP="006D2914">
      <w:pPr>
        <w:ind w:firstLine="0"/>
        <w:rPr>
          <w:rFonts w:ascii="Garamond" w:hAnsi="Garamond"/>
          <w:b/>
          <w:i/>
          <w:color w:val="0000FF"/>
          <w:sz w:val="28"/>
          <w:szCs w:val="28"/>
        </w:rPr>
      </w:pPr>
    </w:p>
    <w:p w:rsidR="00E577D5" w:rsidRPr="00617A19" w:rsidRDefault="00C62DA7" w:rsidP="00617A19">
      <w:pPr>
        <w:pStyle w:val="Titolo2"/>
        <w:rPr>
          <w:rFonts w:ascii="Garamond" w:hAnsi="Garamond"/>
          <w:i/>
          <w:iCs/>
          <w:color w:val="0000FF"/>
          <w:sz w:val="28"/>
          <w:szCs w:val="28"/>
        </w:rPr>
      </w:pPr>
      <w:bookmarkStart w:id="129" w:name="_Toc439082253"/>
      <w:bookmarkStart w:id="130" w:name="_Toc439953669"/>
      <w:bookmarkStart w:id="131" w:name="_Toc440030383"/>
      <w:r w:rsidRPr="00617A19">
        <w:rPr>
          <w:rFonts w:ascii="Garamond" w:hAnsi="Garamond"/>
          <w:i/>
          <w:iCs/>
          <w:color w:val="0000FF"/>
          <w:sz w:val="28"/>
          <w:szCs w:val="28"/>
        </w:rPr>
        <w:t>4.11.</w:t>
      </w:r>
      <w:r w:rsidR="000E5C94" w:rsidRPr="00617A19">
        <w:rPr>
          <w:rFonts w:ascii="Garamond" w:hAnsi="Garamond"/>
          <w:i/>
          <w:iCs/>
          <w:color w:val="0000FF"/>
          <w:sz w:val="28"/>
          <w:szCs w:val="28"/>
        </w:rPr>
        <w:t>3</w:t>
      </w:r>
      <w:r w:rsidRPr="00617A19">
        <w:rPr>
          <w:rFonts w:ascii="Garamond" w:hAnsi="Garamond"/>
          <w:i/>
          <w:iCs/>
          <w:color w:val="0000FF"/>
          <w:sz w:val="28"/>
          <w:szCs w:val="28"/>
        </w:rPr>
        <w:t>. Le deleghe legislative</w:t>
      </w:r>
      <w:bookmarkEnd w:id="129"/>
      <w:bookmarkEnd w:id="130"/>
      <w:bookmarkEnd w:id="131"/>
    </w:p>
    <w:p w:rsidR="00C62DA7" w:rsidRDefault="0039668E" w:rsidP="0039668E">
      <w:pPr>
        <w:rPr>
          <w:rFonts w:ascii="Garamond" w:hAnsi="Garamond"/>
          <w:b/>
          <w:i/>
          <w:color w:val="0000FF"/>
          <w:sz w:val="28"/>
          <w:szCs w:val="28"/>
        </w:rPr>
      </w:pPr>
      <w:r>
        <w:rPr>
          <w:rFonts w:ascii="Garamond" w:hAnsi="Garamond"/>
          <w:sz w:val="32"/>
          <w:szCs w:val="32"/>
        </w:rPr>
        <w:t xml:space="preserve">I 4 pareri sopra richiamati, che si soffermano sulle opzioni alternative offerte al legislatore delegato, segnalano, </w:t>
      </w:r>
      <w:r w:rsidRPr="0039668E">
        <w:rPr>
          <w:rFonts w:ascii="Garamond" w:hAnsi="Garamond"/>
          <w:sz w:val="32"/>
          <w:szCs w:val="32"/>
        </w:rPr>
        <w:t xml:space="preserve">al riguardo, </w:t>
      </w:r>
      <w:r>
        <w:rPr>
          <w:rFonts w:ascii="Garamond" w:hAnsi="Garamond"/>
          <w:sz w:val="32"/>
          <w:szCs w:val="32"/>
        </w:rPr>
        <w:t>che «</w:t>
      </w:r>
      <w:r w:rsidRPr="0039668E">
        <w:rPr>
          <w:rFonts w:ascii="Garamond" w:hAnsi="Garamond"/>
          <w:sz w:val="32"/>
          <w:szCs w:val="32"/>
        </w:rPr>
        <w:t xml:space="preserve">in un </w:t>
      </w:r>
      <w:r w:rsidRPr="0039668E">
        <w:rPr>
          <w:rFonts w:ascii="Garamond" w:hAnsi="Garamond"/>
          <w:i/>
          <w:iCs/>
          <w:sz w:val="32"/>
          <w:szCs w:val="32"/>
        </w:rPr>
        <w:t>obiter dictum</w:t>
      </w:r>
      <w:r w:rsidRPr="0039668E">
        <w:rPr>
          <w:rFonts w:ascii="Garamond" w:hAnsi="Garamond"/>
          <w:sz w:val="32"/>
          <w:szCs w:val="32"/>
        </w:rPr>
        <w:t xml:space="preserve"> la </w:t>
      </w:r>
      <w:r w:rsidRPr="006D2914">
        <w:rPr>
          <w:rFonts w:ascii="Garamond" w:hAnsi="Garamond"/>
          <w:sz w:val="32"/>
          <w:szCs w:val="32"/>
        </w:rPr>
        <w:t xml:space="preserve">Corte costituzionale ha rilevato che: «il libero apprezzamento del legislatore delegato non può mai assurgere a principio od a criterio direttivo, in quanto agli antipodi di una legislazione vincolata, quale è, per definizione, la legislazione su delega» (sentenze n. 68 del 1991 e n. 340 del 2007)» </w:t>
      </w:r>
      <w:r w:rsidRPr="0079184F">
        <w:rPr>
          <w:rFonts w:ascii="Garamond" w:hAnsi="Garamond"/>
          <w:sz w:val="32"/>
          <w:szCs w:val="32"/>
        </w:rPr>
        <w:t>(</w:t>
      </w:r>
      <w:hyperlink w:anchor="S08a05" w:history="1">
        <w:r w:rsidRPr="0079184F">
          <w:rPr>
            <w:rStyle w:val="Collegamentoipertestuale"/>
            <w:rFonts w:ascii="Garamond" w:hAnsi="Garamond"/>
            <w:sz w:val="32"/>
            <w:szCs w:val="32"/>
          </w:rPr>
          <w:t>Scheda 8, punto 5</w:t>
        </w:r>
      </w:hyperlink>
      <w:r w:rsidRPr="0079184F">
        <w:rPr>
          <w:rFonts w:ascii="Garamond" w:hAnsi="Garamond"/>
          <w:sz w:val="32"/>
          <w:szCs w:val="32"/>
        </w:rPr>
        <w:t xml:space="preserve">; </w:t>
      </w:r>
      <w:hyperlink w:anchor="S12a03" w:history="1">
        <w:r w:rsidRPr="0079184F">
          <w:rPr>
            <w:rStyle w:val="Collegamentoipertestuale"/>
            <w:rFonts w:ascii="Garamond" w:hAnsi="Garamond"/>
            <w:sz w:val="32"/>
            <w:szCs w:val="32"/>
          </w:rPr>
          <w:t>Scheda 12, punto 3</w:t>
        </w:r>
      </w:hyperlink>
      <w:r w:rsidRPr="0079184F">
        <w:rPr>
          <w:rFonts w:ascii="Garamond" w:hAnsi="Garamond"/>
          <w:sz w:val="32"/>
          <w:szCs w:val="32"/>
        </w:rPr>
        <w:t xml:space="preserve">; </w:t>
      </w:r>
      <w:hyperlink w:anchor="S13a02" w:history="1">
        <w:r w:rsidRPr="0079184F">
          <w:rPr>
            <w:rStyle w:val="Collegamentoipertestuale"/>
            <w:rFonts w:ascii="Garamond" w:hAnsi="Garamond"/>
            <w:sz w:val="32"/>
            <w:szCs w:val="32"/>
          </w:rPr>
          <w:t>Scheda 13, punto 2</w:t>
        </w:r>
      </w:hyperlink>
      <w:r w:rsidRPr="0079184F">
        <w:rPr>
          <w:rFonts w:ascii="Garamond" w:hAnsi="Garamond"/>
          <w:sz w:val="32"/>
          <w:szCs w:val="32"/>
        </w:rPr>
        <w:t xml:space="preserve">; </w:t>
      </w:r>
      <w:hyperlink w:anchor="S18a03" w:history="1">
        <w:r w:rsidRPr="0079184F">
          <w:rPr>
            <w:rStyle w:val="Collegamentoipertestuale"/>
            <w:rFonts w:ascii="Garamond" w:hAnsi="Garamond"/>
            <w:sz w:val="32"/>
            <w:szCs w:val="32"/>
          </w:rPr>
          <w:t>Scheda 18, punto 3</w:t>
        </w:r>
      </w:hyperlink>
      <w:r w:rsidRPr="0079184F">
        <w:rPr>
          <w:rFonts w:ascii="Garamond" w:hAnsi="Garamond"/>
          <w:sz w:val="32"/>
          <w:szCs w:val="32"/>
        </w:rPr>
        <w:t>).</w:t>
      </w:r>
      <w:r>
        <w:rPr>
          <w:rFonts w:ascii="Garamond" w:hAnsi="Garamond"/>
          <w:b/>
          <w:i/>
          <w:color w:val="0000FF"/>
          <w:sz w:val="28"/>
          <w:szCs w:val="28"/>
        </w:rPr>
        <w:t xml:space="preserve"> </w:t>
      </w:r>
    </w:p>
    <w:p w:rsidR="00722DAD" w:rsidRPr="006C313C" w:rsidRDefault="00722DAD" w:rsidP="006C313C">
      <w:pPr>
        <w:ind w:left="284" w:hanging="284"/>
        <w:rPr>
          <w:rFonts w:ascii="Garamond" w:hAnsi="Garamond"/>
          <w:sz w:val="32"/>
          <w:szCs w:val="32"/>
        </w:rPr>
      </w:pPr>
    </w:p>
    <w:p w:rsidR="00E577D5" w:rsidRPr="00617A19" w:rsidRDefault="00C62DA7" w:rsidP="00617A19">
      <w:pPr>
        <w:pStyle w:val="Titolo2"/>
        <w:rPr>
          <w:rFonts w:ascii="Garamond" w:hAnsi="Garamond"/>
          <w:i/>
          <w:iCs/>
          <w:color w:val="0000FF"/>
          <w:sz w:val="28"/>
          <w:szCs w:val="28"/>
        </w:rPr>
      </w:pPr>
      <w:bookmarkStart w:id="132" w:name="_Toc439082254"/>
      <w:bookmarkStart w:id="133" w:name="_Toc439953670"/>
      <w:bookmarkStart w:id="134" w:name="_Toc440030384"/>
      <w:r w:rsidRPr="00617A19">
        <w:rPr>
          <w:rFonts w:ascii="Garamond" w:hAnsi="Garamond"/>
          <w:i/>
          <w:iCs/>
          <w:color w:val="0000FF"/>
          <w:sz w:val="28"/>
          <w:szCs w:val="28"/>
        </w:rPr>
        <w:t>4.11.4. I</w:t>
      </w:r>
      <w:r w:rsidR="00072617" w:rsidRPr="00617A19">
        <w:rPr>
          <w:rFonts w:ascii="Garamond" w:hAnsi="Garamond"/>
          <w:i/>
          <w:iCs/>
          <w:color w:val="0000FF"/>
          <w:sz w:val="28"/>
          <w:szCs w:val="28"/>
        </w:rPr>
        <w:t>l principio di parità delle parti</w:t>
      </w:r>
      <w:bookmarkEnd w:id="132"/>
      <w:bookmarkEnd w:id="133"/>
      <w:bookmarkEnd w:id="134"/>
    </w:p>
    <w:p w:rsidR="00C8689A" w:rsidRDefault="00072617" w:rsidP="00072617">
      <w:pPr>
        <w:ind w:firstLine="180"/>
        <w:rPr>
          <w:rFonts w:ascii="Garamond" w:hAnsi="Garamond"/>
          <w:sz w:val="32"/>
          <w:szCs w:val="32"/>
        </w:rPr>
      </w:pPr>
      <w:r>
        <w:rPr>
          <w:rFonts w:ascii="Garamond" w:hAnsi="Garamond"/>
          <w:sz w:val="32"/>
          <w:szCs w:val="32"/>
        </w:rPr>
        <w:t>Il parere sul decreto-legge n. 1 del 2015 (C. 2894 – ILVA e Taranto), ampiamente riportato nel paragrafo relativo al coordinamento con disposizioni di rango costituzionale, richiama l</w:t>
      </w:r>
      <w:r w:rsidRPr="004500B9">
        <w:rPr>
          <w:rFonts w:ascii="Garamond" w:hAnsi="Garamond"/>
          <w:sz w:val="32"/>
          <w:szCs w:val="32"/>
        </w:rPr>
        <w:t xml:space="preserve">a giurisprudenza costituzionale </w:t>
      </w:r>
      <w:r>
        <w:rPr>
          <w:rFonts w:ascii="Garamond" w:hAnsi="Garamond"/>
          <w:sz w:val="32"/>
          <w:szCs w:val="32"/>
        </w:rPr>
        <w:t xml:space="preserve">in materia di </w:t>
      </w:r>
      <w:r>
        <w:rPr>
          <w:rFonts w:ascii="Garamond" w:hAnsi="Garamond"/>
          <w:sz w:val="32"/>
          <w:szCs w:val="32"/>
        </w:rPr>
        <w:lastRenderedPageBreak/>
        <w:t xml:space="preserve">violazione del </w:t>
      </w:r>
      <w:r w:rsidRPr="004500B9">
        <w:rPr>
          <w:rFonts w:ascii="Garamond" w:hAnsi="Garamond"/>
          <w:sz w:val="32"/>
          <w:szCs w:val="32"/>
        </w:rPr>
        <w:t xml:space="preserve">principio della parità delle parti, di cui </w:t>
      </w:r>
      <w:r w:rsidRPr="00072617">
        <w:rPr>
          <w:rFonts w:ascii="Garamond" w:hAnsi="Garamond"/>
          <w:sz w:val="32"/>
          <w:szCs w:val="32"/>
        </w:rPr>
        <w:t>all'articolo 111 della  Costituzione</w:t>
      </w:r>
      <w:r>
        <w:rPr>
          <w:rFonts w:ascii="Garamond" w:hAnsi="Garamond"/>
          <w:sz w:val="32"/>
          <w:szCs w:val="32"/>
        </w:rPr>
        <w:t xml:space="preserve"> (</w:t>
      </w:r>
      <w:hyperlink w:anchor="S03a07" w:history="1">
        <w:r w:rsidRPr="0079184F">
          <w:rPr>
            <w:rStyle w:val="Collegamentoipertestuale"/>
            <w:rFonts w:ascii="Garamond" w:hAnsi="Garamond"/>
            <w:sz w:val="32"/>
            <w:szCs w:val="32"/>
          </w:rPr>
          <w:t>Scheda 3, punto 7</w:t>
        </w:r>
      </w:hyperlink>
      <w:r w:rsidRPr="0079184F">
        <w:rPr>
          <w:rFonts w:ascii="Garamond" w:hAnsi="Garamond"/>
          <w:sz w:val="32"/>
          <w:szCs w:val="32"/>
        </w:rPr>
        <w:t>).</w:t>
      </w:r>
    </w:p>
    <w:p w:rsidR="00C8689A" w:rsidRDefault="00C8689A" w:rsidP="00B96849">
      <w:pPr>
        <w:ind w:firstLine="180"/>
        <w:rPr>
          <w:rFonts w:ascii="Garamond" w:hAnsi="Garamond"/>
          <w:sz w:val="32"/>
          <w:szCs w:val="32"/>
        </w:rPr>
      </w:pPr>
    </w:p>
    <w:p w:rsidR="004713E0" w:rsidRPr="00E577D5" w:rsidRDefault="004713E0" w:rsidP="004713E0">
      <w:pPr>
        <w:rPr>
          <w:rFonts w:ascii="Garamond" w:hAnsi="Garamond"/>
          <w:sz w:val="32"/>
          <w:szCs w:val="32"/>
        </w:rPr>
      </w:pPr>
    </w:p>
    <w:p w:rsidR="00B80024" w:rsidRDefault="00B80024" w:rsidP="004713E0">
      <w:pPr>
        <w:jc w:val="center"/>
        <w:rPr>
          <w:rStyle w:val="Titolo1Carattere1"/>
          <w:rFonts w:ascii="Garamond" w:hAnsi="Garamond"/>
          <w:bCs/>
          <w:i/>
          <w:iCs/>
          <w:color w:val="0000FF"/>
          <w:sz w:val="44"/>
        </w:rPr>
        <w:sectPr w:rsidR="00B80024" w:rsidSect="00B80024">
          <w:pgSz w:w="11906" w:h="16838" w:code="9"/>
          <w:pgMar w:top="1985" w:right="1985" w:bottom="1985" w:left="1985" w:header="1134" w:footer="1134" w:gutter="0"/>
          <w:cols w:sep="1" w:space="284"/>
          <w:titlePg/>
        </w:sectPr>
      </w:pPr>
      <w:bookmarkStart w:id="135" w:name="_Toc342035940"/>
      <w:bookmarkStart w:id="136" w:name="_Toc384976874"/>
    </w:p>
    <w:p w:rsidR="004713E0" w:rsidRPr="00063D88" w:rsidRDefault="004713E0" w:rsidP="004713E0">
      <w:pPr>
        <w:jc w:val="center"/>
        <w:rPr>
          <w:rStyle w:val="Titolo1Carattere1"/>
          <w:rFonts w:ascii="Garamond" w:hAnsi="Garamond"/>
          <w:bCs/>
          <w:i/>
          <w:iCs/>
          <w:color w:val="0000FF"/>
          <w:sz w:val="44"/>
        </w:rPr>
      </w:pPr>
      <w:bookmarkStart w:id="137" w:name="_Toc439082255"/>
      <w:bookmarkStart w:id="138" w:name="_Toc439953671"/>
      <w:bookmarkStart w:id="139" w:name="_Toc440030385"/>
      <w:r w:rsidRPr="00063D88">
        <w:rPr>
          <w:rStyle w:val="Titolo1Carattere1"/>
          <w:rFonts w:ascii="Garamond" w:hAnsi="Garamond"/>
          <w:bCs/>
          <w:i/>
          <w:iCs/>
          <w:color w:val="0000FF"/>
          <w:sz w:val="44"/>
        </w:rPr>
        <w:lastRenderedPageBreak/>
        <w:t>V.</w:t>
      </w:r>
      <w:r w:rsidRPr="00063D88">
        <w:rPr>
          <w:rStyle w:val="Titolo1Carattere1"/>
          <w:rFonts w:ascii="Garamond" w:hAnsi="Garamond"/>
          <w:bCs/>
          <w:i/>
          <w:iCs/>
          <w:color w:val="0000FF"/>
          <w:sz w:val="44"/>
        </w:rPr>
        <w:br/>
        <w:t>CONCLUSIONI</w:t>
      </w:r>
      <w:bookmarkEnd w:id="135"/>
      <w:bookmarkEnd w:id="136"/>
      <w:bookmarkEnd w:id="137"/>
      <w:bookmarkEnd w:id="138"/>
      <w:bookmarkEnd w:id="139"/>
    </w:p>
    <w:p w:rsidR="006F58AE" w:rsidRDefault="006F58AE" w:rsidP="00722DAD">
      <w:pPr>
        <w:spacing w:before="360" w:after="120"/>
        <w:rPr>
          <w:rFonts w:ascii="Garamond" w:hAnsi="Garamond"/>
          <w:i/>
          <w:sz w:val="32"/>
          <w:szCs w:val="32"/>
        </w:rPr>
      </w:pPr>
      <w:r>
        <w:rPr>
          <w:rFonts w:ascii="Garamond" w:hAnsi="Garamond"/>
          <w:i/>
          <w:sz w:val="32"/>
          <w:szCs w:val="32"/>
        </w:rPr>
        <w:t>Mi sono lungamente soffermato sulle peculiarità dei dieci mesi nei quali ho ricoperto la carica di presidente del Comitato, che coincidono con una fase evidentemente matura della legislatura, nella quale  la produzione normativa si presenta meno disordinata. Ne sono testimonianza le statistiche sulle leggi approvate e i pareri del Comitato, dai cui rilievi si evince una minore confusione nel sistema delle fonti: è sintomatica l’assenza di previsioni riguardanti l’adozione di atti di natura non regolamentare.</w:t>
      </w:r>
    </w:p>
    <w:p w:rsidR="0073560F" w:rsidRDefault="006F58AE" w:rsidP="00722DAD">
      <w:pPr>
        <w:spacing w:before="360" w:after="120"/>
        <w:rPr>
          <w:rFonts w:ascii="Garamond" w:hAnsi="Garamond"/>
          <w:i/>
          <w:sz w:val="32"/>
          <w:szCs w:val="32"/>
        </w:rPr>
      </w:pPr>
      <w:r>
        <w:rPr>
          <w:rFonts w:ascii="Garamond" w:hAnsi="Garamond"/>
          <w:i/>
          <w:sz w:val="32"/>
          <w:szCs w:val="32"/>
        </w:rPr>
        <w:t>Soltanto i prossimi rapporti potranno chiarire se si tratti di una tendenza destinata ad affermarsi o di una parentesi più o meno lunga: l’auspicio è che i segnali emersi in questi dieci mesi possano consolidarsi anche grazie all’azione del Comitato per la legislazione.</w:t>
      </w:r>
    </w:p>
    <w:p w:rsidR="00B33CD5" w:rsidRDefault="006F58AE" w:rsidP="00722DAD">
      <w:pPr>
        <w:spacing w:before="120" w:after="120"/>
        <w:ind w:firstLine="142"/>
        <w:rPr>
          <w:rFonts w:ascii="Garamond" w:hAnsi="Garamond"/>
          <w:i/>
          <w:color w:val="000000"/>
          <w:sz w:val="32"/>
          <w:szCs w:val="32"/>
        </w:rPr>
      </w:pPr>
      <w:r>
        <w:rPr>
          <w:rFonts w:ascii="Garamond" w:hAnsi="Garamond"/>
          <w:i/>
          <w:sz w:val="32"/>
          <w:szCs w:val="32"/>
        </w:rPr>
        <w:t xml:space="preserve">In particolare, sono convinto che </w:t>
      </w:r>
      <w:r>
        <w:rPr>
          <w:rFonts w:ascii="Garamond" w:hAnsi="Garamond"/>
          <w:i/>
          <w:color w:val="000000"/>
          <w:sz w:val="32"/>
          <w:szCs w:val="32"/>
        </w:rPr>
        <w:t>l</w:t>
      </w:r>
      <w:r w:rsidR="00B33CD5" w:rsidRPr="00DB3036">
        <w:rPr>
          <w:rFonts w:ascii="Garamond" w:hAnsi="Garamond"/>
          <w:i/>
          <w:color w:val="000000"/>
          <w:sz w:val="32"/>
          <w:szCs w:val="32"/>
        </w:rPr>
        <w:t xml:space="preserve">’attività di confronto </w:t>
      </w:r>
      <w:r>
        <w:rPr>
          <w:rFonts w:ascii="Garamond" w:hAnsi="Garamond"/>
          <w:i/>
          <w:color w:val="000000"/>
          <w:sz w:val="32"/>
          <w:szCs w:val="32"/>
        </w:rPr>
        <w:t xml:space="preserve">sempre più </w:t>
      </w:r>
      <w:r w:rsidR="00B33CD5" w:rsidRPr="00DB3036">
        <w:rPr>
          <w:rFonts w:ascii="Garamond" w:hAnsi="Garamond"/>
          <w:i/>
          <w:color w:val="000000"/>
          <w:sz w:val="32"/>
          <w:szCs w:val="32"/>
        </w:rPr>
        <w:t xml:space="preserve">sistematico con le Commissioni di merito, </w:t>
      </w:r>
      <w:r>
        <w:rPr>
          <w:rFonts w:ascii="Garamond" w:hAnsi="Garamond"/>
          <w:i/>
          <w:color w:val="000000"/>
          <w:sz w:val="32"/>
          <w:szCs w:val="32"/>
        </w:rPr>
        <w:t xml:space="preserve">svolta in questa legislatura, possa consentire di </w:t>
      </w:r>
      <w:r w:rsidR="00B33CD5" w:rsidRPr="00DB3036">
        <w:rPr>
          <w:rFonts w:ascii="Garamond" w:hAnsi="Garamond"/>
          <w:i/>
          <w:color w:val="000000"/>
          <w:sz w:val="32"/>
          <w:szCs w:val="32"/>
        </w:rPr>
        <w:t xml:space="preserve">risolvere </w:t>
      </w:r>
      <w:r>
        <w:rPr>
          <w:rFonts w:ascii="Garamond" w:hAnsi="Garamond"/>
          <w:i/>
          <w:color w:val="000000"/>
          <w:sz w:val="32"/>
          <w:szCs w:val="32"/>
        </w:rPr>
        <w:t>divers</w:t>
      </w:r>
      <w:r w:rsidR="00B33CD5" w:rsidRPr="00DB3036">
        <w:rPr>
          <w:rFonts w:ascii="Garamond" w:hAnsi="Garamond"/>
          <w:i/>
          <w:color w:val="000000"/>
          <w:sz w:val="32"/>
          <w:szCs w:val="32"/>
        </w:rPr>
        <w:t>i p</w:t>
      </w:r>
      <w:r w:rsidR="00B33CD5">
        <w:rPr>
          <w:rFonts w:ascii="Garamond" w:hAnsi="Garamond"/>
          <w:i/>
          <w:color w:val="000000"/>
          <w:sz w:val="32"/>
          <w:szCs w:val="32"/>
        </w:rPr>
        <w:t xml:space="preserve">roblemi </w:t>
      </w:r>
      <w:r>
        <w:rPr>
          <w:rFonts w:ascii="Garamond" w:hAnsi="Garamond"/>
          <w:i/>
          <w:color w:val="000000"/>
          <w:sz w:val="32"/>
          <w:szCs w:val="32"/>
        </w:rPr>
        <w:t xml:space="preserve">di redazione dei testi </w:t>
      </w:r>
      <w:r w:rsidR="00B33CD5">
        <w:rPr>
          <w:rFonts w:ascii="Garamond" w:hAnsi="Garamond"/>
          <w:i/>
          <w:color w:val="000000"/>
          <w:sz w:val="32"/>
          <w:szCs w:val="32"/>
        </w:rPr>
        <w:t xml:space="preserve">per le vie brevi, </w:t>
      </w:r>
      <w:r>
        <w:rPr>
          <w:rFonts w:ascii="Garamond" w:hAnsi="Garamond"/>
          <w:i/>
          <w:color w:val="000000"/>
          <w:sz w:val="32"/>
          <w:szCs w:val="32"/>
        </w:rPr>
        <w:t>a tutto vantaggio della certezza del diritto.</w:t>
      </w:r>
      <w:r w:rsidR="00B33CD5" w:rsidRPr="00DB3036">
        <w:rPr>
          <w:rFonts w:ascii="Garamond" w:hAnsi="Garamond"/>
          <w:i/>
          <w:color w:val="000000"/>
          <w:sz w:val="32"/>
          <w:szCs w:val="32"/>
        </w:rPr>
        <w:t xml:space="preserve"> </w:t>
      </w:r>
    </w:p>
    <w:p w:rsidR="006560E0" w:rsidRDefault="006560E0" w:rsidP="00722DAD">
      <w:pPr>
        <w:spacing w:before="120" w:after="120"/>
        <w:ind w:firstLine="142"/>
        <w:rPr>
          <w:rFonts w:ascii="Garamond" w:hAnsi="Garamond"/>
          <w:i/>
          <w:color w:val="000000"/>
          <w:sz w:val="32"/>
          <w:szCs w:val="32"/>
        </w:rPr>
      </w:pPr>
      <w:r>
        <w:rPr>
          <w:rFonts w:ascii="Garamond" w:hAnsi="Garamond"/>
          <w:i/>
          <w:color w:val="000000"/>
          <w:sz w:val="32"/>
          <w:szCs w:val="32"/>
        </w:rPr>
        <w:t>Per rafforzare ulteriormente tale rapporto, andrebbero compiuti altri passi, dando maggiore valenza alle previsioni regolamentari riguardanti la partecipazione dei rappresentanti del Governo e dei relatori presso le Commissioni di merito alle sedute del Comitato, cosa che avviene piuttosto raramente.</w:t>
      </w:r>
    </w:p>
    <w:p w:rsidR="006560E0" w:rsidRPr="00DB3036" w:rsidRDefault="006560E0" w:rsidP="00722DAD">
      <w:pPr>
        <w:spacing w:before="120" w:after="120"/>
        <w:ind w:firstLine="142"/>
        <w:rPr>
          <w:rFonts w:ascii="Garamond" w:hAnsi="Garamond"/>
          <w:i/>
          <w:color w:val="000000"/>
          <w:sz w:val="32"/>
          <w:szCs w:val="32"/>
        </w:rPr>
      </w:pPr>
      <w:r>
        <w:rPr>
          <w:rFonts w:ascii="Garamond" w:hAnsi="Garamond"/>
          <w:i/>
          <w:color w:val="000000"/>
          <w:sz w:val="32"/>
          <w:szCs w:val="32"/>
        </w:rPr>
        <w:t>Sono sicuro che nel seguito della legislatura il Comitato saprà consolidare e potenziare il suo ruolo, indispensabile per incrementare l’attenzione alla qualità e ai metodi della legislazione: un’attenzione che il Comitato testimonia non solo nell’attività consultiva, ma attraverso una sotterranea e spesso sconosciuta attività informale e una costante opera di approfondimento e di confronto ai più alti livelli istituzionali.</w:t>
      </w:r>
    </w:p>
    <w:p w:rsidR="0013656D" w:rsidRDefault="0013656D" w:rsidP="0013656D">
      <w:pPr>
        <w:jc w:val="center"/>
        <w:rPr>
          <w:rStyle w:val="Titolo1Carattere1"/>
          <w:rFonts w:ascii="Garamond" w:hAnsi="Garamond"/>
          <w:bCs/>
          <w:i/>
          <w:iCs/>
          <w:color w:val="0000FF"/>
          <w:sz w:val="44"/>
        </w:rPr>
      </w:pPr>
    </w:p>
    <w:p w:rsidR="003D7473" w:rsidRDefault="003D7473" w:rsidP="0013656D">
      <w:pPr>
        <w:jc w:val="center"/>
        <w:rPr>
          <w:rStyle w:val="Titolo1Carattere1"/>
          <w:rFonts w:ascii="Garamond" w:hAnsi="Garamond"/>
          <w:bCs/>
          <w:i/>
          <w:iCs/>
          <w:color w:val="0000FF"/>
          <w:sz w:val="44"/>
        </w:rPr>
        <w:sectPr w:rsidR="003D7473" w:rsidSect="00806B8A">
          <w:headerReference w:type="default" r:id="rId23"/>
          <w:type w:val="oddPage"/>
          <w:pgSz w:w="11906" w:h="16838" w:code="9"/>
          <w:pgMar w:top="1985" w:right="1985" w:bottom="1985" w:left="1985" w:header="1134" w:footer="1134" w:gutter="0"/>
          <w:cols w:sep="1" w:space="284"/>
          <w:docGrid w:linePitch="299"/>
        </w:sectPr>
      </w:pPr>
    </w:p>
    <w:p w:rsidR="007140F2" w:rsidRPr="0013656D" w:rsidRDefault="0013656D" w:rsidP="00722DAD">
      <w:pPr>
        <w:spacing w:before="4800"/>
        <w:jc w:val="center"/>
        <w:rPr>
          <w:rStyle w:val="Titolo1Carattere1"/>
          <w:rFonts w:ascii="Garamond" w:hAnsi="Garamond"/>
          <w:bCs/>
          <w:i/>
          <w:iCs/>
          <w:color w:val="0000FF"/>
          <w:sz w:val="44"/>
        </w:rPr>
      </w:pPr>
      <w:bookmarkStart w:id="140" w:name="_Toc439082256"/>
      <w:bookmarkStart w:id="141" w:name="_Toc439953672"/>
      <w:bookmarkStart w:id="142" w:name="_Toc440030386"/>
      <w:r>
        <w:rPr>
          <w:rStyle w:val="Titolo1Carattere1"/>
          <w:rFonts w:ascii="Garamond" w:hAnsi="Garamond"/>
          <w:bCs/>
          <w:i/>
          <w:iCs/>
          <w:color w:val="0000FF"/>
          <w:sz w:val="44"/>
        </w:rPr>
        <w:lastRenderedPageBreak/>
        <w:t xml:space="preserve">VI. </w:t>
      </w:r>
      <w:r w:rsidR="007140F2" w:rsidRPr="0013656D">
        <w:rPr>
          <w:rStyle w:val="Titolo1Carattere1"/>
          <w:rFonts w:ascii="Garamond" w:hAnsi="Garamond"/>
          <w:bCs/>
          <w:i/>
          <w:iCs/>
          <w:color w:val="0000FF"/>
          <w:sz w:val="44"/>
        </w:rPr>
        <w:t>T</w:t>
      </w:r>
      <w:r>
        <w:rPr>
          <w:rStyle w:val="Titolo1Carattere1"/>
          <w:rFonts w:ascii="Garamond" w:hAnsi="Garamond"/>
          <w:bCs/>
          <w:i/>
          <w:iCs/>
          <w:color w:val="0000FF"/>
          <w:sz w:val="44"/>
        </w:rPr>
        <w:t>ABELLE</w:t>
      </w:r>
      <w:bookmarkEnd w:id="87"/>
      <w:bookmarkEnd w:id="88"/>
      <w:bookmarkEnd w:id="140"/>
      <w:bookmarkEnd w:id="141"/>
      <w:bookmarkEnd w:id="142"/>
    </w:p>
    <w:p w:rsidR="007140F2" w:rsidRDefault="007140F2"/>
    <w:p w:rsidR="007140F2" w:rsidRDefault="007140F2">
      <w:pPr>
        <w:sectPr w:rsidR="007140F2">
          <w:headerReference w:type="first" r:id="rId24"/>
          <w:footerReference w:type="first" r:id="rId25"/>
          <w:type w:val="oddPage"/>
          <w:pgSz w:w="11906" w:h="16838" w:code="9"/>
          <w:pgMar w:top="1985" w:right="1985" w:bottom="1985" w:left="1985" w:header="1134" w:footer="1134" w:gutter="0"/>
          <w:cols w:sep="1" w:space="284"/>
          <w:titlePg/>
        </w:sectPr>
      </w:pPr>
    </w:p>
    <w:p w:rsidR="0090172B" w:rsidRPr="0090172B" w:rsidRDefault="0090172B" w:rsidP="0090172B">
      <w:pPr>
        <w:pStyle w:val="Titolo2"/>
        <w:rPr>
          <w:rFonts w:ascii="Garamond" w:hAnsi="Garamond"/>
          <w:i/>
          <w:color w:val="0000FF"/>
          <w:sz w:val="32"/>
          <w:szCs w:val="32"/>
        </w:rPr>
      </w:pPr>
      <w:bookmarkStart w:id="143" w:name="_TAB._1_“RILIEVI"/>
      <w:bookmarkStart w:id="144" w:name="Tab01"/>
      <w:bookmarkStart w:id="145" w:name="_Toc439082257"/>
      <w:bookmarkStart w:id="146" w:name="_Toc439953673"/>
      <w:bookmarkStart w:id="147" w:name="_Toc440030387"/>
      <w:bookmarkEnd w:id="143"/>
      <w:r w:rsidRPr="0090172B">
        <w:rPr>
          <w:rFonts w:ascii="Garamond" w:hAnsi="Garamond"/>
          <w:color w:val="0000FF"/>
          <w:sz w:val="32"/>
          <w:szCs w:val="32"/>
        </w:rPr>
        <w:lastRenderedPageBreak/>
        <w:t>TAB. 1 “RILIEVI NEL PARERE</w:t>
      </w:r>
      <w:bookmarkEnd w:id="144"/>
      <w:r w:rsidRPr="0090172B">
        <w:rPr>
          <w:rFonts w:ascii="Garamond" w:hAnsi="Garamond"/>
          <w:color w:val="0000FF"/>
          <w:sz w:val="32"/>
          <w:szCs w:val="32"/>
        </w:rPr>
        <w:t>”</w:t>
      </w:r>
      <w:bookmarkEnd w:id="145"/>
      <w:bookmarkEnd w:id="146"/>
      <w:bookmarkEnd w:id="147"/>
    </w:p>
    <w:p w:rsidR="00332C22" w:rsidRDefault="00332C22" w:rsidP="00BF7BFE"/>
    <w:tbl>
      <w:tblPr>
        <w:tblW w:w="9045"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780"/>
        <w:gridCol w:w="961"/>
        <w:gridCol w:w="961"/>
        <w:gridCol w:w="961"/>
        <w:gridCol w:w="2461"/>
        <w:gridCol w:w="961"/>
      </w:tblGrid>
      <w:tr w:rsidR="00332C22" w:rsidRPr="00F9033E" w:rsidTr="00BF7BFE">
        <w:trPr>
          <w:trHeight w:val="702"/>
          <w:tblHeader/>
          <w:jc w:val="center"/>
        </w:trPr>
        <w:tc>
          <w:tcPr>
            <w:tcW w:w="9040" w:type="dxa"/>
            <w:gridSpan w:val="7"/>
            <w:shd w:val="clear" w:color="auto" w:fill="FFFF99"/>
            <w:vAlign w:val="center"/>
            <w:hideMark/>
          </w:tcPr>
          <w:p w:rsidR="00332C22" w:rsidRPr="00F9033E" w:rsidRDefault="00332C22" w:rsidP="00BF7BFE">
            <w:pPr>
              <w:spacing w:line="240" w:lineRule="auto"/>
              <w:ind w:firstLine="0"/>
              <w:jc w:val="center"/>
              <w:rPr>
                <w:rFonts w:ascii="Garamond" w:hAnsi="Garamond" w:cs="Arial"/>
                <w:b/>
                <w:bCs/>
                <w:color w:val="000099"/>
                <w:sz w:val="32"/>
                <w:szCs w:val="32"/>
              </w:rPr>
            </w:pPr>
            <w:r w:rsidRPr="00F9033E">
              <w:rPr>
                <w:rFonts w:ascii="Garamond" w:hAnsi="Garamond" w:cs="Arial"/>
                <w:b/>
                <w:bCs/>
                <w:color w:val="000099"/>
                <w:sz w:val="32"/>
                <w:szCs w:val="32"/>
              </w:rPr>
              <w:t>RILIEVI NEL PARERE</w:t>
            </w:r>
          </w:p>
        </w:tc>
      </w:tr>
      <w:tr w:rsidR="00332C22" w:rsidRPr="00F9033E" w:rsidTr="00BF7BFE">
        <w:trPr>
          <w:trHeight w:val="702"/>
          <w:tblHeader/>
          <w:jc w:val="center"/>
        </w:trPr>
        <w:tc>
          <w:tcPr>
            <w:tcW w:w="960" w:type="dxa"/>
            <w:shd w:val="clear" w:color="auto" w:fill="FFFF99"/>
            <w:vAlign w:val="center"/>
            <w:hideMark/>
          </w:tcPr>
          <w:p w:rsidR="00332C22" w:rsidRPr="00F9033E" w:rsidRDefault="00332C22" w:rsidP="00BF7BFE">
            <w:pPr>
              <w:spacing w:line="240" w:lineRule="auto"/>
              <w:ind w:firstLine="0"/>
              <w:jc w:val="center"/>
              <w:rPr>
                <w:rFonts w:ascii="Garamond" w:hAnsi="Garamond" w:cs="Arial"/>
                <w:b/>
                <w:bCs/>
                <w:color w:val="000099"/>
                <w:sz w:val="24"/>
                <w:szCs w:val="24"/>
              </w:rPr>
            </w:pPr>
            <w:r w:rsidRPr="00F9033E">
              <w:rPr>
                <w:rFonts w:ascii="Garamond" w:hAnsi="Garamond" w:cs="Arial"/>
                <w:b/>
                <w:bCs/>
                <w:color w:val="000099"/>
                <w:sz w:val="24"/>
                <w:szCs w:val="24"/>
              </w:rPr>
              <w:t>AC</w:t>
            </w:r>
          </w:p>
        </w:tc>
        <w:tc>
          <w:tcPr>
            <w:tcW w:w="1780" w:type="dxa"/>
            <w:shd w:val="clear" w:color="auto" w:fill="FFFF99"/>
            <w:vAlign w:val="center"/>
            <w:hideMark/>
          </w:tcPr>
          <w:p w:rsidR="00332C22" w:rsidRPr="00F9033E" w:rsidRDefault="00332C22" w:rsidP="00BF7BFE">
            <w:pPr>
              <w:spacing w:line="240" w:lineRule="auto"/>
              <w:ind w:firstLine="0"/>
              <w:jc w:val="center"/>
              <w:rPr>
                <w:rFonts w:ascii="Garamond" w:hAnsi="Garamond" w:cs="Arial"/>
                <w:b/>
                <w:bCs/>
                <w:color w:val="000099"/>
                <w:sz w:val="24"/>
                <w:szCs w:val="24"/>
              </w:rPr>
            </w:pPr>
            <w:r w:rsidRPr="00F9033E">
              <w:rPr>
                <w:rFonts w:ascii="Garamond" w:hAnsi="Garamond" w:cs="Arial"/>
                <w:b/>
                <w:bCs/>
                <w:color w:val="000099"/>
                <w:sz w:val="24"/>
                <w:szCs w:val="24"/>
              </w:rPr>
              <w:t>Forma Atto</w:t>
            </w:r>
          </w:p>
        </w:tc>
        <w:tc>
          <w:tcPr>
            <w:tcW w:w="960" w:type="dxa"/>
            <w:shd w:val="clear" w:color="auto" w:fill="FFFF99"/>
            <w:vAlign w:val="center"/>
            <w:hideMark/>
          </w:tcPr>
          <w:p w:rsidR="00332C22" w:rsidRPr="00F9033E" w:rsidRDefault="00332C22" w:rsidP="00BF7BFE">
            <w:pPr>
              <w:spacing w:line="240" w:lineRule="auto"/>
              <w:ind w:firstLine="0"/>
              <w:jc w:val="left"/>
              <w:rPr>
                <w:rFonts w:ascii="Garamond" w:hAnsi="Garamond" w:cs="Arial"/>
                <w:b/>
                <w:bCs/>
                <w:color w:val="000099"/>
                <w:sz w:val="24"/>
                <w:szCs w:val="24"/>
              </w:rPr>
            </w:pPr>
            <w:r w:rsidRPr="00F9033E">
              <w:rPr>
                <w:rFonts w:ascii="Garamond" w:hAnsi="Garamond" w:cs="Arial"/>
                <w:b/>
                <w:bCs/>
                <w:color w:val="000099"/>
                <w:sz w:val="24"/>
                <w:szCs w:val="24"/>
              </w:rPr>
              <w:t>Oss.</w:t>
            </w:r>
          </w:p>
        </w:tc>
        <w:tc>
          <w:tcPr>
            <w:tcW w:w="960" w:type="dxa"/>
            <w:shd w:val="clear" w:color="auto" w:fill="FFFF99"/>
            <w:vAlign w:val="center"/>
            <w:hideMark/>
          </w:tcPr>
          <w:p w:rsidR="00332C22" w:rsidRPr="00F9033E" w:rsidRDefault="00332C22" w:rsidP="00BF7BFE">
            <w:pPr>
              <w:spacing w:line="240" w:lineRule="auto"/>
              <w:ind w:firstLine="0"/>
              <w:jc w:val="left"/>
              <w:rPr>
                <w:rFonts w:ascii="Garamond" w:hAnsi="Garamond" w:cs="Arial"/>
                <w:b/>
                <w:bCs/>
                <w:color w:val="000099"/>
                <w:sz w:val="24"/>
                <w:szCs w:val="24"/>
              </w:rPr>
            </w:pPr>
            <w:r w:rsidRPr="00F9033E">
              <w:rPr>
                <w:rFonts w:ascii="Garamond" w:hAnsi="Garamond" w:cs="Arial"/>
                <w:b/>
                <w:bCs/>
                <w:color w:val="000099"/>
                <w:sz w:val="24"/>
                <w:szCs w:val="24"/>
              </w:rPr>
              <w:t>Cond.</w:t>
            </w:r>
          </w:p>
        </w:tc>
        <w:tc>
          <w:tcPr>
            <w:tcW w:w="960" w:type="dxa"/>
            <w:shd w:val="clear" w:color="auto" w:fill="FFFF99"/>
            <w:vAlign w:val="center"/>
            <w:hideMark/>
          </w:tcPr>
          <w:p w:rsidR="00332C22" w:rsidRPr="00F9033E" w:rsidRDefault="00332C22" w:rsidP="00BF7BFE">
            <w:pPr>
              <w:spacing w:line="240" w:lineRule="auto"/>
              <w:ind w:firstLine="0"/>
              <w:jc w:val="left"/>
              <w:rPr>
                <w:rFonts w:ascii="Garamond" w:hAnsi="Garamond" w:cs="Arial"/>
                <w:b/>
                <w:bCs/>
                <w:color w:val="000099"/>
                <w:sz w:val="24"/>
                <w:szCs w:val="24"/>
              </w:rPr>
            </w:pPr>
            <w:r w:rsidRPr="00F9033E">
              <w:rPr>
                <w:rFonts w:ascii="Garamond" w:hAnsi="Garamond" w:cs="Arial"/>
                <w:b/>
                <w:bCs/>
                <w:color w:val="000099"/>
                <w:sz w:val="24"/>
                <w:szCs w:val="24"/>
              </w:rPr>
              <w:t>Racc.</w:t>
            </w:r>
          </w:p>
        </w:tc>
        <w:tc>
          <w:tcPr>
            <w:tcW w:w="2460" w:type="dxa"/>
            <w:shd w:val="clear" w:color="auto" w:fill="FFFF99"/>
            <w:vAlign w:val="center"/>
            <w:hideMark/>
          </w:tcPr>
          <w:p w:rsidR="00332C22" w:rsidRPr="00F9033E" w:rsidRDefault="00332C22" w:rsidP="00BF7BFE">
            <w:pPr>
              <w:spacing w:line="240" w:lineRule="auto"/>
              <w:ind w:firstLine="0"/>
              <w:jc w:val="center"/>
              <w:rPr>
                <w:rFonts w:ascii="Garamond" w:hAnsi="Garamond" w:cs="Arial"/>
                <w:b/>
                <w:bCs/>
                <w:color w:val="000099"/>
                <w:sz w:val="24"/>
                <w:szCs w:val="24"/>
              </w:rPr>
            </w:pPr>
            <w:r w:rsidRPr="00F9033E">
              <w:rPr>
                <w:rFonts w:ascii="Garamond" w:hAnsi="Garamond" w:cs="Arial"/>
                <w:b/>
                <w:bCs/>
                <w:color w:val="000099"/>
                <w:sz w:val="24"/>
                <w:szCs w:val="24"/>
              </w:rPr>
              <w:t>Note</w:t>
            </w:r>
          </w:p>
        </w:tc>
        <w:tc>
          <w:tcPr>
            <w:tcW w:w="960" w:type="dxa"/>
            <w:shd w:val="clear" w:color="auto" w:fill="FFFF99"/>
            <w:vAlign w:val="center"/>
            <w:hideMark/>
          </w:tcPr>
          <w:p w:rsidR="00332C22" w:rsidRPr="00F9033E" w:rsidRDefault="00332C22" w:rsidP="00BF7BFE">
            <w:pPr>
              <w:spacing w:line="240" w:lineRule="auto"/>
              <w:ind w:firstLine="0"/>
              <w:jc w:val="left"/>
              <w:rPr>
                <w:rFonts w:ascii="Garamond" w:hAnsi="Garamond" w:cs="Arial"/>
                <w:b/>
                <w:bCs/>
                <w:color w:val="000099"/>
                <w:sz w:val="24"/>
                <w:szCs w:val="24"/>
              </w:rPr>
            </w:pPr>
            <w:r w:rsidRPr="00F9033E">
              <w:rPr>
                <w:rFonts w:ascii="Garamond" w:hAnsi="Garamond" w:cs="Arial"/>
                <w:b/>
                <w:bCs/>
                <w:color w:val="000099"/>
                <w:sz w:val="24"/>
                <w:szCs w:val="24"/>
              </w:rPr>
              <w:t>Scheda</w:t>
            </w:r>
          </w:p>
        </w:tc>
      </w:tr>
      <w:tr w:rsidR="00332C22" w:rsidRPr="00F9033E" w:rsidTr="00BF7BFE">
        <w:trPr>
          <w:trHeight w:val="600"/>
          <w:jc w:val="center"/>
        </w:trPr>
        <w:tc>
          <w:tcPr>
            <w:tcW w:w="960" w:type="dxa"/>
            <w:shd w:val="clear" w:color="auto"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26" w:anchor="data.20150115.com" w:history="1">
              <w:r w:rsidR="00332C22" w:rsidRPr="00F9033E">
                <w:rPr>
                  <w:rFonts w:ascii="Calibri" w:hAnsi="Calibri" w:cs="Arial"/>
                  <w:b/>
                  <w:bCs/>
                  <w:color w:val="0000FF"/>
                  <w:sz w:val="24"/>
                  <w:szCs w:val="24"/>
                  <w:u w:val="single"/>
                </w:rPr>
                <w:t>2803</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rPr>
            </w:pPr>
            <w:r w:rsidRPr="00F9033E">
              <w:rPr>
                <w:rFonts w:ascii="Calibri" w:hAnsi="Calibri" w:cs="Arial"/>
                <w:b/>
                <w:bCs/>
              </w:rPr>
              <w:t>DL 2014/192</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4 Condizioni, 5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27" w:history="1">
              <w:r w:rsidR="00332C22" w:rsidRPr="00F9033E">
                <w:rPr>
                  <w:rFonts w:ascii="Calibri" w:hAnsi="Calibri" w:cs="Arial"/>
                  <w:b/>
                  <w:bCs/>
                  <w:color w:val="0000FF"/>
                  <w:sz w:val="24"/>
                  <w:szCs w:val="24"/>
                  <w:u w:val="single"/>
                </w:rPr>
                <w:t>0001</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28" w:anchor="data.20150210.com" w:history="1">
              <w:r w:rsidR="00332C22" w:rsidRPr="00F9033E">
                <w:rPr>
                  <w:rFonts w:ascii="Calibri" w:hAnsi="Calibri" w:cs="Arial"/>
                  <w:b/>
                  <w:bCs/>
                  <w:color w:val="0000FF"/>
                  <w:sz w:val="24"/>
                  <w:szCs w:val="24"/>
                  <w:u w:val="single"/>
                </w:rPr>
                <w:t>2844</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rPr>
            </w:pPr>
            <w:r w:rsidRPr="00F9033E">
              <w:rPr>
                <w:rFonts w:ascii="Calibri" w:hAnsi="Calibri" w:cs="Arial"/>
                <w:b/>
                <w:bCs/>
              </w:rPr>
              <w:t>DL 2015/003</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4 Condizioni, 9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29" w:history="1">
              <w:r w:rsidR="00332C22" w:rsidRPr="00F9033E">
                <w:rPr>
                  <w:rFonts w:ascii="Calibri" w:hAnsi="Calibri" w:cs="Arial"/>
                  <w:b/>
                  <w:bCs/>
                  <w:color w:val="0000FF"/>
                  <w:sz w:val="24"/>
                  <w:szCs w:val="24"/>
                  <w:u w:val="single"/>
                </w:rPr>
                <w:t>0002</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30" w:anchor="data.20150224.com" w:history="1">
              <w:r w:rsidR="00332C22" w:rsidRPr="00F9033E">
                <w:rPr>
                  <w:rFonts w:ascii="Calibri" w:hAnsi="Calibri" w:cs="Arial"/>
                  <w:b/>
                  <w:bCs/>
                  <w:color w:val="0000FF"/>
                  <w:sz w:val="24"/>
                  <w:szCs w:val="24"/>
                  <w:u w:val="single"/>
                </w:rPr>
                <w:t>2894</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rPr>
            </w:pPr>
            <w:r w:rsidRPr="00F9033E">
              <w:rPr>
                <w:rFonts w:ascii="Calibri" w:hAnsi="Calibri" w:cs="Arial"/>
                <w:b/>
                <w:bCs/>
              </w:rPr>
              <w:t>DL 2015/001</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1 Condizione, 4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31" w:history="1">
              <w:r w:rsidR="00332C22" w:rsidRPr="00F9033E">
                <w:rPr>
                  <w:rFonts w:ascii="Calibri" w:hAnsi="Calibri" w:cs="Arial"/>
                  <w:b/>
                  <w:bCs/>
                  <w:color w:val="0000FF"/>
                  <w:sz w:val="24"/>
                  <w:szCs w:val="24"/>
                  <w:u w:val="single"/>
                </w:rPr>
                <w:t>0003</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32" w:anchor="data.20150227.com" w:history="1">
              <w:r w:rsidR="00332C22" w:rsidRPr="00F9033E">
                <w:rPr>
                  <w:rFonts w:ascii="Calibri" w:hAnsi="Calibri" w:cs="Arial"/>
                  <w:b/>
                  <w:bCs/>
                  <w:color w:val="0000FF"/>
                  <w:sz w:val="24"/>
                  <w:szCs w:val="24"/>
                  <w:u w:val="single"/>
                </w:rPr>
                <w:t>2893</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rPr>
            </w:pPr>
            <w:r w:rsidRPr="00F9033E">
              <w:rPr>
                <w:rFonts w:ascii="Calibri" w:hAnsi="Calibri" w:cs="Arial"/>
                <w:b/>
                <w:bCs/>
              </w:rPr>
              <w:t>DL 2015/007</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2 Condizioni, 2 Osservazioni, 1 Raccomandazione</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33" w:history="1">
              <w:r w:rsidR="00332C22" w:rsidRPr="00F9033E">
                <w:rPr>
                  <w:rFonts w:ascii="Calibri" w:hAnsi="Calibri" w:cs="Arial"/>
                  <w:b/>
                  <w:bCs/>
                  <w:color w:val="0000FF"/>
                  <w:sz w:val="24"/>
                  <w:szCs w:val="24"/>
                  <w:u w:val="single"/>
                </w:rPr>
                <w:t>0004</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34" w:anchor="data.20150304.com" w:history="1">
              <w:r w:rsidR="00332C22" w:rsidRPr="00F9033E">
                <w:rPr>
                  <w:rFonts w:ascii="Calibri" w:hAnsi="Calibri" w:cs="Arial"/>
                  <w:b/>
                  <w:bCs/>
                  <w:color w:val="0000FF"/>
                  <w:sz w:val="24"/>
                  <w:szCs w:val="24"/>
                  <w:u w:val="single"/>
                </w:rPr>
                <w:t>2915</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rPr>
            </w:pPr>
            <w:r w:rsidRPr="00F9033E">
              <w:rPr>
                <w:rFonts w:ascii="Calibri" w:hAnsi="Calibri" w:cs="Arial"/>
                <w:b/>
                <w:bCs/>
              </w:rPr>
              <w:t>DL 2015/004</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3 Condizioni, 4 Osservazioni, 1 Raccomandazione</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35" w:history="1">
              <w:r w:rsidR="00332C22" w:rsidRPr="00F9033E">
                <w:rPr>
                  <w:rFonts w:ascii="Calibri" w:hAnsi="Calibri" w:cs="Arial"/>
                  <w:b/>
                  <w:bCs/>
                  <w:color w:val="0000FF"/>
                  <w:sz w:val="24"/>
                  <w:szCs w:val="24"/>
                  <w:u w:val="single"/>
                </w:rPr>
                <w:t>0005</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36" w:anchor="data.20150422.com" w:history="1">
              <w:r w:rsidR="00332C22" w:rsidRPr="00F9033E">
                <w:rPr>
                  <w:rFonts w:ascii="Calibri" w:hAnsi="Calibri" w:cs="Arial"/>
                  <w:b/>
                  <w:bCs/>
                  <w:color w:val="0000FF"/>
                  <w:sz w:val="24"/>
                  <w:szCs w:val="24"/>
                  <w:u w:val="single"/>
                </w:rPr>
                <w:t>TU 3-bis-B</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rPr>
            </w:pPr>
            <w:r w:rsidRPr="00F9033E">
              <w:rPr>
                <w:rFonts w:ascii="Calibri" w:hAnsi="Calibri" w:cs="Arial"/>
                <w:b/>
                <w:bCs/>
              </w:rPr>
              <w:t>pdl</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1 Condizione, 3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37" w:history="1">
              <w:r w:rsidR="00332C22" w:rsidRPr="00F9033E">
                <w:rPr>
                  <w:rFonts w:ascii="Calibri" w:hAnsi="Calibri" w:cs="Arial"/>
                  <w:b/>
                  <w:bCs/>
                  <w:color w:val="0000FF"/>
                  <w:sz w:val="24"/>
                  <w:szCs w:val="24"/>
                  <w:u w:val="single"/>
                </w:rPr>
                <w:t>0006</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38" w:anchor="data.20150428.com" w:history="1">
              <w:r w:rsidR="00332C22" w:rsidRPr="00F9033E">
                <w:rPr>
                  <w:rFonts w:ascii="Calibri" w:hAnsi="Calibri" w:cs="Arial"/>
                  <w:b/>
                  <w:bCs/>
                  <w:color w:val="0000FF"/>
                  <w:sz w:val="24"/>
                  <w:szCs w:val="24"/>
                  <w:u w:val="single"/>
                </w:rPr>
                <w:t>3059</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rPr>
            </w:pPr>
            <w:r w:rsidRPr="00F9033E">
              <w:rPr>
                <w:rFonts w:ascii="Calibri" w:hAnsi="Calibri" w:cs="Arial"/>
                <w:b/>
                <w:bCs/>
              </w:rPr>
              <w:t>DL 2015/027</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nessun rilievo</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39" w:history="1">
              <w:r w:rsidR="00332C22" w:rsidRPr="00F9033E">
                <w:rPr>
                  <w:rFonts w:ascii="Calibri" w:hAnsi="Calibri" w:cs="Arial"/>
                  <w:b/>
                  <w:bCs/>
                  <w:color w:val="0000FF"/>
                  <w:sz w:val="24"/>
                  <w:szCs w:val="24"/>
                  <w:u w:val="single"/>
                </w:rPr>
                <w:t>0007</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40" w:anchor="data.20150428.com" w:history="1">
              <w:r w:rsidR="00332C22" w:rsidRPr="00F9033E">
                <w:rPr>
                  <w:rFonts w:ascii="Calibri" w:hAnsi="Calibri" w:cs="Arial"/>
                  <w:b/>
                  <w:bCs/>
                  <w:color w:val="0000FF"/>
                  <w:sz w:val="24"/>
                  <w:szCs w:val="24"/>
                  <w:u w:val="single"/>
                </w:rPr>
                <w:t>2722</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rPr>
            </w:pPr>
            <w:r w:rsidRPr="00F9033E">
              <w:rPr>
                <w:rFonts w:ascii="Calibri" w:hAnsi="Calibri" w:cs="Arial"/>
                <w:b/>
                <w:bCs/>
              </w:rPr>
              <w:t>ddl Gov</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1 Condizione, 3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41" w:history="1">
              <w:r w:rsidR="00332C22" w:rsidRPr="00F9033E">
                <w:rPr>
                  <w:rFonts w:ascii="Calibri" w:hAnsi="Calibri" w:cs="Arial"/>
                  <w:b/>
                  <w:bCs/>
                  <w:color w:val="0000FF"/>
                  <w:sz w:val="24"/>
                  <w:szCs w:val="24"/>
                  <w:u w:val="single"/>
                </w:rPr>
                <w:t>0008</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42" w:anchor="data.20150428.com" w:history="1">
              <w:r w:rsidR="00332C22" w:rsidRPr="00F9033E">
                <w:rPr>
                  <w:rFonts w:ascii="Calibri" w:hAnsi="Calibri" w:cs="Arial"/>
                  <w:b/>
                  <w:bCs/>
                  <w:color w:val="0000FF"/>
                  <w:sz w:val="24"/>
                  <w:szCs w:val="24"/>
                  <w:u w:val="single"/>
                </w:rPr>
                <w:t>2994</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rPr>
            </w:pPr>
            <w:r w:rsidRPr="00F9033E">
              <w:rPr>
                <w:rFonts w:ascii="Calibri" w:hAnsi="Calibri" w:cs="Arial"/>
                <w:b/>
                <w:bCs/>
              </w:rPr>
              <w:t>ddl Gov</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10 Condizioni, 19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43" w:history="1">
              <w:r w:rsidR="00332C22" w:rsidRPr="00F9033E">
                <w:rPr>
                  <w:rFonts w:ascii="Calibri" w:hAnsi="Calibri" w:cs="Arial"/>
                  <w:b/>
                  <w:bCs/>
                  <w:color w:val="0000FF"/>
                  <w:sz w:val="24"/>
                  <w:szCs w:val="24"/>
                  <w:u w:val="single"/>
                </w:rPr>
                <w:t>0009</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44" w:anchor="data.20150513.com" w:history="1">
              <w:r w:rsidR="00332C22" w:rsidRPr="00F9033E">
                <w:rPr>
                  <w:rFonts w:ascii="Calibri" w:hAnsi="Calibri" w:cs="Arial"/>
                  <w:b/>
                  <w:bCs/>
                  <w:color w:val="0000FF"/>
                  <w:sz w:val="24"/>
                  <w:szCs w:val="24"/>
                  <w:u w:val="single"/>
                </w:rPr>
                <w:t>3104</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DL 2015/051</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4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45" w:history="1">
              <w:r w:rsidR="00332C22" w:rsidRPr="00F9033E">
                <w:rPr>
                  <w:rFonts w:ascii="Calibri" w:hAnsi="Calibri" w:cs="Arial"/>
                  <w:b/>
                  <w:bCs/>
                  <w:color w:val="0000FF"/>
                  <w:sz w:val="24"/>
                  <w:szCs w:val="24"/>
                  <w:u w:val="single"/>
                </w:rPr>
                <w:t>0010</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46" w:anchor="data.20150604.com" w:history="1">
              <w:r w:rsidR="00332C22" w:rsidRPr="00F9033E">
                <w:rPr>
                  <w:rFonts w:ascii="Calibri" w:hAnsi="Calibri" w:cs="Arial"/>
                  <w:b/>
                  <w:bCs/>
                  <w:color w:val="0000FF"/>
                  <w:sz w:val="24"/>
                  <w:szCs w:val="24"/>
                  <w:u w:val="single"/>
                </w:rPr>
                <w:t>3134</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DL 2015/065</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3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47" w:history="1">
              <w:r w:rsidR="00332C22" w:rsidRPr="00F9033E">
                <w:rPr>
                  <w:rFonts w:ascii="Calibri" w:hAnsi="Calibri" w:cs="Arial"/>
                  <w:b/>
                  <w:bCs/>
                  <w:color w:val="0000FF"/>
                  <w:sz w:val="24"/>
                  <w:szCs w:val="24"/>
                  <w:u w:val="single"/>
                </w:rPr>
                <w:t>0011</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48" w:anchor="data.20150611.com" w:history="1">
              <w:r w:rsidR="00332C22" w:rsidRPr="00F9033E">
                <w:rPr>
                  <w:rFonts w:ascii="Calibri" w:hAnsi="Calibri" w:cs="Arial"/>
                  <w:b/>
                  <w:bCs/>
                  <w:color w:val="0000FF"/>
                  <w:sz w:val="24"/>
                  <w:szCs w:val="24"/>
                  <w:u w:val="single"/>
                </w:rPr>
                <w:t>3098</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ddl Gov</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6 Condizioni, 5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49" w:history="1">
              <w:r w:rsidR="00332C22" w:rsidRPr="00F9033E">
                <w:rPr>
                  <w:rFonts w:ascii="Calibri" w:hAnsi="Calibri" w:cs="Arial"/>
                  <w:b/>
                  <w:bCs/>
                  <w:color w:val="0000FF"/>
                  <w:sz w:val="24"/>
                  <w:szCs w:val="24"/>
                  <w:u w:val="single"/>
                </w:rPr>
                <w:t>0012</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50" w:anchor="data.20150611.com" w:history="1">
              <w:r w:rsidR="00332C22" w:rsidRPr="00F9033E">
                <w:rPr>
                  <w:rFonts w:ascii="Calibri" w:hAnsi="Calibri" w:cs="Arial"/>
                  <w:b/>
                  <w:bCs/>
                  <w:color w:val="0000FF"/>
                  <w:sz w:val="24"/>
                  <w:szCs w:val="24"/>
                  <w:u w:val="single"/>
                </w:rPr>
                <w:t>3123</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ddl Gov</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2 Condizioni, 1 Osservazione</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51" w:history="1">
              <w:r w:rsidR="00332C22" w:rsidRPr="00F9033E">
                <w:rPr>
                  <w:rFonts w:ascii="Calibri" w:hAnsi="Calibri" w:cs="Arial"/>
                  <w:b/>
                  <w:bCs/>
                  <w:color w:val="0000FF"/>
                  <w:sz w:val="24"/>
                  <w:szCs w:val="24"/>
                  <w:u w:val="single"/>
                </w:rPr>
                <w:t>0013</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52" w:anchor="data.20150702.com" w:history="1">
              <w:r w:rsidR="00332C22" w:rsidRPr="00F9033E">
                <w:rPr>
                  <w:rFonts w:ascii="Calibri" w:hAnsi="Calibri" w:cs="Arial"/>
                  <w:b/>
                  <w:bCs/>
                  <w:color w:val="0000FF"/>
                  <w:sz w:val="24"/>
                  <w:szCs w:val="24"/>
                  <w:u w:val="single"/>
                </w:rPr>
                <w:t>2798</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ddl Gov</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5 Condizioni, 3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53" w:history="1">
              <w:r w:rsidR="00332C22" w:rsidRPr="00F9033E">
                <w:rPr>
                  <w:rFonts w:ascii="Calibri" w:hAnsi="Calibri" w:cs="Arial"/>
                  <w:b/>
                  <w:bCs/>
                  <w:color w:val="0000FF"/>
                  <w:sz w:val="24"/>
                  <w:szCs w:val="24"/>
                  <w:u w:val="single"/>
                </w:rPr>
                <w:t>0014</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54" w:anchor="data.20150702.com" w:history="1">
              <w:r w:rsidR="00332C22" w:rsidRPr="00F9033E">
                <w:rPr>
                  <w:rFonts w:ascii="Calibri" w:hAnsi="Calibri" w:cs="Arial"/>
                  <w:b/>
                  <w:bCs/>
                  <w:color w:val="0000FF"/>
                  <w:sz w:val="24"/>
                  <w:szCs w:val="24"/>
                  <w:u w:val="single"/>
                </w:rPr>
                <w:t>2994-B</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ddl Gov</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3 Osservazioni, 1 Raccomandazione</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55" w:history="1">
              <w:r w:rsidR="00332C22" w:rsidRPr="00F9033E">
                <w:rPr>
                  <w:rFonts w:ascii="Calibri" w:hAnsi="Calibri" w:cs="Arial"/>
                  <w:b/>
                  <w:bCs/>
                  <w:color w:val="0000FF"/>
                  <w:sz w:val="24"/>
                  <w:szCs w:val="24"/>
                  <w:u w:val="single"/>
                </w:rPr>
                <w:t>0015</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66783F">
            <w:pPr>
              <w:spacing w:line="240" w:lineRule="auto"/>
              <w:ind w:firstLine="0"/>
              <w:jc w:val="center"/>
              <w:rPr>
                <w:rFonts w:ascii="Calibri" w:hAnsi="Calibri" w:cs="Arial"/>
                <w:b/>
                <w:bCs/>
                <w:color w:val="0000FF"/>
                <w:sz w:val="24"/>
                <w:szCs w:val="24"/>
                <w:u w:val="single"/>
              </w:rPr>
            </w:pPr>
            <w:hyperlink r:id="rId56" w:anchor="data.20150708.com" w:history="1">
              <w:r w:rsidR="00332C22" w:rsidRPr="00F9033E">
                <w:rPr>
                  <w:rFonts w:ascii="Calibri" w:hAnsi="Calibri" w:cs="Arial"/>
                  <w:b/>
                  <w:bCs/>
                  <w:color w:val="0000FF"/>
                  <w:sz w:val="24"/>
                  <w:szCs w:val="24"/>
                  <w:u w:val="single"/>
                </w:rPr>
                <w:t>3</w:t>
              </w:r>
              <w:r w:rsidR="0066783F">
                <w:rPr>
                  <w:rFonts w:ascii="Calibri" w:hAnsi="Calibri" w:cs="Arial"/>
                  <w:b/>
                  <w:bCs/>
                  <w:color w:val="0000FF"/>
                  <w:sz w:val="24"/>
                  <w:szCs w:val="24"/>
                  <w:u w:val="single"/>
                </w:rPr>
                <w:t>201</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DL 2015/083</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5 Condizioni, 5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57" w:history="1">
              <w:r w:rsidR="00332C22" w:rsidRPr="00F9033E">
                <w:rPr>
                  <w:rFonts w:ascii="Calibri" w:hAnsi="Calibri" w:cs="Arial"/>
                  <w:b/>
                  <w:bCs/>
                  <w:color w:val="0000FF"/>
                  <w:sz w:val="24"/>
                  <w:szCs w:val="24"/>
                  <w:u w:val="single"/>
                </w:rPr>
                <w:t>0016</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58" w:anchor="data.20150715.com" w:history="1">
              <w:r w:rsidR="00332C22" w:rsidRPr="00F9033E">
                <w:rPr>
                  <w:rFonts w:ascii="Calibri" w:hAnsi="Calibri" w:cs="Arial"/>
                  <w:b/>
                  <w:bCs/>
                  <w:color w:val="0000FF"/>
                  <w:sz w:val="24"/>
                  <w:szCs w:val="24"/>
                  <w:u w:val="single"/>
                </w:rPr>
                <w:t>3210</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DL 2015/092</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1 Condizione, 1 Osservazione</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59" w:history="1">
              <w:r w:rsidR="00332C22" w:rsidRPr="00F9033E">
                <w:rPr>
                  <w:rFonts w:ascii="Calibri" w:hAnsi="Calibri" w:cs="Arial"/>
                  <w:b/>
                  <w:bCs/>
                  <w:color w:val="0000FF"/>
                  <w:sz w:val="24"/>
                  <w:szCs w:val="24"/>
                  <w:u w:val="single"/>
                </w:rPr>
                <w:t>0017</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60" w:anchor="data.20150715.com" w:history="1">
              <w:r w:rsidR="00332C22" w:rsidRPr="00F9033E">
                <w:rPr>
                  <w:rFonts w:ascii="Calibri" w:hAnsi="Calibri" w:cs="Arial"/>
                  <w:b/>
                  <w:bCs/>
                  <w:color w:val="0000FF"/>
                  <w:sz w:val="24"/>
                  <w:szCs w:val="24"/>
                  <w:u w:val="single"/>
                </w:rPr>
                <w:t>TU 2607</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pdl</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2 Condizioni, 2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61" w:history="1">
              <w:r w:rsidR="00332C22" w:rsidRPr="00F9033E">
                <w:rPr>
                  <w:rFonts w:ascii="Calibri" w:hAnsi="Calibri" w:cs="Arial"/>
                  <w:b/>
                  <w:bCs/>
                  <w:color w:val="0000FF"/>
                  <w:sz w:val="24"/>
                  <w:szCs w:val="24"/>
                  <w:u w:val="single"/>
                </w:rPr>
                <w:t>0018</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62" w:anchor="data.20150729.com" w:history="1">
              <w:r w:rsidR="00332C22" w:rsidRPr="00F9033E">
                <w:rPr>
                  <w:rFonts w:ascii="Calibri" w:hAnsi="Calibri" w:cs="Arial"/>
                  <w:b/>
                  <w:bCs/>
                  <w:color w:val="0000FF"/>
                  <w:sz w:val="24"/>
                  <w:szCs w:val="24"/>
                  <w:u w:val="single"/>
                </w:rPr>
                <w:t>3249</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DL 2015/099</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nessun rilievo</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63" w:history="1">
              <w:r w:rsidR="00332C22" w:rsidRPr="00F9033E">
                <w:rPr>
                  <w:rFonts w:ascii="Calibri" w:hAnsi="Calibri" w:cs="Arial"/>
                  <w:b/>
                  <w:bCs/>
                  <w:color w:val="0000FF"/>
                  <w:sz w:val="24"/>
                  <w:szCs w:val="24"/>
                  <w:u w:val="single"/>
                </w:rPr>
                <w:t>0019</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64" w:anchor="data.20150730.com" w:history="1">
              <w:r w:rsidR="00332C22" w:rsidRPr="00F9033E">
                <w:rPr>
                  <w:rFonts w:ascii="Calibri" w:hAnsi="Calibri" w:cs="Arial"/>
                  <w:b/>
                  <w:bCs/>
                  <w:color w:val="0000FF"/>
                  <w:sz w:val="24"/>
                  <w:szCs w:val="24"/>
                  <w:u w:val="single"/>
                </w:rPr>
                <w:t>3262</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DL 2015/078</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3 Condizioni, 5 Osservazioni, 1 Raccomandazione</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65" w:history="1">
              <w:r w:rsidR="00332C22" w:rsidRPr="00F9033E">
                <w:rPr>
                  <w:rFonts w:ascii="Calibri" w:hAnsi="Calibri" w:cs="Arial"/>
                  <w:b/>
                  <w:bCs/>
                  <w:color w:val="0000FF"/>
                  <w:sz w:val="24"/>
                  <w:szCs w:val="24"/>
                  <w:u w:val="single"/>
                </w:rPr>
                <w:t>0020</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66" w:anchor="data.20150730.com" w:history="1">
              <w:r w:rsidR="00332C22" w:rsidRPr="00F9033E">
                <w:rPr>
                  <w:rFonts w:ascii="Calibri" w:hAnsi="Calibri" w:cs="Arial"/>
                  <w:b/>
                  <w:bCs/>
                  <w:color w:val="0000FF"/>
                  <w:sz w:val="24"/>
                  <w:szCs w:val="24"/>
                  <w:u w:val="single"/>
                </w:rPr>
                <w:t>3194</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ddl Gov</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4 Condizioni, 8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67" w:history="1">
              <w:r w:rsidR="00332C22" w:rsidRPr="00F9033E">
                <w:rPr>
                  <w:rFonts w:ascii="Calibri" w:hAnsi="Calibri" w:cs="Arial"/>
                  <w:b/>
                  <w:bCs/>
                  <w:color w:val="0000FF"/>
                  <w:sz w:val="24"/>
                  <w:szCs w:val="24"/>
                  <w:u w:val="single"/>
                </w:rPr>
                <w:t>0021</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68" w:anchor="data.20150930.com" w:history="1">
              <w:r w:rsidR="00332C22" w:rsidRPr="00F9033E">
                <w:rPr>
                  <w:rFonts w:ascii="Calibri" w:hAnsi="Calibri" w:cs="Arial"/>
                  <w:b/>
                  <w:bCs/>
                  <w:color w:val="0000FF"/>
                  <w:sz w:val="24"/>
                  <w:szCs w:val="24"/>
                  <w:u w:val="single"/>
                </w:rPr>
                <w:t>3315</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DL 2015/146</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1 Condizione, 1 Osservazione</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69" w:history="1">
              <w:r w:rsidR="00332C22" w:rsidRPr="00F9033E">
                <w:rPr>
                  <w:rFonts w:ascii="Calibri" w:hAnsi="Calibri" w:cs="Arial"/>
                  <w:b/>
                  <w:bCs/>
                  <w:color w:val="0000FF"/>
                  <w:sz w:val="24"/>
                  <w:szCs w:val="24"/>
                  <w:u w:val="single"/>
                </w:rPr>
                <w:t>0022</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70" w:anchor="data.20150930.com" w:history="1">
              <w:r w:rsidR="00332C22" w:rsidRPr="00F9033E">
                <w:rPr>
                  <w:rFonts w:ascii="Calibri" w:hAnsi="Calibri" w:cs="Arial"/>
                  <w:b/>
                  <w:bCs/>
                  <w:color w:val="0000FF"/>
                  <w:sz w:val="24"/>
                  <w:szCs w:val="24"/>
                  <w:u w:val="single"/>
                </w:rPr>
                <w:t>3272</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ddl Gov</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2 Condizioni, 1 Osservazione</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71" w:history="1">
              <w:r w:rsidR="00332C22" w:rsidRPr="00F9033E">
                <w:rPr>
                  <w:rFonts w:ascii="Calibri" w:hAnsi="Calibri" w:cs="Arial"/>
                  <w:b/>
                  <w:bCs/>
                  <w:color w:val="0000FF"/>
                  <w:sz w:val="24"/>
                  <w:szCs w:val="24"/>
                  <w:u w:val="single"/>
                </w:rPr>
                <w:t>0023</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72" w:anchor="data.20151007.com" w:history="1">
              <w:r w:rsidR="00332C22" w:rsidRPr="00F9033E">
                <w:rPr>
                  <w:rFonts w:ascii="Calibri" w:hAnsi="Calibri" w:cs="Arial"/>
                  <w:b/>
                  <w:bCs/>
                  <w:color w:val="0000FF"/>
                  <w:sz w:val="24"/>
                  <w:szCs w:val="24"/>
                  <w:u w:val="single"/>
                </w:rPr>
                <w:t>3340</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DL 2015/154</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nessun rilievo</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73" w:history="1">
              <w:r w:rsidR="00332C22" w:rsidRPr="00F9033E">
                <w:rPr>
                  <w:rFonts w:ascii="Calibri" w:hAnsi="Calibri" w:cs="Arial"/>
                  <w:b/>
                  <w:bCs/>
                  <w:color w:val="0000FF"/>
                  <w:sz w:val="24"/>
                  <w:szCs w:val="24"/>
                  <w:u w:val="single"/>
                </w:rPr>
                <w:t>0024</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74" w:anchor="data.20151104.com" w:history="1">
              <w:r w:rsidR="00332C22" w:rsidRPr="00F9033E">
                <w:rPr>
                  <w:rFonts w:ascii="Calibri" w:hAnsi="Calibri" w:cs="Arial"/>
                  <w:b/>
                  <w:bCs/>
                  <w:color w:val="0000FF"/>
                  <w:sz w:val="24"/>
                  <w:szCs w:val="24"/>
                  <w:u w:val="single"/>
                </w:rPr>
                <w:t>2613-B</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ddl Gov</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nessun rilievo</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75" w:history="1">
              <w:r w:rsidR="00332C22" w:rsidRPr="00F9033E">
                <w:rPr>
                  <w:rFonts w:ascii="Calibri" w:hAnsi="Calibri" w:cs="Arial"/>
                  <w:b/>
                  <w:bCs/>
                  <w:color w:val="0000FF"/>
                  <w:sz w:val="24"/>
                  <w:szCs w:val="24"/>
                  <w:u w:val="single"/>
                </w:rPr>
                <w:t>0025</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76" w:anchor="data.20151104.com" w:history="1">
              <w:r w:rsidR="00332C22" w:rsidRPr="00F9033E">
                <w:rPr>
                  <w:rFonts w:ascii="Calibri" w:hAnsi="Calibri" w:cs="Arial"/>
                  <w:b/>
                  <w:bCs/>
                  <w:color w:val="0000FF"/>
                  <w:sz w:val="24"/>
                  <w:szCs w:val="24"/>
                  <w:u w:val="single"/>
                </w:rPr>
                <w:t>3386</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DL 2015/153</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1 Condizione, 2 Osservazioni</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77" w:history="1">
              <w:r w:rsidR="00332C22" w:rsidRPr="00F9033E">
                <w:rPr>
                  <w:rFonts w:ascii="Calibri" w:hAnsi="Calibri" w:cs="Arial"/>
                  <w:b/>
                  <w:bCs/>
                  <w:color w:val="0000FF"/>
                  <w:sz w:val="24"/>
                  <w:szCs w:val="24"/>
                  <w:u w:val="single"/>
                </w:rPr>
                <w:t>0026</w:t>
              </w:r>
            </w:hyperlink>
          </w:p>
        </w:tc>
      </w:tr>
      <w:tr w:rsidR="00332C22" w:rsidRPr="00F9033E" w:rsidTr="00BF7BFE">
        <w:trPr>
          <w:trHeight w:val="600"/>
          <w:jc w:val="center"/>
        </w:trPr>
        <w:tc>
          <w:tcPr>
            <w:tcW w:w="960" w:type="dxa"/>
            <w:shd w:val="clear" w:color="000000" w:fill="99CCFF"/>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78" w:anchor="data.20151104.com" w:history="1">
              <w:r w:rsidR="00332C22" w:rsidRPr="00F9033E">
                <w:rPr>
                  <w:rFonts w:ascii="Calibri" w:hAnsi="Calibri" w:cs="Arial"/>
                  <w:b/>
                  <w:bCs/>
                  <w:color w:val="0000FF"/>
                  <w:sz w:val="24"/>
                  <w:szCs w:val="24"/>
                  <w:u w:val="single"/>
                </w:rPr>
                <w:t>TU 1138</w:t>
              </w:r>
            </w:hyperlink>
          </w:p>
        </w:tc>
        <w:tc>
          <w:tcPr>
            <w:tcW w:w="1780" w:type="dxa"/>
            <w:shd w:val="clear" w:color="auto" w:fill="auto"/>
            <w:vAlign w:val="center"/>
            <w:hideMark/>
          </w:tcPr>
          <w:p w:rsidR="00332C22" w:rsidRPr="00F9033E" w:rsidRDefault="00332C22" w:rsidP="00BF7BFE">
            <w:pPr>
              <w:spacing w:line="240" w:lineRule="auto"/>
              <w:ind w:firstLine="0"/>
              <w:jc w:val="center"/>
              <w:rPr>
                <w:rFonts w:ascii="Calibri" w:hAnsi="Calibri" w:cs="Arial"/>
                <w:b/>
                <w:bCs/>
                <w:sz w:val="24"/>
                <w:szCs w:val="24"/>
              </w:rPr>
            </w:pPr>
            <w:r w:rsidRPr="00F9033E">
              <w:rPr>
                <w:rFonts w:ascii="Calibri" w:hAnsi="Calibri" w:cs="Arial"/>
                <w:b/>
                <w:bCs/>
                <w:sz w:val="24"/>
                <w:szCs w:val="24"/>
              </w:rPr>
              <w:t>pdl mista</w:t>
            </w:r>
          </w:p>
        </w:tc>
        <w:tc>
          <w:tcPr>
            <w:tcW w:w="960" w:type="dxa"/>
            <w:shd w:val="clear" w:color="000000" w:fill="FFFF99"/>
            <w:vAlign w:val="center"/>
            <w:hideMark/>
          </w:tcPr>
          <w:p w:rsidR="00332C22" w:rsidRPr="00F9033E" w:rsidRDefault="00332C22" w:rsidP="00BF7BFE">
            <w:pPr>
              <w:spacing w:line="240" w:lineRule="auto"/>
              <w:ind w:firstLine="0"/>
              <w:jc w:val="center"/>
              <w:rPr>
                <w:rFonts w:ascii="Calibri" w:hAnsi="Calibri" w:cs="Arial"/>
                <w:b/>
                <w:bCs/>
                <w:color w:val="FF0000"/>
                <w:sz w:val="24"/>
                <w:szCs w:val="24"/>
              </w:rPr>
            </w:pPr>
            <w:r w:rsidRPr="00F9033E">
              <w:rPr>
                <w:rFonts w:ascii="Calibri" w:hAnsi="Calibri" w:cs="Arial"/>
                <w:b/>
                <w:bCs/>
                <w:color w:val="FF0000"/>
                <w:sz w:val="24"/>
                <w:szCs w:val="24"/>
              </w:rPr>
              <w:t>SI</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960" w:type="dxa"/>
            <w:shd w:val="clear" w:color="auto" w:fill="auto"/>
            <w:vAlign w:val="center"/>
            <w:hideMark/>
          </w:tcPr>
          <w:p w:rsidR="00332C22" w:rsidRPr="00F9033E" w:rsidRDefault="00332C22" w:rsidP="00BF7BFE">
            <w:pPr>
              <w:spacing w:line="240" w:lineRule="auto"/>
              <w:ind w:firstLine="0"/>
              <w:jc w:val="center"/>
              <w:rPr>
                <w:rFonts w:ascii="Calibri" w:hAnsi="Calibri" w:cs="Arial"/>
                <w:sz w:val="24"/>
                <w:szCs w:val="24"/>
              </w:rPr>
            </w:pPr>
            <w:r w:rsidRPr="00F9033E">
              <w:rPr>
                <w:rFonts w:ascii="Calibri" w:hAnsi="Calibri" w:cs="Arial"/>
                <w:sz w:val="24"/>
                <w:szCs w:val="24"/>
              </w:rPr>
              <w:t>NO</w:t>
            </w:r>
          </w:p>
        </w:tc>
        <w:tc>
          <w:tcPr>
            <w:tcW w:w="2460" w:type="dxa"/>
            <w:shd w:val="clear" w:color="auto" w:fill="auto"/>
            <w:vAlign w:val="center"/>
            <w:hideMark/>
          </w:tcPr>
          <w:p w:rsidR="00332C22" w:rsidRPr="00F9033E" w:rsidRDefault="00332C22" w:rsidP="00BF7BFE">
            <w:pPr>
              <w:spacing w:line="240" w:lineRule="auto"/>
              <w:ind w:firstLine="0"/>
              <w:jc w:val="left"/>
              <w:rPr>
                <w:rFonts w:ascii="Calibri" w:hAnsi="Calibri" w:cs="Arial"/>
                <w:sz w:val="18"/>
                <w:szCs w:val="18"/>
              </w:rPr>
            </w:pPr>
            <w:r w:rsidRPr="00F9033E">
              <w:rPr>
                <w:rFonts w:ascii="Calibri" w:hAnsi="Calibri" w:cs="Arial"/>
                <w:sz w:val="18"/>
                <w:szCs w:val="18"/>
              </w:rPr>
              <w:t>1 Osservazione</w:t>
            </w:r>
          </w:p>
        </w:tc>
        <w:tc>
          <w:tcPr>
            <w:tcW w:w="960" w:type="dxa"/>
            <w:shd w:val="clear" w:color="auto" w:fill="auto"/>
            <w:vAlign w:val="center"/>
            <w:hideMark/>
          </w:tcPr>
          <w:p w:rsidR="00332C22" w:rsidRPr="00F9033E" w:rsidRDefault="00EB0878" w:rsidP="00BF7BFE">
            <w:pPr>
              <w:spacing w:line="240" w:lineRule="auto"/>
              <w:ind w:firstLine="0"/>
              <w:jc w:val="center"/>
              <w:rPr>
                <w:rFonts w:ascii="Calibri" w:hAnsi="Calibri" w:cs="Arial"/>
                <w:b/>
                <w:bCs/>
                <w:color w:val="0000FF"/>
                <w:sz w:val="24"/>
                <w:szCs w:val="24"/>
                <w:u w:val="single"/>
              </w:rPr>
            </w:pPr>
            <w:hyperlink r:id="rId79" w:history="1">
              <w:r w:rsidR="00332C22" w:rsidRPr="00F9033E">
                <w:rPr>
                  <w:rFonts w:ascii="Calibri" w:hAnsi="Calibri" w:cs="Arial"/>
                  <w:b/>
                  <w:bCs/>
                  <w:color w:val="0000FF"/>
                  <w:sz w:val="24"/>
                  <w:szCs w:val="24"/>
                  <w:u w:val="single"/>
                </w:rPr>
                <w:t>0027</w:t>
              </w:r>
            </w:hyperlink>
          </w:p>
        </w:tc>
      </w:tr>
    </w:tbl>
    <w:p w:rsidR="00332C22" w:rsidRDefault="00332C22" w:rsidP="00BF7BFE"/>
    <w:p w:rsidR="00332C22" w:rsidRDefault="00332C22" w:rsidP="00BF7BFE">
      <w:pPr>
        <w:sectPr w:rsidR="00332C22" w:rsidSect="00BD2965">
          <w:headerReference w:type="even" r:id="rId80"/>
          <w:headerReference w:type="default" r:id="rId81"/>
          <w:footerReference w:type="even" r:id="rId82"/>
          <w:footerReference w:type="default" r:id="rId83"/>
          <w:headerReference w:type="first" r:id="rId84"/>
          <w:footerReference w:type="first" r:id="rId85"/>
          <w:type w:val="oddPage"/>
          <w:pgSz w:w="11906" w:h="16838" w:code="9"/>
          <w:pgMar w:top="1985" w:right="1274" w:bottom="1985" w:left="1985" w:header="1134" w:footer="1134" w:gutter="0"/>
          <w:cols w:sep="1" w:space="284"/>
          <w:docGrid w:linePitch="299"/>
        </w:sectPr>
      </w:pPr>
    </w:p>
    <w:p w:rsidR="00332C22" w:rsidRPr="00F9033E" w:rsidRDefault="00332C22" w:rsidP="00BF7BFE"/>
    <w:p w:rsidR="00332C22" w:rsidRPr="0090172B" w:rsidRDefault="00332C22" w:rsidP="0090172B">
      <w:pPr>
        <w:pStyle w:val="Titolo2"/>
        <w:rPr>
          <w:rFonts w:ascii="Garamond" w:hAnsi="Garamond"/>
          <w:color w:val="0000FF"/>
          <w:sz w:val="32"/>
          <w:szCs w:val="32"/>
        </w:rPr>
      </w:pPr>
      <w:bookmarkStart w:id="148" w:name="Tab02"/>
      <w:bookmarkStart w:id="149" w:name="_Toc439082258"/>
      <w:bookmarkStart w:id="150" w:name="_Toc439953674"/>
      <w:bookmarkStart w:id="151" w:name="_Toc440030388"/>
      <w:r w:rsidRPr="0090172B">
        <w:rPr>
          <w:rFonts w:ascii="Garamond" w:hAnsi="Garamond"/>
          <w:color w:val="0000FF"/>
          <w:sz w:val="32"/>
          <w:szCs w:val="32"/>
        </w:rPr>
        <w:t>TAB. 2 “RICHIAMI CIRCOLARE</w:t>
      </w:r>
      <w:bookmarkEnd w:id="148"/>
      <w:r w:rsidRPr="0090172B">
        <w:rPr>
          <w:rFonts w:ascii="Garamond" w:hAnsi="Garamond"/>
          <w:color w:val="0000FF"/>
          <w:sz w:val="32"/>
          <w:szCs w:val="32"/>
        </w:rPr>
        <w:t>”</w:t>
      </w:r>
      <w:bookmarkEnd w:id="149"/>
      <w:bookmarkEnd w:id="150"/>
      <w:bookmarkEnd w:id="151"/>
    </w:p>
    <w:p w:rsidR="00332C22" w:rsidRDefault="00332C22" w:rsidP="00BF7BFE"/>
    <w:tbl>
      <w:tblPr>
        <w:tblW w:w="5000" w:type="pct"/>
        <w:jc w:val="center"/>
        <w:tblCellMar>
          <w:left w:w="70" w:type="dxa"/>
          <w:right w:w="70" w:type="dxa"/>
        </w:tblCellMar>
        <w:tblLook w:val="04A0" w:firstRow="1" w:lastRow="0" w:firstColumn="1" w:lastColumn="0" w:noHBand="0" w:noVBand="1"/>
      </w:tblPr>
      <w:tblGrid>
        <w:gridCol w:w="875"/>
        <w:gridCol w:w="1245"/>
        <w:gridCol w:w="841"/>
        <w:gridCol w:w="876"/>
        <w:gridCol w:w="929"/>
        <w:gridCol w:w="841"/>
        <w:gridCol w:w="1039"/>
        <w:gridCol w:w="854"/>
        <w:gridCol w:w="828"/>
        <w:gridCol w:w="882"/>
      </w:tblGrid>
      <w:tr w:rsidR="00332C22" w:rsidRPr="0033216B" w:rsidTr="00BF7BFE">
        <w:trPr>
          <w:trHeight w:val="522"/>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FFC000"/>
            <w:noWrap/>
            <w:vAlign w:val="center"/>
            <w:hideMark/>
          </w:tcPr>
          <w:p w:rsidR="00332C22" w:rsidRPr="0033216B" w:rsidRDefault="00332C22" w:rsidP="00BF7BFE">
            <w:pPr>
              <w:spacing w:line="240" w:lineRule="auto"/>
              <w:ind w:firstLine="0"/>
              <w:jc w:val="center"/>
              <w:rPr>
                <w:rFonts w:ascii="Garamond" w:hAnsi="Garamond"/>
                <w:b/>
                <w:bCs/>
                <w:color w:val="FFFF00"/>
                <w:sz w:val="32"/>
                <w:szCs w:val="32"/>
              </w:rPr>
            </w:pPr>
            <w:r w:rsidRPr="0033216B">
              <w:rPr>
                <w:rFonts w:ascii="Garamond" w:hAnsi="Garamond"/>
                <w:b/>
                <w:bCs/>
                <w:color w:val="FFFF00"/>
                <w:sz w:val="32"/>
                <w:szCs w:val="32"/>
              </w:rPr>
              <w:t>RICHIAMI ALLA CIRCOLARE SUI TESTI NORMATIVI</w:t>
            </w:r>
          </w:p>
        </w:tc>
      </w:tr>
      <w:tr w:rsidR="00332C22" w:rsidRPr="0033216B" w:rsidTr="00BF7BFE">
        <w:trPr>
          <w:trHeight w:val="1002"/>
          <w:jc w:val="center"/>
        </w:trPr>
        <w:tc>
          <w:tcPr>
            <w:tcW w:w="493" w:type="pct"/>
            <w:tcBorders>
              <w:top w:val="nil"/>
              <w:left w:val="single" w:sz="8" w:space="0" w:color="auto"/>
              <w:bottom w:val="single" w:sz="8" w:space="0" w:color="auto"/>
              <w:right w:val="single" w:sz="4" w:space="0" w:color="auto"/>
            </w:tcBorders>
            <w:shd w:val="clear" w:color="000000" w:fill="FFC000"/>
            <w:vAlign w:val="center"/>
            <w:hideMark/>
          </w:tcPr>
          <w:p w:rsidR="00332C22" w:rsidRPr="0033216B" w:rsidRDefault="00332C22" w:rsidP="00BF7BFE">
            <w:pPr>
              <w:spacing w:line="240" w:lineRule="auto"/>
              <w:ind w:firstLine="0"/>
              <w:jc w:val="center"/>
              <w:rPr>
                <w:rFonts w:ascii="Garamond" w:hAnsi="Garamond"/>
                <w:b/>
                <w:bCs/>
                <w:color w:val="FFFF00"/>
                <w:sz w:val="24"/>
                <w:szCs w:val="24"/>
              </w:rPr>
            </w:pPr>
            <w:r w:rsidRPr="0033216B">
              <w:rPr>
                <w:rFonts w:ascii="Garamond" w:hAnsi="Garamond"/>
                <w:b/>
                <w:bCs/>
                <w:color w:val="FFFF00"/>
                <w:sz w:val="24"/>
                <w:szCs w:val="24"/>
              </w:rPr>
              <w:t>AC</w:t>
            </w:r>
          </w:p>
        </w:tc>
        <w:tc>
          <w:tcPr>
            <w:tcW w:w="693" w:type="pct"/>
            <w:tcBorders>
              <w:top w:val="nil"/>
              <w:left w:val="nil"/>
              <w:bottom w:val="single" w:sz="8" w:space="0" w:color="auto"/>
              <w:right w:val="single" w:sz="8" w:space="0" w:color="auto"/>
            </w:tcBorders>
            <w:shd w:val="clear" w:color="000000" w:fill="FFC000"/>
            <w:vAlign w:val="center"/>
            <w:hideMark/>
          </w:tcPr>
          <w:p w:rsidR="00332C22" w:rsidRPr="0033216B" w:rsidRDefault="00332C22" w:rsidP="00BF7BFE">
            <w:pPr>
              <w:spacing w:line="240" w:lineRule="auto"/>
              <w:ind w:firstLine="0"/>
              <w:jc w:val="center"/>
              <w:rPr>
                <w:rFonts w:ascii="Garamond" w:hAnsi="Garamond"/>
                <w:b/>
                <w:bCs/>
                <w:color w:val="FFFF00"/>
                <w:sz w:val="20"/>
              </w:rPr>
            </w:pPr>
            <w:r w:rsidRPr="0033216B">
              <w:rPr>
                <w:rFonts w:ascii="Garamond" w:hAnsi="Garamond"/>
                <w:b/>
                <w:bCs/>
                <w:color w:val="FFFF00"/>
                <w:sz w:val="20"/>
              </w:rPr>
              <w:t>Forma Atto</w:t>
            </w:r>
          </w:p>
        </w:tc>
        <w:tc>
          <w:tcPr>
            <w:tcW w:w="474" w:type="pct"/>
            <w:tcBorders>
              <w:top w:val="nil"/>
              <w:left w:val="single" w:sz="4" w:space="0" w:color="auto"/>
              <w:bottom w:val="single" w:sz="8" w:space="0" w:color="auto"/>
              <w:right w:val="single" w:sz="4" w:space="0" w:color="auto"/>
            </w:tcBorders>
            <w:shd w:val="clear" w:color="000000" w:fill="FFC000"/>
            <w:vAlign w:val="center"/>
            <w:hideMark/>
          </w:tcPr>
          <w:p w:rsidR="00332C22" w:rsidRPr="0033216B" w:rsidRDefault="00332C22" w:rsidP="00BF7BFE">
            <w:pPr>
              <w:spacing w:line="240" w:lineRule="auto"/>
              <w:ind w:firstLine="0"/>
              <w:jc w:val="center"/>
              <w:rPr>
                <w:rFonts w:ascii="Garamond" w:hAnsi="Garamond"/>
                <w:b/>
                <w:bCs/>
                <w:color w:val="FFFF00"/>
                <w:sz w:val="20"/>
              </w:rPr>
            </w:pPr>
            <w:r w:rsidRPr="0033216B">
              <w:rPr>
                <w:rFonts w:ascii="Garamond" w:hAnsi="Garamond"/>
                <w:b/>
                <w:bCs/>
                <w:color w:val="FFFF00"/>
                <w:sz w:val="20"/>
              </w:rPr>
              <w:t>Norme di interpr. aut.</w:t>
            </w:r>
          </w:p>
        </w:tc>
        <w:tc>
          <w:tcPr>
            <w:tcW w:w="474" w:type="pct"/>
            <w:tcBorders>
              <w:top w:val="nil"/>
              <w:left w:val="nil"/>
              <w:bottom w:val="single" w:sz="8" w:space="0" w:color="auto"/>
              <w:right w:val="single" w:sz="4" w:space="0" w:color="auto"/>
            </w:tcBorders>
            <w:shd w:val="clear" w:color="000000" w:fill="FFC000"/>
            <w:vAlign w:val="center"/>
            <w:hideMark/>
          </w:tcPr>
          <w:p w:rsidR="00332C22" w:rsidRPr="0033216B" w:rsidRDefault="00332C22" w:rsidP="00BF7BFE">
            <w:pPr>
              <w:spacing w:line="240" w:lineRule="auto"/>
              <w:ind w:firstLine="0"/>
              <w:jc w:val="center"/>
              <w:rPr>
                <w:rFonts w:ascii="Garamond" w:hAnsi="Garamond"/>
                <w:b/>
                <w:bCs/>
                <w:color w:val="FFFF00"/>
                <w:sz w:val="20"/>
              </w:rPr>
            </w:pPr>
            <w:r w:rsidRPr="0033216B">
              <w:rPr>
                <w:rFonts w:ascii="Garamond" w:hAnsi="Garamond"/>
                <w:b/>
                <w:bCs/>
                <w:color w:val="FFFF00"/>
                <w:sz w:val="20"/>
              </w:rPr>
              <w:t>Deroghe</w:t>
            </w:r>
          </w:p>
        </w:tc>
        <w:tc>
          <w:tcPr>
            <w:tcW w:w="474" w:type="pct"/>
            <w:tcBorders>
              <w:top w:val="nil"/>
              <w:left w:val="nil"/>
              <w:bottom w:val="single" w:sz="8" w:space="0" w:color="auto"/>
              <w:right w:val="single" w:sz="4" w:space="0" w:color="auto"/>
            </w:tcBorders>
            <w:shd w:val="clear" w:color="000000" w:fill="FFC000"/>
            <w:vAlign w:val="center"/>
            <w:hideMark/>
          </w:tcPr>
          <w:p w:rsidR="00332C22" w:rsidRPr="0033216B" w:rsidRDefault="00332C22" w:rsidP="00BF7BFE">
            <w:pPr>
              <w:spacing w:line="240" w:lineRule="auto"/>
              <w:ind w:firstLine="0"/>
              <w:jc w:val="center"/>
              <w:rPr>
                <w:rFonts w:ascii="Garamond" w:hAnsi="Garamond"/>
                <w:b/>
                <w:bCs/>
                <w:color w:val="FFFF00"/>
                <w:sz w:val="20"/>
              </w:rPr>
            </w:pPr>
            <w:r w:rsidRPr="0033216B">
              <w:rPr>
                <w:rFonts w:ascii="Garamond" w:hAnsi="Garamond"/>
                <w:b/>
                <w:bCs/>
                <w:color w:val="FFFF00"/>
                <w:sz w:val="20"/>
              </w:rPr>
              <w:t>Richiami generici, imprecisi o errati</w:t>
            </w:r>
          </w:p>
        </w:tc>
        <w:tc>
          <w:tcPr>
            <w:tcW w:w="474" w:type="pct"/>
            <w:tcBorders>
              <w:top w:val="nil"/>
              <w:left w:val="nil"/>
              <w:bottom w:val="single" w:sz="8" w:space="0" w:color="auto"/>
              <w:right w:val="single" w:sz="4" w:space="0" w:color="auto"/>
            </w:tcBorders>
            <w:shd w:val="clear" w:color="000000" w:fill="FFC000"/>
            <w:vAlign w:val="center"/>
            <w:hideMark/>
          </w:tcPr>
          <w:p w:rsidR="00332C22" w:rsidRPr="0033216B" w:rsidRDefault="00332C22" w:rsidP="00BF7BFE">
            <w:pPr>
              <w:spacing w:line="240" w:lineRule="auto"/>
              <w:ind w:firstLine="0"/>
              <w:jc w:val="center"/>
              <w:rPr>
                <w:rFonts w:ascii="Garamond" w:hAnsi="Garamond"/>
                <w:b/>
                <w:bCs/>
                <w:color w:val="FFFF00"/>
                <w:sz w:val="20"/>
              </w:rPr>
            </w:pPr>
            <w:r w:rsidRPr="0033216B">
              <w:rPr>
                <w:rFonts w:ascii="Garamond" w:hAnsi="Garamond"/>
                <w:b/>
                <w:bCs/>
                <w:color w:val="FFFF00"/>
                <w:sz w:val="20"/>
              </w:rPr>
              <w:t>Incid. su fonti sec.</w:t>
            </w:r>
          </w:p>
        </w:tc>
        <w:tc>
          <w:tcPr>
            <w:tcW w:w="474" w:type="pct"/>
            <w:tcBorders>
              <w:top w:val="nil"/>
              <w:left w:val="nil"/>
              <w:bottom w:val="single" w:sz="8" w:space="0" w:color="auto"/>
              <w:right w:val="single" w:sz="4" w:space="0" w:color="auto"/>
            </w:tcBorders>
            <w:shd w:val="clear" w:color="000000" w:fill="FFC000"/>
            <w:vAlign w:val="center"/>
            <w:hideMark/>
          </w:tcPr>
          <w:p w:rsidR="00332C22" w:rsidRPr="0033216B" w:rsidRDefault="00332C22" w:rsidP="00BF7BFE">
            <w:pPr>
              <w:spacing w:line="240" w:lineRule="auto"/>
              <w:ind w:firstLine="0"/>
              <w:jc w:val="center"/>
              <w:rPr>
                <w:rFonts w:ascii="Garamond" w:hAnsi="Garamond"/>
                <w:b/>
                <w:bCs/>
                <w:color w:val="FFFF00"/>
                <w:sz w:val="20"/>
              </w:rPr>
            </w:pPr>
            <w:r w:rsidRPr="0033216B">
              <w:rPr>
                <w:rFonts w:ascii="Garamond" w:hAnsi="Garamond"/>
                <w:b/>
                <w:bCs/>
                <w:color w:val="FFFF00"/>
                <w:sz w:val="20"/>
              </w:rPr>
              <w:t>Redazione del testo</w:t>
            </w:r>
          </w:p>
        </w:tc>
        <w:tc>
          <w:tcPr>
            <w:tcW w:w="474" w:type="pct"/>
            <w:tcBorders>
              <w:top w:val="nil"/>
              <w:left w:val="nil"/>
              <w:bottom w:val="single" w:sz="8" w:space="0" w:color="auto"/>
              <w:right w:val="single" w:sz="4" w:space="0" w:color="auto"/>
            </w:tcBorders>
            <w:shd w:val="clear" w:color="000000" w:fill="FFC000"/>
            <w:vAlign w:val="center"/>
            <w:hideMark/>
          </w:tcPr>
          <w:p w:rsidR="00332C22" w:rsidRPr="0033216B" w:rsidRDefault="00332C22" w:rsidP="00BF7BFE">
            <w:pPr>
              <w:spacing w:line="240" w:lineRule="auto"/>
              <w:ind w:firstLine="0"/>
              <w:jc w:val="center"/>
              <w:rPr>
                <w:rFonts w:ascii="Garamond" w:hAnsi="Garamond"/>
                <w:b/>
                <w:bCs/>
                <w:color w:val="FFFF00"/>
                <w:sz w:val="20"/>
              </w:rPr>
            </w:pPr>
            <w:r w:rsidRPr="0033216B">
              <w:rPr>
                <w:rFonts w:ascii="Garamond" w:hAnsi="Garamond"/>
                <w:b/>
                <w:bCs/>
                <w:color w:val="FFFF00"/>
                <w:sz w:val="20"/>
              </w:rPr>
              <w:t>Titolo e rubriche</w:t>
            </w:r>
          </w:p>
        </w:tc>
        <w:tc>
          <w:tcPr>
            <w:tcW w:w="474" w:type="pct"/>
            <w:tcBorders>
              <w:top w:val="nil"/>
              <w:left w:val="nil"/>
              <w:bottom w:val="single" w:sz="8" w:space="0" w:color="auto"/>
              <w:right w:val="single" w:sz="4" w:space="0" w:color="auto"/>
            </w:tcBorders>
            <w:shd w:val="clear" w:color="000000" w:fill="FFC000"/>
            <w:vAlign w:val="center"/>
            <w:hideMark/>
          </w:tcPr>
          <w:p w:rsidR="00332C22" w:rsidRPr="0033216B" w:rsidRDefault="00332C22" w:rsidP="00BF7BFE">
            <w:pPr>
              <w:spacing w:line="240" w:lineRule="auto"/>
              <w:ind w:firstLine="0"/>
              <w:jc w:val="center"/>
              <w:rPr>
                <w:rFonts w:ascii="Garamond" w:hAnsi="Garamond"/>
                <w:b/>
                <w:bCs/>
                <w:color w:val="FFFF00"/>
                <w:sz w:val="20"/>
              </w:rPr>
            </w:pPr>
            <w:r w:rsidRPr="0033216B">
              <w:rPr>
                <w:rFonts w:ascii="Garamond" w:hAnsi="Garamond"/>
                <w:b/>
                <w:bCs/>
                <w:color w:val="FFFF00"/>
                <w:sz w:val="20"/>
              </w:rPr>
              <w:t>Mod. non testuali</w:t>
            </w:r>
          </w:p>
        </w:tc>
        <w:tc>
          <w:tcPr>
            <w:tcW w:w="493" w:type="pct"/>
            <w:tcBorders>
              <w:top w:val="nil"/>
              <w:left w:val="nil"/>
              <w:bottom w:val="single" w:sz="8" w:space="0" w:color="auto"/>
              <w:right w:val="single" w:sz="8" w:space="0" w:color="auto"/>
            </w:tcBorders>
            <w:shd w:val="clear" w:color="000000" w:fill="FFC000"/>
            <w:vAlign w:val="center"/>
            <w:hideMark/>
          </w:tcPr>
          <w:p w:rsidR="00332C22" w:rsidRPr="0033216B" w:rsidRDefault="00332C22" w:rsidP="00BF7BFE">
            <w:pPr>
              <w:spacing w:line="240" w:lineRule="auto"/>
              <w:ind w:firstLine="0"/>
              <w:jc w:val="center"/>
              <w:rPr>
                <w:rFonts w:ascii="Garamond" w:hAnsi="Garamond"/>
                <w:b/>
                <w:bCs/>
                <w:color w:val="FFFF00"/>
                <w:sz w:val="20"/>
              </w:rPr>
            </w:pPr>
            <w:r w:rsidRPr="0033216B">
              <w:rPr>
                <w:rFonts w:ascii="Garamond" w:hAnsi="Garamond"/>
                <w:b/>
                <w:bCs/>
                <w:color w:val="FFFF00"/>
                <w:sz w:val="20"/>
              </w:rPr>
              <w:t>Schede</w:t>
            </w:r>
          </w:p>
        </w:tc>
      </w:tr>
      <w:tr w:rsidR="00332C22" w:rsidRPr="0033216B" w:rsidTr="00BF7BFE">
        <w:trPr>
          <w:trHeight w:val="522"/>
          <w:jc w:val="center"/>
        </w:trPr>
        <w:tc>
          <w:tcPr>
            <w:tcW w:w="493" w:type="pct"/>
            <w:tcBorders>
              <w:top w:val="single" w:sz="4" w:space="0" w:color="auto"/>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86" w:anchor="data.20150115.com" w:history="1">
              <w:r w:rsidR="00332C22" w:rsidRPr="0033216B">
                <w:rPr>
                  <w:rFonts w:ascii="Calibri" w:hAnsi="Calibri"/>
                  <w:b/>
                  <w:bCs/>
                  <w:color w:val="0000FF"/>
                  <w:u w:val="single"/>
                </w:rPr>
                <w:t>2803</w:t>
              </w:r>
            </w:hyperlink>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DL 2014/192</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87" w:history="1">
              <w:r w:rsidR="00332C22" w:rsidRPr="0033216B">
                <w:rPr>
                  <w:rFonts w:ascii="Calibri" w:hAnsi="Calibri"/>
                  <w:b/>
                  <w:bCs/>
                  <w:color w:val="0000FF"/>
                  <w:u w:val="single"/>
                </w:rPr>
                <w:t>0001</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88" w:anchor="data.20150210.com" w:history="1">
              <w:r w:rsidR="00332C22" w:rsidRPr="0033216B">
                <w:rPr>
                  <w:rFonts w:ascii="Calibri" w:hAnsi="Calibri"/>
                  <w:b/>
                  <w:bCs/>
                  <w:color w:val="0000FF"/>
                  <w:u w:val="single"/>
                </w:rPr>
                <w:t>2844</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DL 2015/003</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89" w:history="1">
              <w:r w:rsidR="00332C22" w:rsidRPr="0033216B">
                <w:rPr>
                  <w:rFonts w:ascii="Calibri" w:hAnsi="Calibri"/>
                  <w:b/>
                  <w:bCs/>
                  <w:color w:val="0000FF"/>
                  <w:u w:val="single"/>
                </w:rPr>
                <w:t>0002</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90" w:anchor="data.20150224.com" w:history="1">
              <w:r w:rsidR="00332C22" w:rsidRPr="0033216B">
                <w:rPr>
                  <w:rFonts w:ascii="Calibri" w:hAnsi="Calibri"/>
                  <w:b/>
                  <w:bCs/>
                  <w:color w:val="0000FF"/>
                  <w:u w:val="single"/>
                </w:rPr>
                <w:t>2894</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DL 2015/001</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91" w:history="1">
              <w:r w:rsidR="00332C22" w:rsidRPr="0033216B">
                <w:rPr>
                  <w:rFonts w:ascii="Calibri" w:hAnsi="Calibri"/>
                  <w:b/>
                  <w:bCs/>
                  <w:color w:val="0000FF"/>
                  <w:u w:val="single"/>
                </w:rPr>
                <w:t>0003</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92" w:anchor="data.20150227.com" w:history="1">
              <w:r w:rsidR="00332C22" w:rsidRPr="0033216B">
                <w:rPr>
                  <w:rFonts w:ascii="Calibri" w:hAnsi="Calibri"/>
                  <w:b/>
                  <w:bCs/>
                  <w:color w:val="0000FF"/>
                  <w:u w:val="single"/>
                </w:rPr>
                <w:t>2893</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DL 2015/007</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93" w:history="1">
              <w:r w:rsidR="00332C22" w:rsidRPr="0033216B">
                <w:rPr>
                  <w:rFonts w:ascii="Calibri" w:hAnsi="Calibri"/>
                  <w:b/>
                  <w:bCs/>
                  <w:color w:val="0000FF"/>
                  <w:u w:val="single"/>
                </w:rPr>
                <w:t>0004</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94" w:anchor="data.20150304.com" w:history="1">
              <w:r w:rsidR="00332C22" w:rsidRPr="0033216B">
                <w:rPr>
                  <w:rFonts w:ascii="Calibri" w:hAnsi="Calibri"/>
                  <w:b/>
                  <w:bCs/>
                  <w:color w:val="0000FF"/>
                  <w:u w:val="single"/>
                </w:rPr>
                <w:t>2915</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DL 2015/004</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95" w:history="1">
              <w:r w:rsidR="00332C22" w:rsidRPr="0033216B">
                <w:rPr>
                  <w:rFonts w:ascii="Calibri" w:hAnsi="Calibri"/>
                  <w:b/>
                  <w:bCs/>
                  <w:color w:val="0000FF"/>
                  <w:u w:val="single"/>
                </w:rPr>
                <w:t>0005</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96" w:anchor="data.20150422.com" w:history="1">
              <w:r w:rsidR="00332C22" w:rsidRPr="0033216B">
                <w:rPr>
                  <w:rFonts w:ascii="Calibri" w:hAnsi="Calibri"/>
                  <w:b/>
                  <w:bCs/>
                  <w:color w:val="0000FF"/>
                  <w:u w:val="single"/>
                </w:rPr>
                <w:t>TU 3-bis-B</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pdl</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97" w:history="1">
              <w:r w:rsidR="00332C22" w:rsidRPr="0033216B">
                <w:rPr>
                  <w:rFonts w:ascii="Calibri" w:hAnsi="Calibri"/>
                  <w:b/>
                  <w:bCs/>
                  <w:color w:val="0000FF"/>
                  <w:u w:val="single"/>
                </w:rPr>
                <w:t>0006</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98" w:anchor="data.20150428.com" w:history="1">
              <w:r w:rsidR="00332C22" w:rsidRPr="0033216B">
                <w:rPr>
                  <w:rFonts w:ascii="Calibri" w:hAnsi="Calibri"/>
                  <w:b/>
                  <w:bCs/>
                  <w:color w:val="0000FF"/>
                  <w:u w:val="single"/>
                </w:rPr>
                <w:t>2722</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ddl Gov</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99" w:history="1">
              <w:r w:rsidR="00332C22" w:rsidRPr="0033216B">
                <w:rPr>
                  <w:rFonts w:ascii="Calibri" w:hAnsi="Calibri"/>
                  <w:b/>
                  <w:bCs/>
                  <w:color w:val="0000FF"/>
                  <w:u w:val="single"/>
                </w:rPr>
                <w:t>0008</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00" w:anchor="data.20150428.com" w:history="1">
              <w:r w:rsidR="00332C22" w:rsidRPr="0033216B">
                <w:rPr>
                  <w:rFonts w:ascii="Calibri" w:hAnsi="Calibri"/>
                  <w:b/>
                  <w:bCs/>
                  <w:color w:val="0000FF"/>
                  <w:u w:val="single"/>
                </w:rPr>
                <w:t>2994</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ddl Gov</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01" w:history="1">
              <w:r w:rsidR="00332C22" w:rsidRPr="0033216B">
                <w:rPr>
                  <w:rFonts w:ascii="Calibri" w:hAnsi="Calibri"/>
                  <w:b/>
                  <w:bCs/>
                  <w:color w:val="0000FF"/>
                  <w:u w:val="single"/>
                </w:rPr>
                <w:t>0009</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02" w:anchor="data.20150513.com" w:history="1">
              <w:r w:rsidR="00332C22" w:rsidRPr="0033216B">
                <w:rPr>
                  <w:rFonts w:ascii="Calibri" w:hAnsi="Calibri"/>
                  <w:b/>
                  <w:bCs/>
                  <w:color w:val="0000FF"/>
                  <w:u w:val="single"/>
                </w:rPr>
                <w:t>3104</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DL 2015/051</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03" w:history="1">
              <w:r w:rsidR="00332C22" w:rsidRPr="0033216B">
                <w:rPr>
                  <w:rFonts w:ascii="Calibri" w:hAnsi="Calibri"/>
                  <w:b/>
                  <w:bCs/>
                  <w:color w:val="0000FF"/>
                  <w:u w:val="single"/>
                </w:rPr>
                <w:t>0010</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04" w:anchor="data.20150604.com" w:history="1">
              <w:r w:rsidR="00332C22" w:rsidRPr="0033216B">
                <w:rPr>
                  <w:rFonts w:ascii="Calibri" w:hAnsi="Calibri"/>
                  <w:b/>
                  <w:bCs/>
                  <w:color w:val="0000FF"/>
                  <w:u w:val="single"/>
                </w:rPr>
                <w:t>3134</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DL 2015/065</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05" w:history="1">
              <w:r w:rsidR="00332C22" w:rsidRPr="0033216B">
                <w:rPr>
                  <w:rFonts w:ascii="Calibri" w:hAnsi="Calibri"/>
                  <w:b/>
                  <w:bCs/>
                  <w:color w:val="0000FF"/>
                  <w:u w:val="single"/>
                </w:rPr>
                <w:t>0011</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06" w:anchor="data.20150611.com" w:history="1">
              <w:r w:rsidR="00332C22" w:rsidRPr="0033216B">
                <w:rPr>
                  <w:rFonts w:ascii="Calibri" w:hAnsi="Calibri"/>
                  <w:b/>
                  <w:bCs/>
                  <w:color w:val="0000FF"/>
                  <w:u w:val="single"/>
                </w:rPr>
                <w:t>3098</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ddl Gov</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07" w:history="1">
              <w:r w:rsidR="00332C22" w:rsidRPr="0033216B">
                <w:rPr>
                  <w:rFonts w:ascii="Calibri" w:hAnsi="Calibri"/>
                  <w:b/>
                  <w:bCs/>
                  <w:color w:val="0000FF"/>
                  <w:u w:val="single"/>
                </w:rPr>
                <w:t>0012</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08" w:anchor="data.20150611.com" w:history="1">
              <w:r w:rsidR="00332C22" w:rsidRPr="0033216B">
                <w:rPr>
                  <w:rFonts w:ascii="Calibri" w:hAnsi="Calibri"/>
                  <w:b/>
                  <w:bCs/>
                  <w:color w:val="0000FF"/>
                  <w:u w:val="single"/>
                </w:rPr>
                <w:t>3123</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ddl Gov</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09" w:history="1">
              <w:r w:rsidR="00332C22" w:rsidRPr="0033216B">
                <w:rPr>
                  <w:rFonts w:ascii="Calibri" w:hAnsi="Calibri"/>
                  <w:b/>
                  <w:bCs/>
                  <w:color w:val="0000FF"/>
                  <w:u w:val="single"/>
                </w:rPr>
                <w:t>0013</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10" w:anchor="data.20150702.com" w:history="1">
              <w:r w:rsidR="00332C22" w:rsidRPr="0033216B">
                <w:rPr>
                  <w:rFonts w:ascii="Calibri" w:hAnsi="Calibri"/>
                  <w:b/>
                  <w:bCs/>
                  <w:color w:val="0000FF"/>
                  <w:u w:val="single"/>
                </w:rPr>
                <w:t>2798</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ddl Gov</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11" w:history="1">
              <w:r w:rsidR="00332C22" w:rsidRPr="0033216B">
                <w:rPr>
                  <w:rFonts w:ascii="Calibri" w:hAnsi="Calibri"/>
                  <w:b/>
                  <w:bCs/>
                  <w:color w:val="0000FF"/>
                  <w:u w:val="single"/>
                </w:rPr>
                <w:t>0014</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66783F">
            <w:pPr>
              <w:spacing w:line="240" w:lineRule="auto"/>
              <w:ind w:firstLine="0"/>
              <w:jc w:val="center"/>
              <w:rPr>
                <w:rFonts w:ascii="Calibri" w:hAnsi="Calibri"/>
                <w:b/>
                <w:bCs/>
                <w:color w:val="0000FF"/>
                <w:u w:val="single"/>
              </w:rPr>
            </w:pPr>
            <w:hyperlink r:id="rId112" w:anchor="data.20150708.com" w:history="1">
              <w:r w:rsidR="00332C22" w:rsidRPr="0033216B">
                <w:rPr>
                  <w:rFonts w:ascii="Calibri" w:hAnsi="Calibri"/>
                  <w:b/>
                  <w:bCs/>
                  <w:color w:val="0000FF"/>
                  <w:u w:val="single"/>
                </w:rPr>
                <w:t>3</w:t>
              </w:r>
              <w:r w:rsidR="0066783F">
                <w:rPr>
                  <w:rFonts w:ascii="Calibri" w:hAnsi="Calibri"/>
                  <w:b/>
                  <w:bCs/>
                  <w:color w:val="0000FF"/>
                  <w:u w:val="single"/>
                </w:rPr>
                <w:t>201</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DL 2015/083</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13" w:history="1">
              <w:r w:rsidR="00332C22" w:rsidRPr="0033216B">
                <w:rPr>
                  <w:rFonts w:ascii="Calibri" w:hAnsi="Calibri"/>
                  <w:b/>
                  <w:bCs/>
                  <w:color w:val="0000FF"/>
                  <w:u w:val="single"/>
                </w:rPr>
                <w:t>0016</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14" w:anchor="data.20150715.com" w:history="1">
              <w:r w:rsidR="00332C22" w:rsidRPr="0033216B">
                <w:rPr>
                  <w:rFonts w:ascii="Calibri" w:hAnsi="Calibri"/>
                  <w:b/>
                  <w:bCs/>
                  <w:color w:val="0000FF"/>
                  <w:u w:val="single"/>
                </w:rPr>
                <w:t>3210</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DL 2015/092</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15" w:history="1">
              <w:r w:rsidR="00332C22" w:rsidRPr="0033216B">
                <w:rPr>
                  <w:rFonts w:ascii="Calibri" w:hAnsi="Calibri"/>
                  <w:b/>
                  <w:bCs/>
                  <w:color w:val="0000FF"/>
                  <w:u w:val="single"/>
                </w:rPr>
                <w:t>0017</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16" w:anchor="data.20150730.com" w:history="1">
              <w:r w:rsidR="00332C22" w:rsidRPr="0033216B">
                <w:rPr>
                  <w:rFonts w:ascii="Calibri" w:hAnsi="Calibri"/>
                  <w:b/>
                  <w:bCs/>
                  <w:color w:val="0000FF"/>
                  <w:u w:val="single"/>
                </w:rPr>
                <w:t>3262</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DL 2015/078</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17" w:history="1">
              <w:r w:rsidR="00332C22" w:rsidRPr="0033216B">
                <w:rPr>
                  <w:rFonts w:ascii="Calibri" w:hAnsi="Calibri"/>
                  <w:b/>
                  <w:bCs/>
                  <w:color w:val="0000FF"/>
                  <w:u w:val="single"/>
                </w:rPr>
                <w:t>0020</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18" w:anchor="data.20150730.com" w:history="1">
              <w:r w:rsidR="00332C22" w:rsidRPr="0033216B">
                <w:rPr>
                  <w:rFonts w:ascii="Calibri" w:hAnsi="Calibri"/>
                  <w:b/>
                  <w:bCs/>
                  <w:color w:val="0000FF"/>
                  <w:u w:val="single"/>
                </w:rPr>
                <w:t>3194</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ddl Gov</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19" w:history="1">
              <w:r w:rsidR="00332C22" w:rsidRPr="0033216B">
                <w:rPr>
                  <w:rFonts w:ascii="Calibri" w:hAnsi="Calibri"/>
                  <w:b/>
                  <w:bCs/>
                  <w:color w:val="0000FF"/>
                  <w:u w:val="single"/>
                </w:rPr>
                <w:t>0021</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20" w:anchor="data.20150930.com" w:history="1">
              <w:r w:rsidR="00332C22" w:rsidRPr="0033216B">
                <w:rPr>
                  <w:rFonts w:ascii="Calibri" w:hAnsi="Calibri"/>
                  <w:b/>
                  <w:bCs/>
                  <w:color w:val="0000FF"/>
                  <w:u w:val="single"/>
                </w:rPr>
                <w:t>3272</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ddl Gov</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21" w:history="1">
              <w:r w:rsidR="00332C22" w:rsidRPr="0033216B">
                <w:rPr>
                  <w:rFonts w:ascii="Calibri" w:hAnsi="Calibri"/>
                  <w:b/>
                  <w:bCs/>
                  <w:color w:val="0000FF"/>
                  <w:u w:val="single"/>
                </w:rPr>
                <w:t>0023</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22" w:anchor="data.20151104.com" w:history="1">
              <w:r w:rsidR="00332C22" w:rsidRPr="0033216B">
                <w:rPr>
                  <w:rFonts w:ascii="Calibri" w:hAnsi="Calibri"/>
                  <w:b/>
                  <w:bCs/>
                  <w:color w:val="0000FF"/>
                  <w:u w:val="single"/>
                </w:rPr>
                <w:t>2613-B</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ddl Gov</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23" w:history="1">
              <w:r w:rsidR="00332C22" w:rsidRPr="0033216B">
                <w:rPr>
                  <w:rFonts w:ascii="Calibri" w:hAnsi="Calibri"/>
                  <w:b/>
                  <w:bCs/>
                  <w:color w:val="0000FF"/>
                  <w:u w:val="single"/>
                </w:rPr>
                <w:t>0025</w:t>
              </w:r>
            </w:hyperlink>
          </w:p>
        </w:tc>
      </w:tr>
      <w:tr w:rsidR="00332C22" w:rsidRPr="0033216B" w:rsidTr="00BF7BFE">
        <w:trPr>
          <w:trHeight w:val="522"/>
          <w:jc w:val="center"/>
        </w:trPr>
        <w:tc>
          <w:tcPr>
            <w:tcW w:w="493" w:type="pct"/>
            <w:tcBorders>
              <w:top w:val="nil"/>
              <w:left w:val="single" w:sz="4" w:space="0" w:color="auto"/>
              <w:bottom w:val="single" w:sz="4" w:space="0" w:color="auto"/>
              <w:right w:val="single" w:sz="4" w:space="0" w:color="auto"/>
            </w:tcBorders>
            <w:shd w:val="clear" w:color="000000" w:fill="99CCFF"/>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24" w:anchor="data.20151104.com" w:history="1">
              <w:r w:rsidR="00332C22" w:rsidRPr="0033216B">
                <w:rPr>
                  <w:rFonts w:ascii="Calibri" w:hAnsi="Calibri"/>
                  <w:b/>
                  <w:bCs/>
                  <w:color w:val="0000FF"/>
                  <w:u w:val="single"/>
                </w:rPr>
                <w:t>3386</w:t>
              </w:r>
            </w:hyperlink>
          </w:p>
        </w:tc>
        <w:tc>
          <w:tcPr>
            <w:tcW w:w="693"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DL 2015/153</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nil"/>
              <w:left w:val="nil"/>
              <w:bottom w:val="single" w:sz="4" w:space="0" w:color="auto"/>
              <w:right w:val="single" w:sz="4" w:space="0" w:color="auto"/>
            </w:tcBorders>
            <w:shd w:val="clear" w:color="auto" w:fill="auto"/>
            <w:vAlign w:val="center"/>
            <w:hideMark/>
          </w:tcPr>
          <w:p w:rsidR="00332C22" w:rsidRPr="0033216B" w:rsidRDefault="00332C22" w:rsidP="00BF7BFE">
            <w:pPr>
              <w:spacing w:line="240" w:lineRule="auto"/>
              <w:ind w:firstLine="0"/>
              <w:jc w:val="center"/>
              <w:rPr>
                <w:rFonts w:ascii="Calibri" w:hAnsi="Calibri"/>
                <w:b/>
                <w:bCs/>
              </w:rPr>
            </w:pPr>
            <w:r w:rsidRPr="0033216B">
              <w:rPr>
                <w:rFonts w:ascii="Calibri" w:hAnsi="Calibri"/>
                <w:b/>
                <w:bCs/>
              </w:rPr>
              <w:t>NO</w:t>
            </w:r>
          </w:p>
        </w:tc>
        <w:tc>
          <w:tcPr>
            <w:tcW w:w="47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33216B" w:rsidRDefault="00332C22" w:rsidP="00BF7BFE">
            <w:pPr>
              <w:spacing w:line="240" w:lineRule="auto"/>
              <w:ind w:firstLine="0"/>
              <w:jc w:val="center"/>
              <w:rPr>
                <w:rFonts w:ascii="Calibri" w:hAnsi="Calibri"/>
                <w:b/>
                <w:bCs/>
                <w:color w:val="FF0000"/>
              </w:rPr>
            </w:pPr>
            <w:r w:rsidRPr="0033216B">
              <w:rPr>
                <w:rFonts w:ascii="Calibri" w:hAnsi="Calibri"/>
                <w:b/>
                <w:bCs/>
                <w:color w:val="FF0000"/>
              </w:rPr>
              <w:t>SI</w:t>
            </w:r>
          </w:p>
        </w:tc>
        <w:tc>
          <w:tcPr>
            <w:tcW w:w="493" w:type="pct"/>
            <w:tcBorders>
              <w:top w:val="nil"/>
              <w:left w:val="nil"/>
              <w:bottom w:val="single" w:sz="4" w:space="0" w:color="auto"/>
              <w:right w:val="single" w:sz="4" w:space="0" w:color="auto"/>
            </w:tcBorders>
            <w:shd w:val="clear" w:color="auto" w:fill="auto"/>
            <w:vAlign w:val="center"/>
            <w:hideMark/>
          </w:tcPr>
          <w:p w:rsidR="00332C22" w:rsidRPr="0033216B" w:rsidRDefault="00EB0878" w:rsidP="00BF7BFE">
            <w:pPr>
              <w:spacing w:line="240" w:lineRule="auto"/>
              <w:ind w:firstLine="0"/>
              <w:jc w:val="center"/>
              <w:rPr>
                <w:rFonts w:ascii="Calibri" w:hAnsi="Calibri"/>
                <w:b/>
                <w:bCs/>
                <w:color w:val="0000FF"/>
                <w:u w:val="single"/>
              </w:rPr>
            </w:pPr>
            <w:hyperlink r:id="rId125" w:history="1">
              <w:r w:rsidR="00332C22" w:rsidRPr="0033216B">
                <w:rPr>
                  <w:rFonts w:ascii="Calibri" w:hAnsi="Calibri"/>
                  <w:b/>
                  <w:bCs/>
                  <w:color w:val="0000FF"/>
                  <w:u w:val="single"/>
                </w:rPr>
                <w:t>0026</w:t>
              </w:r>
            </w:hyperlink>
          </w:p>
        </w:tc>
      </w:tr>
    </w:tbl>
    <w:p w:rsidR="00332C22" w:rsidRDefault="00332C22" w:rsidP="00BF7BFE">
      <w:pPr>
        <w:sectPr w:rsidR="00332C22" w:rsidSect="00BF7BFE">
          <w:headerReference w:type="even" r:id="rId126"/>
          <w:headerReference w:type="default" r:id="rId127"/>
          <w:footerReference w:type="even" r:id="rId128"/>
          <w:footerReference w:type="default" r:id="rId129"/>
          <w:headerReference w:type="first" r:id="rId130"/>
          <w:footerReference w:type="first" r:id="rId131"/>
          <w:pgSz w:w="11906" w:h="16838" w:code="9"/>
          <w:pgMar w:top="1418" w:right="1418" w:bottom="1134" w:left="1418" w:header="567" w:footer="567" w:gutter="0"/>
          <w:cols w:space="708"/>
          <w:docGrid w:linePitch="360"/>
        </w:sectPr>
      </w:pPr>
    </w:p>
    <w:p w:rsidR="00332C22" w:rsidRPr="004F269D" w:rsidRDefault="00332C22" w:rsidP="004F269D">
      <w:pPr>
        <w:pStyle w:val="Titolo2"/>
        <w:rPr>
          <w:rFonts w:ascii="Garamond" w:hAnsi="Garamond"/>
          <w:color w:val="0000FF"/>
          <w:sz w:val="32"/>
          <w:szCs w:val="32"/>
        </w:rPr>
      </w:pPr>
      <w:bookmarkStart w:id="152" w:name="Tab03"/>
      <w:bookmarkStart w:id="153" w:name="_Toc440030389"/>
      <w:r w:rsidRPr="004F269D">
        <w:rPr>
          <w:rFonts w:ascii="Garamond" w:hAnsi="Garamond"/>
          <w:color w:val="0000FF"/>
          <w:sz w:val="32"/>
          <w:szCs w:val="32"/>
        </w:rPr>
        <w:lastRenderedPageBreak/>
        <w:t>TAB. 3 “ULTERIORI RICHIAMI</w:t>
      </w:r>
      <w:bookmarkEnd w:id="152"/>
      <w:r w:rsidRPr="004F269D">
        <w:rPr>
          <w:rFonts w:ascii="Garamond" w:hAnsi="Garamond"/>
          <w:color w:val="0000FF"/>
          <w:sz w:val="32"/>
          <w:szCs w:val="32"/>
        </w:rPr>
        <w:t>”</w:t>
      </w:r>
      <w:bookmarkEnd w:id="153"/>
    </w:p>
    <w:tbl>
      <w:tblPr>
        <w:tblW w:w="5000" w:type="pct"/>
        <w:jc w:val="center"/>
        <w:tblLayout w:type="fixed"/>
        <w:tblCellMar>
          <w:left w:w="70" w:type="dxa"/>
          <w:right w:w="70" w:type="dxa"/>
        </w:tblCellMar>
        <w:tblLook w:val="04A0" w:firstRow="1" w:lastRow="0" w:firstColumn="1" w:lastColumn="0" w:noHBand="0" w:noVBand="1"/>
      </w:tblPr>
      <w:tblGrid>
        <w:gridCol w:w="654"/>
        <w:gridCol w:w="1297"/>
        <w:gridCol w:w="685"/>
        <w:gridCol w:w="1693"/>
        <w:gridCol w:w="1232"/>
        <w:gridCol w:w="1030"/>
        <w:gridCol w:w="1017"/>
        <w:gridCol w:w="917"/>
        <w:gridCol w:w="685"/>
      </w:tblGrid>
      <w:tr w:rsidR="00332C22" w:rsidRPr="009D12FD" w:rsidTr="0035615F">
        <w:trPr>
          <w:trHeight w:val="1039"/>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rsidR="00332C22" w:rsidRPr="009D12FD" w:rsidRDefault="00332C22" w:rsidP="00BF7BFE">
            <w:pPr>
              <w:spacing w:line="240" w:lineRule="auto"/>
              <w:ind w:firstLine="0"/>
              <w:jc w:val="center"/>
              <w:rPr>
                <w:rFonts w:ascii="Garamond" w:hAnsi="Garamond"/>
                <w:b/>
                <w:bCs/>
                <w:color w:val="993300"/>
                <w:sz w:val="28"/>
                <w:szCs w:val="28"/>
              </w:rPr>
            </w:pPr>
            <w:r w:rsidRPr="009D12FD">
              <w:rPr>
                <w:rFonts w:ascii="Garamond" w:hAnsi="Garamond"/>
                <w:b/>
                <w:bCs/>
                <w:color w:val="993300"/>
                <w:sz w:val="28"/>
                <w:szCs w:val="28"/>
              </w:rPr>
              <w:t>ULTERIORI RICHIAMI NON PRESENTI NELLA CIRCOLARE SUI TESTI NORMATIVI</w:t>
            </w:r>
          </w:p>
        </w:tc>
      </w:tr>
      <w:tr w:rsidR="00332C22" w:rsidRPr="009D12FD" w:rsidTr="0035615F">
        <w:trPr>
          <w:trHeight w:val="1237"/>
          <w:jc w:val="center"/>
        </w:trPr>
        <w:tc>
          <w:tcPr>
            <w:tcW w:w="355" w:type="pct"/>
            <w:tcBorders>
              <w:top w:val="nil"/>
              <w:left w:val="single" w:sz="8" w:space="0" w:color="auto"/>
              <w:bottom w:val="single" w:sz="8" w:space="0" w:color="auto"/>
              <w:right w:val="single" w:sz="4" w:space="0" w:color="auto"/>
            </w:tcBorders>
            <w:shd w:val="clear" w:color="000000" w:fill="FFC000"/>
            <w:vAlign w:val="center"/>
            <w:hideMark/>
          </w:tcPr>
          <w:p w:rsidR="00332C22" w:rsidRPr="009D12FD" w:rsidRDefault="00332C22" w:rsidP="00BF7BFE">
            <w:pPr>
              <w:spacing w:line="240" w:lineRule="auto"/>
              <w:ind w:firstLine="0"/>
              <w:jc w:val="center"/>
              <w:rPr>
                <w:rFonts w:ascii="Garamond" w:hAnsi="Garamond"/>
                <w:b/>
                <w:bCs/>
                <w:color w:val="993300"/>
                <w:sz w:val="18"/>
                <w:szCs w:val="18"/>
              </w:rPr>
            </w:pPr>
            <w:r w:rsidRPr="009D12FD">
              <w:rPr>
                <w:rFonts w:ascii="Garamond" w:hAnsi="Garamond"/>
                <w:b/>
                <w:bCs/>
                <w:color w:val="993300"/>
                <w:sz w:val="18"/>
                <w:szCs w:val="18"/>
              </w:rPr>
              <w:t>AC</w:t>
            </w:r>
          </w:p>
        </w:tc>
        <w:tc>
          <w:tcPr>
            <w:tcW w:w="704" w:type="pct"/>
            <w:tcBorders>
              <w:top w:val="nil"/>
              <w:left w:val="nil"/>
              <w:bottom w:val="single" w:sz="8" w:space="0" w:color="auto"/>
              <w:right w:val="single" w:sz="4" w:space="0" w:color="auto"/>
            </w:tcBorders>
            <w:shd w:val="clear" w:color="000000" w:fill="FFC000"/>
            <w:vAlign w:val="center"/>
            <w:hideMark/>
          </w:tcPr>
          <w:p w:rsidR="00332C22" w:rsidRPr="009D12FD" w:rsidRDefault="00332C22" w:rsidP="00BF7BFE">
            <w:pPr>
              <w:spacing w:line="240" w:lineRule="auto"/>
              <w:ind w:firstLine="0"/>
              <w:jc w:val="center"/>
              <w:rPr>
                <w:rFonts w:ascii="Garamond" w:hAnsi="Garamond"/>
                <w:b/>
                <w:bCs/>
                <w:color w:val="993300"/>
                <w:sz w:val="18"/>
                <w:szCs w:val="18"/>
              </w:rPr>
            </w:pPr>
            <w:r w:rsidRPr="009D12FD">
              <w:rPr>
                <w:rFonts w:ascii="Garamond" w:hAnsi="Garamond"/>
                <w:b/>
                <w:bCs/>
                <w:color w:val="993300"/>
                <w:sz w:val="18"/>
                <w:szCs w:val="18"/>
              </w:rPr>
              <w:t>Forma Atto</w:t>
            </w:r>
          </w:p>
        </w:tc>
        <w:tc>
          <w:tcPr>
            <w:tcW w:w="372" w:type="pct"/>
            <w:tcBorders>
              <w:top w:val="nil"/>
              <w:left w:val="nil"/>
              <w:bottom w:val="single" w:sz="8" w:space="0" w:color="auto"/>
              <w:right w:val="single" w:sz="4" w:space="0" w:color="auto"/>
            </w:tcBorders>
            <w:shd w:val="clear" w:color="000000" w:fill="FFC000"/>
            <w:vAlign w:val="center"/>
            <w:hideMark/>
          </w:tcPr>
          <w:p w:rsidR="00332C22" w:rsidRPr="009D12FD" w:rsidRDefault="00332C22" w:rsidP="00BF7BFE">
            <w:pPr>
              <w:spacing w:line="240" w:lineRule="auto"/>
              <w:ind w:firstLine="0"/>
              <w:jc w:val="center"/>
              <w:rPr>
                <w:rFonts w:ascii="Garamond" w:hAnsi="Garamond"/>
                <w:b/>
                <w:bCs/>
                <w:color w:val="993300"/>
                <w:sz w:val="18"/>
                <w:szCs w:val="18"/>
              </w:rPr>
            </w:pPr>
            <w:r w:rsidRPr="009D12FD">
              <w:rPr>
                <w:rFonts w:ascii="Garamond" w:hAnsi="Garamond"/>
                <w:b/>
                <w:bCs/>
                <w:color w:val="993300"/>
                <w:sz w:val="18"/>
                <w:szCs w:val="18"/>
              </w:rPr>
              <w:t>Mod. norme recenti</w:t>
            </w:r>
          </w:p>
        </w:tc>
        <w:tc>
          <w:tcPr>
            <w:tcW w:w="919" w:type="pct"/>
            <w:tcBorders>
              <w:top w:val="nil"/>
              <w:left w:val="nil"/>
              <w:bottom w:val="single" w:sz="8" w:space="0" w:color="auto"/>
              <w:right w:val="single" w:sz="4" w:space="0" w:color="auto"/>
            </w:tcBorders>
            <w:shd w:val="clear" w:color="000000" w:fill="FFC000"/>
            <w:vAlign w:val="center"/>
            <w:hideMark/>
          </w:tcPr>
          <w:p w:rsidR="00332C22" w:rsidRPr="009D12FD" w:rsidRDefault="00332C22" w:rsidP="00BF7BFE">
            <w:pPr>
              <w:spacing w:line="240" w:lineRule="auto"/>
              <w:ind w:firstLine="0"/>
              <w:jc w:val="center"/>
              <w:rPr>
                <w:rFonts w:ascii="Garamond" w:hAnsi="Garamond"/>
                <w:b/>
                <w:bCs/>
                <w:color w:val="993300"/>
                <w:sz w:val="18"/>
                <w:szCs w:val="18"/>
              </w:rPr>
            </w:pPr>
            <w:r w:rsidRPr="009D12FD">
              <w:rPr>
                <w:rFonts w:ascii="Garamond" w:hAnsi="Garamond"/>
                <w:b/>
                <w:bCs/>
                <w:color w:val="993300"/>
                <w:sz w:val="18"/>
                <w:szCs w:val="18"/>
              </w:rPr>
              <w:t>Portata normativa Nor. descr/ricogn/progr. Ambito applicaz.</w:t>
            </w:r>
          </w:p>
        </w:tc>
        <w:tc>
          <w:tcPr>
            <w:tcW w:w="669" w:type="pct"/>
            <w:tcBorders>
              <w:top w:val="nil"/>
              <w:left w:val="nil"/>
              <w:bottom w:val="single" w:sz="8" w:space="0" w:color="auto"/>
              <w:right w:val="single" w:sz="4" w:space="0" w:color="auto"/>
            </w:tcBorders>
            <w:shd w:val="clear" w:color="000000" w:fill="FFC000"/>
            <w:vAlign w:val="center"/>
            <w:hideMark/>
          </w:tcPr>
          <w:p w:rsidR="00332C22" w:rsidRPr="009D12FD" w:rsidRDefault="00332C22" w:rsidP="00BF7BFE">
            <w:pPr>
              <w:spacing w:line="240" w:lineRule="auto"/>
              <w:ind w:firstLine="0"/>
              <w:jc w:val="center"/>
              <w:rPr>
                <w:rFonts w:ascii="Garamond" w:hAnsi="Garamond"/>
                <w:b/>
                <w:bCs/>
                <w:color w:val="993300"/>
                <w:sz w:val="18"/>
                <w:szCs w:val="18"/>
              </w:rPr>
            </w:pPr>
            <w:r w:rsidRPr="009D12FD">
              <w:rPr>
                <w:rFonts w:ascii="Garamond" w:hAnsi="Garamond"/>
                <w:b/>
                <w:bCs/>
                <w:color w:val="993300"/>
                <w:sz w:val="18"/>
                <w:szCs w:val="18"/>
              </w:rPr>
              <w:t>Stratificazione normativa</w:t>
            </w:r>
          </w:p>
        </w:tc>
        <w:tc>
          <w:tcPr>
            <w:tcW w:w="559" w:type="pct"/>
            <w:tcBorders>
              <w:top w:val="nil"/>
              <w:left w:val="nil"/>
              <w:bottom w:val="single" w:sz="8" w:space="0" w:color="auto"/>
              <w:right w:val="single" w:sz="4" w:space="0" w:color="auto"/>
            </w:tcBorders>
            <w:shd w:val="clear" w:color="000000" w:fill="FFC000"/>
            <w:vAlign w:val="center"/>
            <w:hideMark/>
          </w:tcPr>
          <w:p w:rsidR="00332C22" w:rsidRPr="009D12FD" w:rsidRDefault="00332C22" w:rsidP="00BF7BFE">
            <w:pPr>
              <w:spacing w:line="240" w:lineRule="auto"/>
              <w:ind w:firstLine="0"/>
              <w:jc w:val="center"/>
              <w:rPr>
                <w:rFonts w:ascii="Calibri" w:hAnsi="Calibri"/>
                <w:b/>
                <w:bCs/>
                <w:color w:val="993300"/>
                <w:sz w:val="18"/>
                <w:szCs w:val="18"/>
              </w:rPr>
            </w:pPr>
            <w:r w:rsidRPr="009D12FD">
              <w:rPr>
                <w:rFonts w:ascii="Calibri" w:hAnsi="Calibri"/>
                <w:b/>
                <w:bCs/>
                <w:color w:val="993300"/>
                <w:sz w:val="18"/>
                <w:szCs w:val="18"/>
              </w:rPr>
              <w:t>Efficacia disp. abrogate o modificate</w:t>
            </w:r>
          </w:p>
        </w:tc>
        <w:tc>
          <w:tcPr>
            <w:tcW w:w="552" w:type="pct"/>
            <w:tcBorders>
              <w:top w:val="nil"/>
              <w:left w:val="nil"/>
              <w:bottom w:val="single" w:sz="8" w:space="0" w:color="auto"/>
              <w:right w:val="single" w:sz="4" w:space="0" w:color="auto"/>
            </w:tcBorders>
            <w:shd w:val="clear" w:color="000000" w:fill="FFC000"/>
            <w:vAlign w:val="center"/>
            <w:hideMark/>
          </w:tcPr>
          <w:p w:rsidR="00332C22" w:rsidRPr="009D12FD" w:rsidRDefault="00332C22" w:rsidP="00BF7BFE">
            <w:pPr>
              <w:spacing w:line="240" w:lineRule="auto"/>
              <w:ind w:firstLine="0"/>
              <w:jc w:val="center"/>
              <w:rPr>
                <w:rFonts w:ascii="Garamond" w:hAnsi="Garamond"/>
                <w:b/>
                <w:bCs/>
                <w:color w:val="993300"/>
                <w:sz w:val="18"/>
                <w:szCs w:val="18"/>
              </w:rPr>
            </w:pPr>
            <w:r w:rsidRPr="009D12FD">
              <w:rPr>
                <w:rFonts w:ascii="Garamond" w:hAnsi="Garamond"/>
                <w:b/>
                <w:bCs/>
                <w:color w:val="993300"/>
                <w:sz w:val="18"/>
                <w:szCs w:val="18"/>
              </w:rPr>
              <w:t>Disposizioni transitorie, speciali, temporanee</w:t>
            </w:r>
          </w:p>
        </w:tc>
        <w:tc>
          <w:tcPr>
            <w:tcW w:w="498" w:type="pct"/>
            <w:tcBorders>
              <w:top w:val="nil"/>
              <w:left w:val="nil"/>
              <w:bottom w:val="single" w:sz="8" w:space="0" w:color="auto"/>
              <w:right w:val="single" w:sz="4" w:space="0" w:color="auto"/>
            </w:tcBorders>
            <w:shd w:val="clear" w:color="000000" w:fill="FFC000"/>
            <w:vAlign w:val="center"/>
            <w:hideMark/>
          </w:tcPr>
          <w:p w:rsidR="00332C22" w:rsidRPr="009D12FD" w:rsidRDefault="00332C22" w:rsidP="00BF7BFE">
            <w:pPr>
              <w:spacing w:line="240" w:lineRule="auto"/>
              <w:ind w:firstLine="0"/>
              <w:jc w:val="center"/>
              <w:rPr>
                <w:rFonts w:ascii="Garamond" w:hAnsi="Garamond"/>
                <w:b/>
                <w:bCs/>
                <w:color w:val="993300"/>
                <w:sz w:val="18"/>
                <w:szCs w:val="18"/>
              </w:rPr>
            </w:pPr>
            <w:r w:rsidRPr="009D12FD">
              <w:rPr>
                <w:rFonts w:ascii="Garamond" w:hAnsi="Garamond"/>
                <w:b/>
                <w:bCs/>
                <w:color w:val="993300"/>
                <w:sz w:val="18"/>
                <w:szCs w:val="18"/>
              </w:rPr>
              <w:t>Proroga disp. transitorie</w:t>
            </w:r>
          </w:p>
        </w:tc>
        <w:tc>
          <w:tcPr>
            <w:tcW w:w="372" w:type="pct"/>
            <w:tcBorders>
              <w:top w:val="nil"/>
              <w:left w:val="nil"/>
              <w:bottom w:val="single" w:sz="8" w:space="0" w:color="auto"/>
              <w:right w:val="single" w:sz="8" w:space="0" w:color="auto"/>
            </w:tcBorders>
            <w:shd w:val="clear" w:color="000000" w:fill="FFC000"/>
            <w:vAlign w:val="center"/>
            <w:hideMark/>
          </w:tcPr>
          <w:p w:rsidR="00332C22" w:rsidRPr="009D12FD" w:rsidRDefault="00332C22" w:rsidP="00BF7BFE">
            <w:pPr>
              <w:spacing w:line="240" w:lineRule="auto"/>
              <w:ind w:firstLine="0"/>
              <w:jc w:val="center"/>
              <w:rPr>
                <w:rFonts w:ascii="Garamond" w:hAnsi="Garamond"/>
                <w:b/>
                <w:bCs/>
                <w:color w:val="993300"/>
                <w:sz w:val="18"/>
                <w:szCs w:val="18"/>
              </w:rPr>
            </w:pPr>
            <w:r w:rsidRPr="009D12FD">
              <w:rPr>
                <w:rFonts w:ascii="Garamond" w:hAnsi="Garamond"/>
                <w:b/>
                <w:bCs/>
                <w:color w:val="993300"/>
                <w:sz w:val="18"/>
                <w:szCs w:val="18"/>
              </w:rPr>
              <w:t>Schede</w:t>
            </w:r>
          </w:p>
        </w:tc>
      </w:tr>
      <w:tr w:rsidR="00332C22" w:rsidRPr="009D12FD" w:rsidTr="0035615F">
        <w:trPr>
          <w:trHeight w:val="522"/>
          <w:jc w:val="center"/>
        </w:trPr>
        <w:tc>
          <w:tcPr>
            <w:tcW w:w="355" w:type="pct"/>
            <w:tcBorders>
              <w:top w:val="single" w:sz="4" w:space="0" w:color="auto"/>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32" w:anchor="data.20150115.com" w:history="1">
              <w:r w:rsidR="00332C22" w:rsidRPr="009D12FD">
                <w:rPr>
                  <w:rFonts w:ascii="Calibri" w:hAnsi="Calibri"/>
                  <w:b/>
                  <w:bCs/>
                  <w:color w:val="0000FF"/>
                  <w:szCs w:val="22"/>
                  <w:u w:val="single"/>
                </w:rPr>
                <w:t>2803</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DL 2014/192</w:t>
            </w:r>
          </w:p>
        </w:tc>
        <w:tc>
          <w:tcPr>
            <w:tcW w:w="372" w:type="pct"/>
            <w:tcBorders>
              <w:top w:val="nil"/>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91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669" w:type="pct"/>
            <w:tcBorders>
              <w:top w:val="nil"/>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33" w:history="1">
              <w:r w:rsidR="00332C22" w:rsidRPr="009D12FD">
                <w:rPr>
                  <w:rFonts w:ascii="Calibri" w:hAnsi="Calibri"/>
                  <w:b/>
                  <w:bCs/>
                  <w:color w:val="0000FF"/>
                  <w:szCs w:val="22"/>
                  <w:u w:val="single"/>
                </w:rPr>
                <w:t>0001</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34" w:anchor="data.20150210.com" w:history="1">
              <w:r w:rsidR="00332C22" w:rsidRPr="009D12FD">
                <w:rPr>
                  <w:rFonts w:ascii="Calibri" w:hAnsi="Calibri"/>
                  <w:b/>
                  <w:bCs/>
                  <w:color w:val="0000FF"/>
                  <w:szCs w:val="22"/>
                  <w:u w:val="single"/>
                </w:rPr>
                <w:t>2844</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DL 2015/003</w:t>
            </w:r>
          </w:p>
        </w:tc>
        <w:tc>
          <w:tcPr>
            <w:tcW w:w="37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35" w:history="1">
              <w:r w:rsidR="00332C22" w:rsidRPr="009D12FD">
                <w:rPr>
                  <w:rFonts w:ascii="Calibri" w:hAnsi="Calibri"/>
                  <w:b/>
                  <w:bCs/>
                  <w:color w:val="0000FF"/>
                  <w:szCs w:val="22"/>
                  <w:u w:val="single"/>
                </w:rPr>
                <w:t>0002</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36" w:anchor="data.20150224.com" w:history="1">
              <w:r w:rsidR="00332C22" w:rsidRPr="009D12FD">
                <w:rPr>
                  <w:rFonts w:ascii="Calibri" w:hAnsi="Calibri"/>
                  <w:b/>
                  <w:bCs/>
                  <w:color w:val="0000FF"/>
                  <w:szCs w:val="22"/>
                  <w:u w:val="single"/>
                </w:rPr>
                <w:t>2894</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DL 2015/001</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37" w:history="1">
              <w:r w:rsidR="00332C22" w:rsidRPr="009D12FD">
                <w:rPr>
                  <w:rFonts w:ascii="Calibri" w:hAnsi="Calibri"/>
                  <w:b/>
                  <w:bCs/>
                  <w:color w:val="0000FF"/>
                  <w:szCs w:val="22"/>
                  <w:u w:val="single"/>
                </w:rPr>
                <w:t>0003</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38" w:anchor="data.20150227.com" w:history="1">
              <w:r w:rsidR="00332C22" w:rsidRPr="009D12FD">
                <w:rPr>
                  <w:rFonts w:ascii="Calibri" w:hAnsi="Calibri"/>
                  <w:b/>
                  <w:bCs/>
                  <w:color w:val="0000FF"/>
                  <w:szCs w:val="22"/>
                  <w:u w:val="single"/>
                </w:rPr>
                <w:t>2893</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DL 2015/007</w:t>
            </w:r>
          </w:p>
        </w:tc>
        <w:tc>
          <w:tcPr>
            <w:tcW w:w="37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91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6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39" w:history="1">
              <w:r w:rsidR="00332C22" w:rsidRPr="009D12FD">
                <w:rPr>
                  <w:rFonts w:ascii="Calibri" w:hAnsi="Calibri"/>
                  <w:b/>
                  <w:bCs/>
                  <w:color w:val="0000FF"/>
                  <w:szCs w:val="22"/>
                  <w:u w:val="single"/>
                </w:rPr>
                <w:t>0004</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40" w:anchor="data.20150422.com" w:history="1">
              <w:r w:rsidR="00332C22" w:rsidRPr="009D12FD">
                <w:rPr>
                  <w:rFonts w:ascii="Calibri" w:hAnsi="Calibri"/>
                  <w:b/>
                  <w:bCs/>
                  <w:color w:val="0000FF"/>
                  <w:szCs w:val="22"/>
                  <w:u w:val="single"/>
                </w:rPr>
                <w:t>TU 3-bis-B</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pdl</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41" w:history="1">
              <w:r w:rsidR="00332C22" w:rsidRPr="009D12FD">
                <w:rPr>
                  <w:rFonts w:ascii="Calibri" w:hAnsi="Calibri"/>
                  <w:b/>
                  <w:bCs/>
                  <w:color w:val="0000FF"/>
                  <w:szCs w:val="22"/>
                  <w:u w:val="single"/>
                </w:rPr>
                <w:t>0006</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42" w:anchor="data.20150428.com" w:history="1">
              <w:r w:rsidR="00332C22" w:rsidRPr="009D12FD">
                <w:rPr>
                  <w:rFonts w:ascii="Calibri" w:hAnsi="Calibri"/>
                  <w:b/>
                  <w:bCs/>
                  <w:color w:val="0000FF"/>
                  <w:szCs w:val="22"/>
                  <w:u w:val="single"/>
                </w:rPr>
                <w:t>2994</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ddl Gov</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43" w:history="1">
              <w:r w:rsidR="00332C22" w:rsidRPr="009D12FD">
                <w:rPr>
                  <w:rFonts w:ascii="Calibri" w:hAnsi="Calibri"/>
                  <w:b/>
                  <w:bCs/>
                  <w:color w:val="0000FF"/>
                  <w:szCs w:val="22"/>
                  <w:u w:val="single"/>
                </w:rPr>
                <w:t>0009</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44" w:anchor="data.20150513.com" w:history="1">
              <w:r w:rsidR="00332C22" w:rsidRPr="009D12FD">
                <w:rPr>
                  <w:rFonts w:ascii="Calibri" w:hAnsi="Calibri"/>
                  <w:b/>
                  <w:bCs/>
                  <w:color w:val="0000FF"/>
                  <w:szCs w:val="22"/>
                  <w:u w:val="single"/>
                </w:rPr>
                <w:t>3104</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DL 2015/051</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45" w:history="1">
              <w:r w:rsidR="00332C22" w:rsidRPr="009D12FD">
                <w:rPr>
                  <w:rFonts w:ascii="Calibri" w:hAnsi="Calibri"/>
                  <w:b/>
                  <w:bCs/>
                  <w:color w:val="0000FF"/>
                  <w:szCs w:val="22"/>
                  <w:u w:val="single"/>
                </w:rPr>
                <w:t>0010</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46" w:anchor="data.20150604.com" w:history="1">
              <w:r w:rsidR="00332C22" w:rsidRPr="009D12FD">
                <w:rPr>
                  <w:rFonts w:ascii="Calibri" w:hAnsi="Calibri"/>
                  <w:b/>
                  <w:bCs/>
                  <w:color w:val="0000FF"/>
                  <w:szCs w:val="22"/>
                  <w:u w:val="single"/>
                </w:rPr>
                <w:t>3134</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DL 2015/065</w:t>
            </w:r>
          </w:p>
        </w:tc>
        <w:tc>
          <w:tcPr>
            <w:tcW w:w="37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47" w:history="1">
              <w:r w:rsidR="00332C22" w:rsidRPr="009D12FD">
                <w:rPr>
                  <w:rFonts w:ascii="Calibri" w:hAnsi="Calibri"/>
                  <w:b/>
                  <w:bCs/>
                  <w:color w:val="0000FF"/>
                  <w:szCs w:val="22"/>
                  <w:u w:val="single"/>
                </w:rPr>
                <w:t>0011</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48" w:anchor="data.20150611.com" w:history="1">
              <w:r w:rsidR="00332C22" w:rsidRPr="009D12FD">
                <w:rPr>
                  <w:rFonts w:ascii="Calibri" w:hAnsi="Calibri"/>
                  <w:b/>
                  <w:bCs/>
                  <w:color w:val="0000FF"/>
                  <w:szCs w:val="22"/>
                  <w:u w:val="single"/>
                </w:rPr>
                <w:t>3098</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ddl Gov</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49" w:history="1">
              <w:r w:rsidR="00332C22" w:rsidRPr="009D12FD">
                <w:rPr>
                  <w:rFonts w:ascii="Calibri" w:hAnsi="Calibri"/>
                  <w:b/>
                  <w:bCs/>
                  <w:color w:val="0000FF"/>
                  <w:szCs w:val="22"/>
                  <w:u w:val="single"/>
                </w:rPr>
                <w:t>0012</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50" w:anchor="data.20150611.com" w:history="1">
              <w:r w:rsidR="00332C22" w:rsidRPr="009D12FD">
                <w:rPr>
                  <w:rFonts w:ascii="Calibri" w:hAnsi="Calibri"/>
                  <w:b/>
                  <w:bCs/>
                  <w:color w:val="0000FF"/>
                  <w:szCs w:val="22"/>
                  <w:u w:val="single"/>
                </w:rPr>
                <w:t>3123</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ddl Gov</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51" w:history="1">
              <w:r w:rsidR="00332C22" w:rsidRPr="009D12FD">
                <w:rPr>
                  <w:rFonts w:ascii="Calibri" w:hAnsi="Calibri"/>
                  <w:b/>
                  <w:bCs/>
                  <w:color w:val="0000FF"/>
                  <w:szCs w:val="22"/>
                  <w:u w:val="single"/>
                </w:rPr>
                <w:t>0013</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52" w:anchor="data.20150702.com" w:history="1">
              <w:r w:rsidR="00332C22" w:rsidRPr="009D12FD">
                <w:rPr>
                  <w:rFonts w:ascii="Calibri" w:hAnsi="Calibri"/>
                  <w:b/>
                  <w:bCs/>
                  <w:color w:val="0000FF"/>
                  <w:szCs w:val="22"/>
                  <w:u w:val="single"/>
                </w:rPr>
                <w:t>2798</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ddl Gov</w:t>
            </w:r>
          </w:p>
        </w:tc>
        <w:tc>
          <w:tcPr>
            <w:tcW w:w="37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91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6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53" w:history="1">
              <w:r w:rsidR="00332C22" w:rsidRPr="009D12FD">
                <w:rPr>
                  <w:rFonts w:ascii="Calibri" w:hAnsi="Calibri"/>
                  <w:b/>
                  <w:bCs/>
                  <w:color w:val="0000FF"/>
                  <w:szCs w:val="22"/>
                  <w:u w:val="single"/>
                </w:rPr>
                <w:t>0014</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54" w:anchor="data.20150702.com" w:history="1">
              <w:r w:rsidR="00332C22" w:rsidRPr="009D12FD">
                <w:rPr>
                  <w:rFonts w:ascii="Calibri" w:hAnsi="Calibri"/>
                  <w:b/>
                  <w:bCs/>
                  <w:color w:val="0000FF"/>
                  <w:szCs w:val="22"/>
                  <w:u w:val="single"/>
                </w:rPr>
                <w:t>2994-B</w:t>
              </w:r>
            </w:hyperlink>
          </w:p>
        </w:tc>
        <w:tc>
          <w:tcPr>
            <w:tcW w:w="704"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ddl Gov</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55" w:history="1">
              <w:r w:rsidR="00332C22" w:rsidRPr="009D12FD">
                <w:rPr>
                  <w:rFonts w:ascii="Calibri" w:hAnsi="Calibri"/>
                  <w:b/>
                  <w:bCs/>
                  <w:color w:val="0000FF"/>
                  <w:szCs w:val="22"/>
                  <w:u w:val="single"/>
                </w:rPr>
                <w:t>0015</w:t>
              </w:r>
            </w:hyperlink>
          </w:p>
        </w:tc>
      </w:tr>
      <w:tr w:rsidR="002D671B"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2D671B" w:rsidRPr="009D12FD" w:rsidRDefault="00EB0878" w:rsidP="0066783F">
            <w:pPr>
              <w:spacing w:line="240" w:lineRule="auto"/>
              <w:ind w:firstLine="0"/>
              <w:jc w:val="center"/>
              <w:rPr>
                <w:rFonts w:ascii="Calibri" w:hAnsi="Calibri"/>
                <w:b/>
                <w:bCs/>
                <w:color w:val="0000FF"/>
                <w:szCs w:val="22"/>
                <w:u w:val="single"/>
              </w:rPr>
            </w:pPr>
            <w:hyperlink r:id="rId156" w:anchor="data.20150708.com" w:history="1">
              <w:r w:rsidR="002D671B">
                <w:rPr>
                  <w:rFonts w:ascii="Calibri" w:hAnsi="Calibri"/>
                  <w:b/>
                  <w:bCs/>
                  <w:color w:val="0000FF"/>
                  <w:szCs w:val="22"/>
                  <w:u w:val="single"/>
                </w:rPr>
                <w:t>3201</w:t>
              </w:r>
            </w:hyperlink>
          </w:p>
        </w:tc>
        <w:tc>
          <w:tcPr>
            <w:tcW w:w="704" w:type="pct"/>
            <w:tcBorders>
              <w:top w:val="nil"/>
              <w:left w:val="nil"/>
              <w:bottom w:val="single" w:sz="4" w:space="0" w:color="auto"/>
              <w:right w:val="single" w:sz="4" w:space="0" w:color="auto"/>
            </w:tcBorders>
            <w:shd w:val="clear" w:color="auto" w:fill="auto"/>
            <w:vAlign w:val="center"/>
            <w:hideMark/>
          </w:tcPr>
          <w:p w:rsidR="002D671B" w:rsidRPr="009D12FD" w:rsidRDefault="002D671B" w:rsidP="00BF7BFE">
            <w:pPr>
              <w:spacing w:line="240" w:lineRule="auto"/>
              <w:ind w:firstLine="0"/>
              <w:jc w:val="center"/>
              <w:rPr>
                <w:rFonts w:ascii="Calibri" w:hAnsi="Calibri"/>
                <w:b/>
                <w:bCs/>
                <w:szCs w:val="22"/>
              </w:rPr>
            </w:pPr>
            <w:r w:rsidRPr="009D12FD">
              <w:rPr>
                <w:rFonts w:ascii="Calibri" w:hAnsi="Calibri"/>
                <w:b/>
                <w:bCs/>
                <w:szCs w:val="22"/>
              </w:rPr>
              <w:t>DL 2015/083</w:t>
            </w:r>
          </w:p>
        </w:tc>
        <w:tc>
          <w:tcPr>
            <w:tcW w:w="372" w:type="pct"/>
            <w:tcBorders>
              <w:top w:val="nil"/>
              <w:left w:val="nil"/>
              <w:bottom w:val="single" w:sz="4" w:space="0" w:color="auto"/>
              <w:right w:val="single" w:sz="4" w:space="0" w:color="auto"/>
            </w:tcBorders>
            <w:shd w:val="clear" w:color="auto" w:fill="auto"/>
            <w:noWrap/>
            <w:vAlign w:val="center"/>
            <w:hideMark/>
          </w:tcPr>
          <w:p w:rsidR="002D671B" w:rsidRPr="009D12FD" w:rsidRDefault="002D671B"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71B" w:rsidRPr="009D12FD" w:rsidRDefault="002D671B" w:rsidP="00F61F1D">
            <w:pPr>
              <w:spacing w:line="240" w:lineRule="auto"/>
              <w:ind w:firstLine="0"/>
              <w:jc w:val="center"/>
              <w:rPr>
                <w:rFonts w:ascii="Calibri" w:hAnsi="Calibri"/>
                <w:b/>
                <w:bCs/>
                <w:szCs w:val="22"/>
              </w:rPr>
            </w:pPr>
            <w:r w:rsidRPr="009D12FD">
              <w:rPr>
                <w:rFonts w:ascii="Calibri" w:hAnsi="Calibri"/>
                <w:b/>
                <w:bCs/>
                <w:szCs w:val="22"/>
              </w:rPr>
              <w:t>NO</w:t>
            </w:r>
          </w:p>
        </w:tc>
        <w:tc>
          <w:tcPr>
            <w:tcW w:w="6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D671B" w:rsidRPr="009D12FD" w:rsidRDefault="002D671B"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559" w:type="pct"/>
            <w:tcBorders>
              <w:top w:val="nil"/>
              <w:left w:val="nil"/>
              <w:bottom w:val="single" w:sz="4" w:space="0" w:color="auto"/>
              <w:right w:val="single" w:sz="4" w:space="0" w:color="auto"/>
            </w:tcBorders>
            <w:shd w:val="clear" w:color="auto" w:fill="auto"/>
            <w:noWrap/>
            <w:vAlign w:val="center"/>
            <w:hideMark/>
          </w:tcPr>
          <w:p w:rsidR="002D671B" w:rsidRPr="009D12FD" w:rsidRDefault="002D671B"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2D671B" w:rsidRPr="009D12FD" w:rsidRDefault="002D671B"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2D671B" w:rsidRPr="009D12FD" w:rsidRDefault="002D671B"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2D671B" w:rsidRPr="009D12FD" w:rsidRDefault="00EB0878" w:rsidP="00BF7BFE">
            <w:pPr>
              <w:spacing w:line="240" w:lineRule="auto"/>
              <w:ind w:firstLine="0"/>
              <w:jc w:val="center"/>
              <w:rPr>
                <w:rFonts w:ascii="Calibri" w:hAnsi="Calibri"/>
                <w:b/>
                <w:bCs/>
                <w:color w:val="0000FF"/>
                <w:szCs w:val="22"/>
                <w:u w:val="single"/>
              </w:rPr>
            </w:pPr>
            <w:hyperlink r:id="rId157" w:history="1">
              <w:r w:rsidR="002D671B" w:rsidRPr="009D12FD">
                <w:rPr>
                  <w:rFonts w:ascii="Calibri" w:hAnsi="Calibri"/>
                  <w:b/>
                  <w:bCs/>
                  <w:color w:val="0000FF"/>
                  <w:szCs w:val="22"/>
                  <w:u w:val="single"/>
                </w:rPr>
                <w:t>0016</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58" w:anchor="data.20150715.com" w:history="1">
              <w:r w:rsidR="00332C22" w:rsidRPr="009D12FD">
                <w:rPr>
                  <w:rFonts w:ascii="Calibri" w:hAnsi="Calibri"/>
                  <w:b/>
                  <w:bCs/>
                  <w:color w:val="0000FF"/>
                  <w:szCs w:val="22"/>
                  <w:u w:val="single"/>
                </w:rPr>
                <w:t>3210</w:t>
              </w:r>
            </w:hyperlink>
          </w:p>
        </w:tc>
        <w:tc>
          <w:tcPr>
            <w:tcW w:w="704" w:type="pct"/>
            <w:tcBorders>
              <w:top w:val="nil"/>
              <w:left w:val="nil"/>
              <w:bottom w:val="single" w:sz="4" w:space="0" w:color="auto"/>
              <w:right w:val="single" w:sz="4" w:space="0" w:color="auto"/>
            </w:tcBorders>
            <w:shd w:val="clear" w:color="auto" w:fill="auto"/>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DL 2015/092</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6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59" w:history="1">
              <w:r w:rsidR="00332C22" w:rsidRPr="009D12FD">
                <w:rPr>
                  <w:rFonts w:ascii="Calibri" w:hAnsi="Calibri"/>
                  <w:b/>
                  <w:bCs/>
                  <w:color w:val="0000FF"/>
                  <w:szCs w:val="22"/>
                  <w:u w:val="single"/>
                </w:rPr>
                <w:t>0017</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60" w:anchor="data.20150729.com" w:history="1">
              <w:r w:rsidR="00332C22" w:rsidRPr="009D12FD">
                <w:rPr>
                  <w:rFonts w:ascii="Calibri" w:hAnsi="Calibri"/>
                  <w:b/>
                  <w:bCs/>
                  <w:color w:val="0000FF"/>
                  <w:szCs w:val="22"/>
                  <w:u w:val="single"/>
                </w:rPr>
                <w:t>3249</w:t>
              </w:r>
            </w:hyperlink>
          </w:p>
        </w:tc>
        <w:tc>
          <w:tcPr>
            <w:tcW w:w="704" w:type="pct"/>
            <w:tcBorders>
              <w:top w:val="nil"/>
              <w:left w:val="nil"/>
              <w:bottom w:val="single" w:sz="4" w:space="0" w:color="auto"/>
              <w:right w:val="single" w:sz="4" w:space="0" w:color="auto"/>
            </w:tcBorders>
            <w:shd w:val="clear" w:color="auto" w:fill="auto"/>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DL 2015/099</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66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61" w:history="1">
              <w:r w:rsidR="00332C22" w:rsidRPr="009D12FD">
                <w:rPr>
                  <w:rFonts w:ascii="Calibri" w:hAnsi="Calibri"/>
                  <w:b/>
                  <w:bCs/>
                  <w:color w:val="0000FF"/>
                  <w:szCs w:val="22"/>
                  <w:u w:val="single"/>
                </w:rPr>
                <w:t>0019</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62" w:anchor="data.20150730.com" w:history="1">
              <w:r w:rsidR="00332C22" w:rsidRPr="009D12FD">
                <w:rPr>
                  <w:rFonts w:ascii="Calibri" w:hAnsi="Calibri"/>
                  <w:b/>
                  <w:bCs/>
                  <w:color w:val="0000FF"/>
                  <w:szCs w:val="22"/>
                  <w:u w:val="single"/>
                </w:rPr>
                <w:t>3262</w:t>
              </w:r>
            </w:hyperlink>
          </w:p>
        </w:tc>
        <w:tc>
          <w:tcPr>
            <w:tcW w:w="704" w:type="pct"/>
            <w:tcBorders>
              <w:top w:val="nil"/>
              <w:left w:val="nil"/>
              <w:bottom w:val="single" w:sz="4" w:space="0" w:color="auto"/>
              <w:right w:val="single" w:sz="4" w:space="0" w:color="auto"/>
            </w:tcBorders>
            <w:shd w:val="clear" w:color="auto" w:fill="auto"/>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DL 2015/078</w:t>
            </w:r>
          </w:p>
        </w:tc>
        <w:tc>
          <w:tcPr>
            <w:tcW w:w="37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91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63" w:history="1">
              <w:r w:rsidR="00332C22" w:rsidRPr="009D12FD">
                <w:rPr>
                  <w:rFonts w:ascii="Calibri" w:hAnsi="Calibri"/>
                  <w:b/>
                  <w:bCs/>
                  <w:color w:val="0000FF"/>
                  <w:szCs w:val="22"/>
                  <w:u w:val="single"/>
                </w:rPr>
                <w:t>0020</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64" w:anchor="data.20150930.com" w:history="1">
              <w:r w:rsidR="00332C22" w:rsidRPr="009D12FD">
                <w:rPr>
                  <w:rFonts w:ascii="Calibri" w:hAnsi="Calibri"/>
                  <w:b/>
                  <w:bCs/>
                  <w:color w:val="0000FF"/>
                  <w:szCs w:val="22"/>
                  <w:u w:val="single"/>
                </w:rPr>
                <w:t>3315</w:t>
              </w:r>
            </w:hyperlink>
          </w:p>
        </w:tc>
        <w:tc>
          <w:tcPr>
            <w:tcW w:w="704" w:type="pct"/>
            <w:tcBorders>
              <w:top w:val="nil"/>
              <w:left w:val="nil"/>
              <w:bottom w:val="single" w:sz="4" w:space="0" w:color="auto"/>
              <w:right w:val="single" w:sz="4" w:space="0" w:color="auto"/>
            </w:tcBorders>
            <w:shd w:val="clear" w:color="auto" w:fill="auto"/>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DL 2015/146</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65" w:history="1">
              <w:r w:rsidR="00332C22" w:rsidRPr="009D12FD">
                <w:rPr>
                  <w:rFonts w:ascii="Calibri" w:hAnsi="Calibri"/>
                  <w:b/>
                  <w:bCs/>
                  <w:color w:val="0000FF"/>
                  <w:szCs w:val="22"/>
                  <w:u w:val="single"/>
                </w:rPr>
                <w:t>0022</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66" w:anchor="data.20150930.com" w:history="1">
              <w:r w:rsidR="00332C22" w:rsidRPr="009D12FD">
                <w:rPr>
                  <w:rFonts w:ascii="Calibri" w:hAnsi="Calibri"/>
                  <w:b/>
                  <w:bCs/>
                  <w:color w:val="0000FF"/>
                  <w:szCs w:val="22"/>
                  <w:u w:val="single"/>
                </w:rPr>
                <w:t>3272</w:t>
              </w:r>
            </w:hyperlink>
          </w:p>
        </w:tc>
        <w:tc>
          <w:tcPr>
            <w:tcW w:w="704" w:type="pct"/>
            <w:tcBorders>
              <w:top w:val="nil"/>
              <w:left w:val="nil"/>
              <w:bottom w:val="single" w:sz="4" w:space="0" w:color="auto"/>
              <w:right w:val="single" w:sz="4" w:space="0" w:color="auto"/>
            </w:tcBorders>
            <w:shd w:val="clear" w:color="auto" w:fill="auto"/>
            <w:vAlign w:val="center"/>
            <w:hideMark/>
          </w:tcPr>
          <w:p w:rsidR="00332C22" w:rsidRPr="009D12FD" w:rsidRDefault="00332C22" w:rsidP="00BF7BFE">
            <w:pPr>
              <w:spacing w:line="240" w:lineRule="auto"/>
              <w:ind w:firstLine="0"/>
              <w:jc w:val="left"/>
              <w:rPr>
                <w:rFonts w:ascii="Calibri" w:hAnsi="Calibri"/>
                <w:b/>
                <w:bCs/>
                <w:szCs w:val="22"/>
              </w:rPr>
            </w:pPr>
            <w:r w:rsidRPr="009D12FD">
              <w:rPr>
                <w:rFonts w:ascii="Calibri" w:hAnsi="Calibri"/>
                <w:b/>
                <w:bCs/>
                <w:szCs w:val="22"/>
              </w:rPr>
              <w:t>ddl Gov</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67" w:history="1">
              <w:r w:rsidR="00332C22" w:rsidRPr="009D12FD">
                <w:rPr>
                  <w:rFonts w:ascii="Calibri" w:hAnsi="Calibri"/>
                  <w:b/>
                  <w:bCs/>
                  <w:color w:val="0000FF"/>
                  <w:szCs w:val="22"/>
                  <w:u w:val="single"/>
                </w:rPr>
                <w:t>0023</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68" w:anchor="data.20151104.com" w:history="1">
              <w:r w:rsidR="00332C22" w:rsidRPr="009D12FD">
                <w:rPr>
                  <w:rFonts w:ascii="Calibri" w:hAnsi="Calibri"/>
                  <w:b/>
                  <w:bCs/>
                  <w:color w:val="0000FF"/>
                  <w:szCs w:val="22"/>
                  <w:u w:val="single"/>
                </w:rPr>
                <w:t>3386</w:t>
              </w:r>
            </w:hyperlink>
          </w:p>
        </w:tc>
        <w:tc>
          <w:tcPr>
            <w:tcW w:w="704" w:type="pct"/>
            <w:tcBorders>
              <w:top w:val="nil"/>
              <w:left w:val="nil"/>
              <w:bottom w:val="single" w:sz="4" w:space="0" w:color="auto"/>
              <w:right w:val="single" w:sz="4" w:space="0" w:color="auto"/>
            </w:tcBorders>
            <w:shd w:val="clear" w:color="auto" w:fill="auto"/>
            <w:vAlign w:val="center"/>
            <w:hideMark/>
          </w:tcPr>
          <w:p w:rsidR="00332C22" w:rsidRPr="009D12FD" w:rsidRDefault="00332C22" w:rsidP="00BF7BFE">
            <w:pPr>
              <w:spacing w:line="240" w:lineRule="auto"/>
              <w:ind w:firstLine="0"/>
              <w:jc w:val="left"/>
              <w:rPr>
                <w:rFonts w:ascii="Calibri" w:hAnsi="Calibri"/>
                <w:b/>
                <w:bCs/>
                <w:szCs w:val="22"/>
              </w:rPr>
            </w:pPr>
            <w:r w:rsidRPr="009D12FD">
              <w:rPr>
                <w:rFonts w:ascii="Calibri" w:hAnsi="Calibri"/>
                <w:b/>
                <w:bCs/>
                <w:szCs w:val="22"/>
              </w:rPr>
              <w:t>DL 2015/153</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69" w:history="1">
              <w:r w:rsidR="00332C22" w:rsidRPr="009D12FD">
                <w:rPr>
                  <w:rFonts w:ascii="Calibri" w:hAnsi="Calibri"/>
                  <w:b/>
                  <w:bCs/>
                  <w:color w:val="0000FF"/>
                  <w:szCs w:val="22"/>
                  <w:u w:val="single"/>
                </w:rPr>
                <w:t>0026</w:t>
              </w:r>
            </w:hyperlink>
          </w:p>
        </w:tc>
      </w:tr>
      <w:tr w:rsidR="00332C22" w:rsidRPr="009D12FD" w:rsidTr="0035615F">
        <w:trPr>
          <w:trHeight w:val="522"/>
          <w:jc w:val="center"/>
        </w:trPr>
        <w:tc>
          <w:tcPr>
            <w:tcW w:w="355" w:type="pct"/>
            <w:tcBorders>
              <w:top w:val="nil"/>
              <w:left w:val="single" w:sz="4" w:space="0" w:color="auto"/>
              <w:bottom w:val="single" w:sz="4" w:space="0" w:color="auto"/>
              <w:right w:val="single" w:sz="4" w:space="0" w:color="auto"/>
            </w:tcBorders>
            <w:shd w:val="clear" w:color="000000" w:fill="99CCFF"/>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70" w:anchor="data.20151104.com" w:history="1">
              <w:r w:rsidR="00332C22" w:rsidRPr="009D12FD">
                <w:rPr>
                  <w:rFonts w:ascii="Calibri" w:hAnsi="Calibri"/>
                  <w:b/>
                  <w:bCs/>
                  <w:color w:val="0000FF"/>
                  <w:szCs w:val="22"/>
                  <w:u w:val="single"/>
                </w:rPr>
                <w:t>TU 1138</w:t>
              </w:r>
            </w:hyperlink>
          </w:p>
        </w:tc>
        <w:tc>
          <w:tcPr>
            <w:tcW w:w="704" w:type="pct"/>
            <w:tcBorders>
              <w:top w:val="nil"/>
              <w:left w:val="nil"/>
              <w:bottom w:val="single" w:sz="4" w:space="0" w:color="auto"/>
              <w:right w:val="single" w:sz="4" w:space="0" w:color="auto"/>
            </w:tcBorders>
            <w:shd w:val="clear" w:color="auto" w:fill="auto"/>
            <w:vAlign w:val="center"/>
            <w:hideMark/>
          </w:tcPr>
          <w:p w:rsidR="00332C22" w:rsidRPr="009D12FD" w:rsidRDefault="00332C22" w:rsidP="00BF7BFE">
            <w:pPr>
              <w:spacing w:line="240" w:lineRule="auto"/>
              <w:ind w:firstLine="0"/>
              <w:jc w:val="left"/>
              <w:rPr>
                <w:rFonts w:ascii="Calibri" w:hAnsi="Calibri"/>
                <w:b/>
                <w:bCs/>
                <w:szCs w:val="22"/>
              </w:rPr>
            </w:pPr>
            <w:r w:rsidRPr="009D12FD">
              <w:rPr>
                <w:rFonts w:ascii="Calibri" w:hAnsi="Calibri"/>
                <w:b/>
                <w:bCs/>
                <w:szCs w:val="22"/>
              </w:rPr>
              <w:t>pdl mista</w:t>
            </w:r>
          </w:p>
        </w:tc>
        <w:tc>
          <w:tcPr>
            <w:tcW w:w="37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91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9D12FD" w:rsidRDefault="00332C22" w:rsidP="00BF7BFE">
            <w:pPr>
              <w:spacing w:line="240" w:lineRule="auto"/>
              <w:ind w:firstLine="0"/>
              <w:jc w:val="center"/>
              <w:rPr>
                <w:rFonts w:ascii="Calibri" w:hAnsi="Calibri"/>
                <w:b/>
                <w:bCs/>
                <w:color w:val="FF0000"/>
                <w:szCs w:val="22"/>
              </w:rPr>
            </w:pPr>
            <w:r w:rsidRPr="009D12FD">
              <w:rPr>
                <w:rFonts w:ascii="Calibri" w:hAnsi="Calibri"/>
                <w:b/>
                <w:bCs/>
                <w:color w:val="FF0000"/>
                <w:szCs w:val="22"/>
              </w:rPr>
              <w:t>SI</w:t>
            </w:r>
          </w:p>
        </w:tc>
        <w:tc>
          <w:tcPr>
            <w:tcW w:w="66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9"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552"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498" w:type="pct"/>
            <w:tcBorders>
              <w:top w:val="nil"/>
              <w:left w:val="nil"/>
              <w:bottom w:val="single" w:sz="4" w:space="0" w:color="auto"/>
              <w:right w:val="single" w:sz="4" w:space="0" w:color="auto"/>
            </w:tcBorders>
            <w:shd w:val="clear" w:color="auto" w:fill="auto"/>
            <w:noWrap/>
            <w:vAlign w:val="center"/>
            <w:hideMark/>
          </w:tcPr>
          <w:p w:rsidR="00332C22" w:rsidRPr="009D12FD" w:rsidRDefault="00332C22" w:rsidP="00BF7BFE">
            <w:pPr>
              <w:spacing w:line="240" w:lineRule="auto"/>
              <w:ind w:firstLine="0"/>
              <w:jc w:val="center"/>
              <w:rPr>
                <w:rFonts w:ascii="Calibri" w:hAnsi="Calibri"/>
                <w:b/>
                <w:bCs/>
                <w:szCs w:val="22"/>
              </w:rPr>
            </w:pPr>
            <w:r w:rsidRPr="009D12FD">
              <w:rPr>
                <w:rFonts w:ascii="Calibri" w:hAnsi="Calibri"/>
                <w:b/>
                <w:bCs/>
                <w:szCs w:val="22"/>
              </w:rPr>
              <w:t>NO</w:t>
            </w:r>
          </w:p>
        </w:tc>
        <w:tc>
          <w:tcPr>
            <w:tcW w:w="372" w:type="pct"/>
            <w:tcBorders>
              <w:top w:val="nil"/>
              <w:left w:val="nil"/>
              <w:bottom w:val="single" w:sz="4" w:space="0" w:color="auto"/>
              <w:right w:val="single" w:sz="4" w:space="0" w:color="auto"/>
            </w:tcBorders>
            <w:shd w:val="clear" w:color="auto" w:fill="auto"/>
            <w:vAlign w:val="center"/>
            <w:hideMark/>
          </w:tcPr>
          <w:p w:rsidR="00332C22" w:rsidRPr="009D12FD" w:rsidRDefault="00EB0878" w:rsidP="00BF7BFE">
            <w:pPr>
              <w:spacing w:line="240" w:lineRule="auto"/>
              <w:ind w:firstLine="0"/>
              <w:jc w:val="center"/>
              <w:rPr>
                <w:rFonts w:ascii="Calibri" w:hAnsi="Calibri"/>
                <w:b/>
                <w:bCs/>
                <w:color w:val="0000FF"/>
                <w:szCs w:val="22"/>
                <w:u w:val="single"/>
              </w:rPr>
            </w:pPr>
            <w:hyperlink r:id="rId171" w:history="1">
              <w:r w:rsidR="00332C22" w:rsidRPr="009D12FD">
                <w:rPr>
                  <w:rFonts w:ascii="Calibri" w:hAnsi="Calibri"/>
                  <w:b/>
                  <w:bCs/>
                  <w:color w:val="0000FF"/>
                  <w:szCs w:val="22"/>
                  <w:u w:val="single"/>
                </w:rPr>
                <w:t>0027</w:t>
              </w:r>
            </w:hyperlink>
          </w:p>
        </w:tc>
      </w:tr>
    </w:tbl>
    <w:p w:rsidR="00332C22" w:rsidRDefault="00332C22" w:rsidP="00BF7BFE">
      <w:pPr>
        <w:sectPr w:rsidR="00332C22" w:rsidSect="00BF7BFE">
          <w:headerReference w:type="even" r:id="rId172"/>
          <w:headerReference w:type="default" r:id="rId173"/>
          <w:footerReference w:type="even" r:id="rId174"/>
          <w:footerReference w:type="default" r:id="rId175"/>
          <w:headerReference w:type="first" r:id="rId176"/>
          <w:footerReference w:type="first" r:id="rId177"/>
          <w:pgSz w:w="11906" w:h="16838" w:code="9"/>
          <w:pgMar w:top="1418" w:right="1418" w:bottom="1134" w:left="1418" w:header="567" w:footer="567" w:gutter="0"/>
          <w:cols w:space="708"/>
          <w:docGrid w:linePitch="360"/>
        </w:sectPr>
      </w:pPr>
    </w:p>
    <w:p w:rsidR="00332C22" w:rsidRPr="009D12FD" w:rsidRDefault="00332C22" w:rsidP="00BF7BFE"/>
    <w:p w:rsidR="00332C22" w:rsidRPr="004F269D" w:rsidRDefault="00332C22" w:rsidP="004F269D">
      <w:pPr>
        <w:pStyle w:val="Titolo2"/>
        <w:rPr>
          <w:rFonts w:ascii="Garamond" w:hAnsi="Garamond"/>
          <w:color w:val="0000FF"/>
          <w:sz w:val="32"/>
          <w:szCs w:val="32"/>
        </w:rPr>
      </w:pPr>
      <w:bookmarkStart w:id="154" w:name="Tab04"/>
      <w:bookmarkStart w:id="155" w:name="_Toc440030390"/>
      <w:r w:rsidRPr="004F269D">
        <w:rPr>
          <w:rFonts w:ascii="Garamond" w:hAnsi="Garamond"/>
          <w:color w:val="0000FF"/>
          <w:sz w:val="32"/>
          <w:szCs w:val="32"/>
        </w:rPr>
        <w:t>TAB. 4 “SISTEMA DELLE FONTI</w:t>
      </w:r>
      <w:bookmarkEnd w:id="154"/>
      <w:r w:rsidRPr="004F269D">
        <w:rPr>
          <w:rFonts w:ascii="Garamond" w:hAnsi="Garamond"/>
          <w:color w:val="0000FF"/>
          <w:sz w:val="32"/>
          <w:szCs w:val="32"/>
        </w:rPr>
        <w:t>”</w:t>
      </w:r>
      <w:bookmarkEnd w:id="155"/>
    </w:p>
    <w:p w:rsidR="00332C22" w:rsidRPr="00855885" w:rsidRDefault="00332C22" w:rsidP="00BF7BFE">
      <w:pPr>
        <w:keepNext/>
        <w:spacing w:before="360" w:after="240"/>
        <w:ind w:left="284" w:hanging="284"/>
        <w:outlineLvl w:val="1"/>
        <w:rPr>
          <w:rFonts w:ascii="Garamond" w:hAnsi="Garamond"/>
          <w:b/>
          <w:color w:val="0000FF"/>
          <w:sz w:val="32"/>
          <w:szCs w:val="32"/>
        </w:rPr>
      </w:pPr>
    </w:p>
    <w:tbl>
      <w:tblPr>
        <w:tblW w:w="14080" w:type="dxa"/>
        <w:jc w:val="center"/>
        <w:tblInd w:w="60" w:type="dxa"/>
        <w:tblCellMar>
          <w:left w:w="70" w:type="dxa"/>
          <w:right w:w="70" w:type="dxa"/>
        </w:tblCellMar>
        <w:tblLook w:val="04A0" w:firstRow="1" w:lastRow="0" w:firstColumn="1" w:lastColumn="0" w:noHBand="0" w:noVBand="1"/>
      </w:tblPr>
      <w:tblGrid>
        <w:gridCol w:w="930"/>
        <w:gridCol w:w="997"/>
        <w:gridCol w:w="1061"/>
        <w:gridCol w:w="1333"/>
        <w:gridCol w:w="1014"/>
        <w:gridCol w:w="1018"/>
        <w:gridCol w:w="1387"/>
        <w:gridCol w:w="1014"/>
        <w:gridCol w:w="1087"/>
        <w:gridCol w:w="1187"/>
        <w:gridCol w:w="1062"/>
        <w:gridCol w:w="1049"/>
        <w:gridCol w:w="941"/>
      </w:tblGrid>
      <w:tr w:rsidR="00332C22" w:rsidRPr="00855885" w:rsidTr="00BF7BFE">
        <w:trPr>
          <w:trHeight w:val="522"/>
          <w:tblHeader/>
          <w:jc w:val="center"/>
        </w:trPr>
        <w:tc>
          <w:tcPr>
            <w:tcW w:w="14080" w:type="dxa"/>
            <w:gridSpan w:val="13"/>
            <w:tcBorders>
              <w:top w:val="single" w:sz="8" w:space="0" w:color="auto"/>
              <w:left w:val="single" w:sz="8" w:space="0" w:color="auto"/>
              <w:bottom w:val="nil"/>
              <w:right w:val="single" w:sz="8" w:space="0" w:color="000000"/>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Cs w:val="28"/>
              </w:rPr>
            </w:pPr>
            <w:r w:rsidRPr="00855885">
              <w:rPr>
                <w:rFonts w:ascii="Garamond" w:hAnsi="Garamond"/>
                <w:b/>
                <w:bCs/>
                <w:color w:val="FFFF00"/>
                <w:szCs w:val="28"/>
              </w:rPr>
              <w:t>SISTEMA DELLE FONTI</w:t>
            </w:r>
          </w:p>
        </w:tc>
      </w:tr>
      <w:tr w:rsidR="00332C22" w:rsidRPr="00855885" w:rsidTr="00BF7BFE">
        <w:trPr>
          <w:trHeight w:val="1215"/>
          <w:tblHeader/>
          <w:jc w:val="center"/>
        </w:trPr>
        <w:tc>
          <w:tcPr>
            <w:tcW w:w="1031" w:type="dxa"/>
            <w:tcBorders>
              <w:top w:val="single" w:sz="8" w:space="0" w:color="auto"/>
              <w:left w:val="single" w:sz="8" w:space="0" w:color="auto"/>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rPr>
            </w:pPr>
            <w:r w:rsidRPr="00855885">
              <w:rPr>
                <w:rFonts w:ascii="Garamond" w:hAnsi="Garamond"/>
                <w:b/>
                <w:bCs/>
                <w:color w:val="FFFF00"/>
              </w:rPr>
              <w:t>AC</w:t>
            </w:r>
          </w:p>
        </w:tc>
        <w:tc>
          <w:tcPr>
            <w:tcW w:w="1049" w:type="dxa"/>
            <w:tcBorders>
              <w:top w:val="single" w:sz="8" w:space="0" w:color="auto"/>
              <w:left w:val="nil"/>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Forma Atto</w:t>
            </w:r>
          </w:p>
        </w:tc>
        <w:tc>
          <w:tcPr>
            <w:tcW w:w="1066" w:type="dxa"/>
            <w:tcBorders>
              <w:top w:val="single" w:sz="8" w:space="0" w:color="auto"/>
              <w:left w:val="nil"/>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Rapporti con fonti subordinate</w:t>
            </w:r>
          </w:p>
        </w:tc>
        <w:tc>
          <w:tcPr>
            <w:tcW w:w="1203" w:type="dxa"/>
            <w:tcBorders>
              <w:top w:val="single" w:sz="8" w:space="0" w:color="auto"/>
              <w:left w:val="nil"/>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Delegificazione spuria</w:t>
            </w:r>
          </w:p>
        </w:tc>
        <w:tc>
          <w:tcPr>
            <w:tcW w:w="1054" w:type="dxa"/>
            <w:tcBorders>
              <w:top w:val="single" w:sz="8" w:space="0" w:color="auto"/>
              <w:left w:val="nil"/>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Coerente utilizzo fonti normative</w:t>
            </w:r>
          </w:p>
        </w:tc>
        <w:tc>
          <w:tcPr>
            <w:tcW w:w="1055" w:type="dxa"/>
            <w:tcBorders>
              <w:top w:val="single" w:sz="8" w:space="0" w:color="auto"/>
              <w:left w:val="nil"/>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DPCM con contenuto normativo</w:t>
            </w:r>
          </w:p>
        </w:tc>
        <w:tc>
          <w:tcPr>
            <w:tcW w:w="1257" w:type="dxa"/>
            <w:tcBorders>
              <w:top w:val="single" w:sz="8" w:space="0" w:color="auto"/>
              <w:left w:val="nil"/>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Sovrapposizione di fonti normative</w:t>
            </w:r>
          </w:p>
        </w:tc>
        <w:tc>
          <w:tcPr>
            <w:tcW w:w="1054" w:type="dxa"/>
            <w:tcBorders>
              <w:top w:val="single" w:sz="8" w:space="0" w:color="auto"/>
              <w:left w:val="nil"/>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Coord. con vigenti fonti normative</w:t>
            </w:r>
          </w:p>
        </w:tc>
        <w:tc>
          <w:tcPr>
            <w:tcW w:w="1069" w:type="dxa"/>
            <w:tcBorders>
              <w:top w:val="single" w:sz="8" w:space="0" w:color="auto"/>
              <w:left w:val="nil"/>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Efficacia temporale Retroattività Effic. differita</w:t>
            </w:r>
          </w:p>
        </w:tc>
        <w:tc>
          <w:tcPr>
            <w:tcW w:w="1078" w:type="dxa"/>
            <w:tcBorders>
              <w:top w:val="single" w:sz="8" w:space="0" w:color="auto"/>
              <w:left w:val="nil"/>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Adempimenti</w:t>
            </w:r>
          </w:p>
        </w:tc>
        <w:tc>
          <w:tcPr>
            <w:tcW w:w="1066" w:type="dxa"/>
            <w:tcBorders>
              <w:top w:val="single" w:sz="8" w:space="0" w:color="auto"/>
              <w:left w:val="nil"/>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Intreccio con DL in corso di conversione</w:t>
            </w:r>
          </w:p>
        </w:tc>
        <w:tc>
          <w:tcPr>
            <w:tcW w:w="1063" w:type="dxa"/>
            <w:tcBorders>
              <w:top w:val="single" w:sz="8" w:space="0" w:color="auto"/>
              <w:left w:val="nil"/>
              <w:bottom w:val="single" w:sz="8" w:space="0" w:color="auto"/>
              <w:right w:val="single" w:sz="4"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Confluenza di DL</w:t>
            </w:r>
          </w:p>
        </w:tc>
        <w:tc>
          <w:tcPr>
            <w:tcW w:w="1035" w:type="dxa"/>
            <w:tcBorders>
              <w:top w:val="single" w:sz="8" w:space="0" w:color="auto"/>
              <w:left w:val="nil"/>
              <w:bottom w:val="single" w:sz="8" w:space="0" w:color="auto"/>
              <w:right w:val="single" w:sz="8" w:space="0" w:color="auto"/>
            </w:tcBorders>
            <w:shd w:val="clear" w:color="000000" w:fill="C0C0C0"/>
            <w:vAlign w:val="center"/>
            <w:hideMark/>
          </w:tcPr>
          <w:p w:rsidR="00332C22" w:rsidRPr="00855885" w:rsidRDefault="00332C22" w:rsidP="00BF7BFE">
            <w:pPr>
              <w:spacing w:line="240" w:lineRule="auto"/>
              <w:ind w:firstLine="0"/>
              <w:jc w:val="center"/>
              <w:rPr>
                <w:rFonts w:ascii="Garamond" w:hAnsi="Garamond"/>
                <w:b/>
                <w:bCs/>
                <w:color w:val="FFFF00"/>
                <w:sz w:val="18"/>
                <w:szCs w:val="18"/>
              </w:rPr>
            </w:pPr>
            <w:r w:rsidRPr="00855885">
              <w:rPr>
                <w:rFonts w:ascii="Garamond" w:hAnsi="Garamond"/>
                <w:b/>
                <w:bCs/>
                <w:color w:val="FFFF00"/>
                <w:sz w:val="18"/>
                <w:szCs w:val="18"/>
              </w:rPr>
              <w:t>Scheda</w:t>
            </w:r>
          </w:p>
        </w:tc>
      </w:tr>
      <w:tr w:rsidR="00332C22" w:rsidRPr="00855885" w:rsidTr="00BF7BFE">
        <w:trPr>
          <w:trHeight w:val="439"/>
          <w:jc w:val="center"/>
        </w:trPr>
        <w:tc>
          <w:tcPr>
            <w:tcW w:w="1031"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78" w:anchor="data.20150115.com" w:history="1">
              <w:r w:rsidR="00332C22" w:rsidRPr="00855885">
                <w:rPr>
                  <w:rFonts w:ascii="Calibri" w:hAnsi="Calibri"/>
                  <w:b/>
                  <w:bCs/>
                  <w:color w:val="0000FF"/>
                  <w:u w:val="single"/>
                </w:rPr>
                <w:t>2803</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2014/192</w:t>
            </w:r>
          </w:p>
        </w:tc>
        <w:tc>
          <w:tcPr>
            <w:tcW w:w="1066" w:type="dxa"/>
            <w:tcBorders>
              <w:top w:val="nil"/>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203" w:type="dxa"/>
            <w:tcBorders>
              <w:top w:val="nil"/>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4" w:type="dxa"/>
            <w:tcBorders>
              <w:top w:val="nil"/>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4" w:type="dxa"/>
            <w:tcBorders>
              <w:top w:val="nil"/>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nil"/>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79" w:history="1">
              <w:r w:rsidR="00332C22" w:rsidRPr="00855885">
                <w:rPr>
                  <w:rFonts w:ascii="Calibri" w:hAnsi="Calibri"/>
                  <w:b/>
                  <w:bCs/>
                  <w:color w:val="0000FF"/>
                  <w:u w:val="single"/>
                </w:rPr>
                <w:t>0001</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80" w:anchor="data.20150210.com" w:history="1">
              <w:r w:rsidR="00332C22" w:rsidRPr="00855885">
                <w:rPr>
                  <w:rFonts w:ascii="Calibri" w:hAnsi="Calibri"/>
                  <w:b/>
                  <w:bCs/>
                  <w:color w:val="0000FF"/>
                  <w:u w:val="single"/>
                </w:rPr>
                <w:t>2844</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2015/003</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5"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81" w:history="1">
              <w:r w:rsidR="00332C22" w:rsidRPr="00855885">
                <w:rPr>
                  <w:rFonts w:ascii="Calibri" w:hAnsi="Calibri"/>
                  <w:b/>
                  <w:bCs/>
                  <w:color w:val="0000FF"/>
                  <w:u w:val="single"/>
                </w:rPr>
                <w:t>0002</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82" w:anchor="data.20150224.com" w:history="1">
              <w:r w:rsidR="00332C22" w:rsidRPr="00855885">
                <w:rPr>
                  <w:rFonts w:ascii="Calibri" w:hAnsi="Calibri"/>
                  <w:b/>
                  <w:bCs/>
                  <w:color w:val="0000FF"/>
                  <w:u w:val="single"/>
                </w:rPr>
                <w:t>2894</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2015/001</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83" w:history="1">
              <w:r w:rsidR="00332C22" w:rsidRPr="00855885">
                <w:rPr>
                  <w:rFonts w:ascii="Calibri" w:hAnsi="Calibri"/>
                  <w:b/>
                  <w:bCs/>
                  <w:color w:val="0000FF"/>
                  <w:u w:val="single"/>
                </w:rPr>
                <w:t>0003</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84" w:anchor="data.20150227.com" w:history="1">
              <w:r w:rsidR="00332C22" w:rsidRPr="00855885">
                <w:rPr>
                  <w:rFonts w:ascii="Calibri" w:hAnsi="Calibri"/>
                  <w:b/>
                  <w:bCs/>
                  <w:color w:val="0000FF"/>
                  <w:u w:val="single"/>
                </w:rPr>
                <w:t>2893</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2015/007</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85" w:history="1">
              <w:r w:rsidR="00332C22" w:rsidRPr="00855885">
                <w:rPr>
                  <w:rFonts w:ascii="Calibri" w:hAnsi="Calibri"/>
                  <w:b/>
                  <w:bCs/>
                  <w:color w:val="0000FF"/>
                  <w:u w:val="single"/>
                </w:rPr>
                <w:t>0004</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86" w:anchor="data.20150304.com" w:history="1">
              <w:r w:rsidR="00332C22" w:rsidRPr="00855885">
                <w:rPr>
                  <w:rFonts w:ascii="Calibri" w:hAnsi="Calibri"/>
                  <w:b/>
                  <w:bCs/>
                  <w:color w:val="0000FF"/>
                  <w:u w:val="single"/>
                </w:rPr>
                <w:t>2915</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2015/004</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9"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87" w:history="1">
              <w:r w:rsidR="00332C22" w:rsidRPr="00855885">
                <w:rPr>
                  <w:rFonts w:ascii="Calibri" w:hAnsi="Calibri"/>
                  <w:b/>
                  <w:bCs/>
                  <w:color w:val="0000FF"/>
                  <w:u w:val="single"/>
                </w:rPr>
                <w:t>0005</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88" w:anchor="data.20150422.com" w:history="1">
              <w:r w:rsidR="00332C22" w:rsidRPr="00855885">
                <w:rPr>
                  <w:rFonts w:ascii="Calibri" w:hAnsi="Calibri"/>
                  <w:b/>
                  <w:bCs/>
                  <w:color w:val="0000FF"/>
                  <w:u w:val="single"/>
                </w:rPr>
                <w:t>TU 3-bis-B</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pdl</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89" w:history="1">
              <w:r w:rsidR="00332C22" w:rsidRPr="00855885">
                <w:rPr>
                  <w:rFonts w:ascii="Calibri" w:hAnsi="Calibri"/>
                  <w:b/>
                  <w:bCs/>
                  <w:color w:val="0000FF"/>
                  <w:u w:val="single"/>
                </w:rPr>
                <w:t>0006</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90" w:anchor="data.20150428.com" w:history="1">
              <w:r w:rsidR="00332C22" w:rsidRPr="00855885">
                <w:rPr>
                  <w:rFonts w:ascii="Calibri" w:hAnsi="Calibri"/>
                  <w:b/>
                  <w:bCs/>
                  <w:color w:val="0000FF"/>
                  <w:u w:val="single"/>
                </w:rPr>
                <w:t>2994</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ddl Gov</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5"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91" w:history="1">
              <w:r w:rsidR="00332C22" w:rsidRPr="00855885">
                <w:rPr>
                  <w:rFonts w:ascii="Calibri" w:hAnsi="Calibri"/>
                  <w:b/>
                  <w:bCs/>
                  <w:color w:val="0000FF"/>
                  <w:u w:val="single"/>
                </w:rPr>
                <w:t>0009</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92" w:anchor="data.20150513.com" w:history="1">
              <w:r w:rsidR="00332C22" w:rsidRPr="00855885">
                <w:rPr>
                  <w:rFonts w:ascii="Calibri" w:hAnsi="Calibri"/>
                  <w:b/>
                  <w:bCs/>
                  <w:color w:val="0000FF"/>
                  <w:u w:val="single"/>
                </w:rPr>
                <w:t>3104</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2015/051</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93" w:history="1">
              <w:r w:rsidR="00332C22" w:rsidRPr="00855885">
                <w:rPr>
                  <w:rFonts w:ascii="Calibri" w:hAnsi="Calibri"/>
                  <w:b/>
                  <w:bCs/>
                  <w:color w:val="0000FF"/>
                  <w:u w:val="single"/>
                </w:rPr>
                <w:t>0010</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94" w:anchor="data.20150604.com" w:history="1">
              <w:r w:rsidR="00332C22" w:rsidRPr="00855885">
                <w:rPr>
                  <w:rFonts w:ascii="Calibri" w:hAnsi="Calibri"/>
                  <w:b/>
                  <w:bCs/>
                  <w:color w:val="0000FF"/>
                  <w:u w:val="single"/>
                </w:rPr>
                <w:t>3134</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2015/065</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95" w:history="1">
              <w:r w:rsidR="00332C22" w:rsidRPr="00855885">
                <w:rPr>
                  <w:rFonts w:ascii="Calibri" w:hAnsi="Calibri"/>
                  <w:b/>
                  <w:bCs/>
                  <w:color w:val="0000FF"/>
                  <w:u w:val="single"/>
                </w:rPr>
                <w:t>0011</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96" w:anchor="data.20150611.com" w:history="1">
              <w:r w:rsidR="00332C22" w:rsidRPr="00855885">
                <w:rPr>
                  <w:rFonts w:ascii="Calibri" w:hAnsi="Calibri"/>
                  <w:b/>
                  <w:bCs/>
                  <w:color w:val="0000FF"/>
                  <w:u w:val="single"/>
                </w:rPr>
                <w:t>3098</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ddl Gov</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97" w:history="1">
              <w:r w:rsidR="00332C22" w:rsidRPr="00855885">
                <w:rPr>
                  <w:rFonts w:ascii="Calibri" w:hAnsi="Calibri"/>
                  <w:b/>
                  <w:bCs/>
                  <w:color w:val="0000FF"/>
                  <w:u w:val="single"/>
                </w:rPr>
                <w:t>0012</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98" w:anchor="data.20150702.com" w:history="1">
              <w:r w:rsidR="00332C22" w:rsidRPr="00855885">
                <w:rPr>
                  <w:rFonts w:ascii="Calibri" w:hAnsi="Calibri"/>
                  <w:b/>
                  <w:bCs/>
                  <w:color w:val="0000FF"/>
                  <w:u w:val="single"/>
                </w:rPr>
                <w:t>2798</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ddl Gov</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199" w:history="1">
              <w:r w:rsidR="00332C22" w:rsidRPr="00855885">
                <w:rPr>
                  <w:rFonts w:ascii="Calibri" w:hAnsi="Calibri"/>
                  <w:b/>
                  <w:bCs/>
                  <w:color w:val="0000FF"/>
                  <w:u w:val="single"/>
                </w:rPr>
                <w:t>0014</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200" w:anchor="data.20150702.com" w:history="1">
              <w:r w:rsidR="00332C22" w:rsidRPr="00855885">
                <w:rPr>
                  <w:rFonts w:ascii="Calibri" w:hAnsi="Calibri"/>
                  <w:b/>
                  <w:bCs/>
                  <w:color w:val="0000FF"/>
                  <w:u w:val="single"/>
                </w:rPr>
                <w:t>2994-B</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ddl Gov</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201" w:history="1">
              <w:r w:rsidR="00332C22" w:rsidRPr="00855885">
                <w:rPr>
                  <w:rFonts w:ascii="Calibri" w:hAnsi="Calibri"/>
                  <w:b/>
                  <w:bCs/>
                  <w:color w:val="0000FF"/>
                  <w:u w:val="single"/>
                </w:rPr>
                <w:t>0015</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202" w:anchor="data.20150708.com" w:history="1">
              <w:r w:rsidR="00332C22" w:rsidRPr="00855885">
                <w:rPr>
                  <w:rFonts w:ascii="Calibri" w:hAnsi="Calibri"/>
                  <w:b/>
                  <w:bCs/>
                  <w:color w:val="0000FF"/>
                  <w:u w:val="single"/>
                </w:rPr>
                <w:t>3134</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2015/083</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203" w:history="1">
              <w:r w:rsidR="00332C22" w:rsidRPr="00855885">
                <w:rPr>
                  <w:rFonts w:ascii="Calibri" w:hAnsi="Calibri"/>
                  <w:b/>
                  <w:bCs/>
                  <w:color w:val="0000FF"/>
                  <w:u w:val="single"/>
                </w:rPr>
                <w:t>0016</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66783F">
            <w:pPr>
              <w:ind w:firstLine="0"/>
              <w:jc w:val="center"/>
              <w:rPr>
                <w:rFonts w:ascii="Calibri" w:hAnsi="Calibri"/>
                <w:b/>
                <w:bCs/>
                <w:color w:val="0000FF"/>
                <w:u w:val="single"/>
              </w:rPr>
            </w:pPr>
            <w:hyperlink r:id="rId204" w:anchor="data.20150708.com" w:history="1">
              <w:r w:rsidR="0066783F">
                <w:rPr>
                  <w:rStyle w:val="Collegamentoipertestuale"/>
                  <w:rFonts w:ascii="Calibri" w:hAnsi="Calibri" w:cs="Arial"/>
                  <w:b/>
                  <w:bCs/>
                </w:rPr>
                <w:t>3201</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2015/092</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205" w:history="1">
              <w:r w:rsidR="00332C22" w:rsidRPr="00855885">
                <w:rPr>
                  <w:rFonts w:ascii="Calibri" w:hAnsi="Calibri"/>
                  <w:b/>
                  <w:bCs/>
                  <w:color w:val="0000FF"/>
                  <w:u w:val="single"/>
                </w:rPr>
                <w:t>0017</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206" w:anchor="data.20150715.com" w:history="1">
              <w:r w:rsidR="00332C22" w:rsidRPr="00855885">
                <w:rPr>
                  <w:rFonts w:ascii="Calibri" w:hAnsi="Calibri"/>
                  <w:b/>
                  <w:bCs/>
                  <w:color w:val="0000FF"/>
                  <w:u w:val="single"/>
                </w:rPr>
                <w:t>TU 2607</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pdl</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207" w:history="1">
              <w:r w:rsidR="00332C22" w:rsidRPr="00855885">
                <w:rPr>
                  <w:rFonts w:ascii="Calibri" w:hAnsi="Calibri"/>
                  <w:b/>
                  <w:bCs/>
                  <w:color w:val="0000FF"/>
                  <w:u w:val="single"/>
                </w:rPr>
                <w:t>0018</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208" w:anchor="data.20150729.com" w:history="1">
              <w:r w:rsidR="00332C22" w:rsidRPr="00855885">
                <w:rPr>
                  <w:rFonts w:ascii="Calibri" w:hAnsi="Calibri"/>
                  <w:b/>
                  <w:bCs/>
                  <w:color w:val="0000FF"/>
                  <w:u w:val="single"/>
                </w:rPr>
                <w:t>3249</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2015/099</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209" w:history="1">
              <w:r w:rsidR="00332C22" w:rsidRPr="00855885">
                <w:rPr>
                  <w:rFonts w:ascii="Calibri" w:hAnsi="Calibri"/>
                  <w:b/>
                  <w:bCs/>
                  <w:color w:val="0000FF"/>
                  <w:u w:val="single"/>
                </w:rPr>
                <w:t>0019</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210" w:anchor="data.20150730.com" w:history="1">
              <w:r w:rsidR="00332C22" w:rsidRPr="00855885">
                <w:rPr>
                  <w:rFonts w:ascii="Calibri" w:hAnsi="Calibri"/>
                  <w:b/>
                  <w:bCs/>
                  <w:color w:val="0000FF"/>
                  <w:u w:val="single"/>
                </w:rPr>
                <w:t>3262</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2015/078</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9"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78"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u w:val="single"/>
              </w:rPr>
            </w:pPr>
            <w:hyperlink r:id="rId211" w:history="1">
              <w:r w:rsidR="00332C22" w:rsidRPr="00855885">
                <w:rPr>
                  <w:rFonts w:ascii="Calibri" w:hAnsi="Calibri"/>
                  <w:b/>
                  <w:bCs/>
                  <w:color w:val="0000FF"/>
                  <w:u w:val="single"/>
                </w:rPr>
                <w:t>0020</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sz w:val="20"/>
                <w:u w:val="single"/>
              </w:rPr>
            </w:pPr>
            <w:hyperlink r:id="rId212" w:anchor="data.20151104.com" w:history="1">
              <w:r w:rsidR="00332C22" w:rsidRPr="00855885">
                <w:rPr>
                  <w:rFonts w:ascii="Calibri" w:hAnsi="Calibri"/>
                  <w:b/>
                  <w:bCs/>
                  <w:color w:val="0000FF"/>
                  <w:sz w:val="20"/>
                  <w:u w:val="single"/>
                </w:rPr>
                <w:t>2613-B</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ddl Gov</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9"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sz w:val="20"/>
                <w:u w:val="single"/>
              </w:rPr>
            </w:pPr>
            <w:hyperlink r:id="rId213" w:history="1">
              <w:r w:rsidR="00332C22" w:rsidRPr="00855885">
                <w:rPr>
                  <w:rFonts w:ascii="Calibri" w:hAnsi="Calibri"/>
                  <w:b/>
                  <w:bCs/>
                  <w:color w:val="0000FF"/>
                  <w:sz w:val="20"/>
                  <w:u w:val="single"/>
                </w:rPr>
                <w:t>0025</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sz w:val="20"/>
                <w:u w:val="single"/>
              </w:rPr>
            </w:pPr>
            <w:hyperlink r:id="rId214" w:anchor="data.20151104.com" w:history="1">
              <w:r w:rsidR="00332C22" w:rsidRPr="00855885">
                <w:rPr>
                  <w:rFonts w:ascii="Calibri" w:hAnsi="Calibri"/>
                  <w:b/>
                  <w:bCs/>
                  <w:color w:val="0000FF"/>
                  <w:sz w:val="20"/>
                  <w:u w:val="single"/>
                </w:rPr>
                <w:t>3386</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DL 2015/153</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9"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78"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sz w:val="20"/>
                <w:u w:val="single"/>
              </w:rPr>
            </w:pPr>
            <w:hyperlink r:id="rId215" w:history="1">
              <w:r w:rsidR="00332C22" w:rsidRPr="00855885">
                <w:rPr>
                  <w:rFonts w:ascii="Calibri" w:hAnsi="Calibri"/>
                  <w:b/>
                  <w:bCs/>
                  <w:color w:val="0000FF"/>
                  <w:sz w:val="20"/>
                  <w:u w:val="single"/>
                </w:rPr>
                <w:t>0026</w:t>
              </w:r>
            </w:hyperlink>
          </w:p>
        </w:tc>
      </w:tr>
      <w:tr w:rsidR="00332C22" w:rsidRPr="00855885" w:rsidTr="00BF7BFE">
        <w:trPr>
          <w:trHeight w:val="439"/>
          <w:jc w:val="center"/>
        </w:trPr>
        <w:tc>
          <w:tcPr>
            <w:tcW w:w="1031" w:type="dxa"/>
            <w:tcBorders>
              <w:top w:val="nil"/>
              <w:left w:val="single" w:sz="4" w:space="0" w:color="auto"/>
              <w:bottom w:val="single" w:sz="4" w:space="0" w:color="auto"/>
              <w:right w:val="single" w:sz="4" w:space="0" w:color="auto"/>
            </w:tcBorders>
            <w:shd w:val="clear" w:color="000000" w:fill="99CCFF"/>
            <w:vAlign w:val="center"/>
            <w:hideMark/>
          </w:tcPr>
          <w:p w:rsidR="00332C22" w:rsidRPr="00855885" w:rsidRDefault="00EB0878" w:rsidP="00BF7BFE">
            <w:pPr>
              <w:spacing w:line="240" w:lineRule="auto"/>
              <w:ind w:firstLine="0"/>
              <w:jc w:val="center"/>
              <w:rPr>
                <w:rFonts w:ascii="Calibri" w:hAnsi="Calibri"/>
                <w:b/>
                <w:bCs/>
                <w:color w:val="0000FF"/>
                <w:sz w:val="20"/>
                <w:u w:val="single"/>
              </w:rPr>
            </w:pPr>
            <w:hyperlink r:id="rId216" w:anchor="data.20151104.com" w:history="1">
              <w:r w:rsidR="00332C22" w:rsidRPr="00855885">
                <w:rPr>
                  <w:rFonts w:ascii="Calibri" w:hAnsi="Calibri"/>
                  <w:b/>
                  <w:bCs/>
                  <w:color w:val="0000FF"/>
                  <w:sz w:val="20"/>
                  <w:u w:val="single"/>
                </w:rPr>
                <w:t>TU 1138</w:t>
              </w:r>
            </w:hyperlink>
          </w:p>
        </w:tc>
        <w:tc>
          <w:tcPr>
            <w:tcW w:w="104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b/>
                <w:bCs/>
                <w:sz w:val="18"/>
                <w:szCs w:val="18"/>
              </w:rPr>
            </w:pPr>
            <w:r w:rsidRPr="00855885">
              <w:rPr>
                <w:rFonts w:ascii="Calibri" w:hAnsi="Calibri"/>
                <w:b/>
                <w:bCs/>
                <w:sz w:val="18"/>
                <w:szCs w:val="18"/>
              </w:rPr>
              <w:t>pdl mista</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0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5"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257"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54"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9"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78"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855885" w:rsidRDefault="00332C22" w:rsidP="00BF7BFE">
            <w:pPr>
              <w:spacing w:line="240" w:lineRule="auto"/>
              <w:ind w:firstLine="0"/>
              <w:jc w:val="center"/>
              <w:rPr>
                <w:rFonts w:ascii="Calibri" w:hAnsi="Calibri"/>
                <w:b/>
                <w:bCs/>
                <w:color w:val="FF0000"/>
                <w:sz w:val="20"/>
              </w:rPr>
            </w:pPr>
            <w:r w:rsidRPr="00855885">
              <w:rPr>
                <w:rFonts w:ascii="Calibri" w:hAnsi="Calibri"/>
                <w:b/>
                <w:bCs/>
                <w:color w:val="FF0000"/>
                <w:sz w:val="20"/>
              </w:rPr>
              <w:t>SI</w:t>
            </w:r>
          </w:p>
        </w:tc>
        <w:tc>
          <w:tcPr>
            <w:tcW w:w="1066"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63" w:type="dxa"/>
            <w:tcBorders>
              <w:top w:val="nil"/>
              <w:left w:val="nil"/>
              <w:bottom w:val="single" w:sz="4" w:space="0" w:color="auto"/>
              <w:right w:val="single" w:sz="4" w:space="0" w:color="auto"/>
            </w:tcBorders>
            <w:shd w:val="clear" w:color="auto" w:fill="auto"/>
            <w:vAlign w:val="center"/>
            <w:hideMark/>
          </w:tcPr>
          <w:p w:rsidR="00332C22" w:rsidRPr="00855885" w:rsidRDefault="00332C22" w:rsidP="00BF7BFE">
            <w:pPr>
              <w:spacing w:line="240" w:lineRule="auto"/>
              <w:ind w:firstLine="0"/>
              <w:jc w:val="center"/>
              <w:rPr>
                <w:rFonts w:ascii="Calibri" w:hAnsi="Calibri"/>
                <w:sz w:val="20"/>
              </w:rPr>
            </w:pPr>
            <w:r w:rsidRPr="00855885">
              <w:rPr>
                <w:rFonts w:ascii="Calibri" w:hAnsi="Calibri"/>
                <w:sz w:val="20"/>
              </w:rPr>
              <w:t>NO</w:t>
            </w:r>
          </w:p>
        </w:tc>
        <w:tc>
          <w:tcPr>
            <w:tcW w:w="1035" w:type="dxa"/>
            <w:tcBorders>
              <w:top w:val="nil"/>
              <w:left w:val="nil"/>
              <w:bottom w:val="single" w:sz="4" w:space="0" w:color="auto"/>
              <w:right w:val="single" w:sz="4" w:space="0" w:color="auto"/>
            </w:tcBorders>
            <w:shd w:val="clear" w:color="auto" w:fill="auto"/>
            <w:vAlign w:val="center"/>
            <w:hideMark/>
          </w:tcPr>
          <w:p w:rsidR="00332C22" w:rsidRPr="00855885" w:rsidRDefault="00EB0878" w:rsidP="00BF7BFE">
            <w:pPr>
              <w:spacing w:line="240" w:lineRule="auto"/>
              <w:ind w:firstLine="0"/>
              <w:jc w:val="center"/>
              <w:rPr>
                <w:rFonts w:ascii="Calibri" w:hAnsi="Calibri"/>
                <w:b/>
                <w:bCs/>
                <w:color w:val="0000FF"/>
                <w:sz w:val="20"/>
                <w:u w:val="single"/>
              </w:rPr>
            </w:pPr>
            <w:hyperlink r:id="rId217" w:history="1">
              <w:r w:rsidR="00332C22" w:rsidRPr="00855885">
                <w:rPr>
                  <w:rFonts w:ascii="Calibri" w:hAnsi="Calibri"/>
                  <w:b/>
                  <w:bCs/>
                  <w:color w:val="0000FF"/>
                  <w:sz w:val="20"/>
                  <w:u w:val="single"/>
                </w:rPr>
                <w:t>0027</w:t>
              </w:r>
            </w:hyperlink>
          </w:p>
        </w:tc>
      </w:tr>
    </w:tbl>
    <w:p w:rsidR="00332C22" w:rsidRDefault="00332C22" w:rsidP="00BF7BFE">
      <w:pPr>
        <w:sectPr w:rsidR="00332C22" w:rsidSect="00332C22">
          <w:headerReference w:type="even" r:id="rId218"/>
          <w:headerReference w:type="default" r:id="rId219"/>
          <w:footerReference w:type="even" r:id="rId220"/>
          <w:footerReference w:type="default" r:id="rId221"/>
          <w:headerReference w:type="first" r:id="rId222"/>
          <w:footerReference w:type="first" r:id="rId223"/>
          <w:pgSz w:w="16838" w:h="11906" w:orient="landscape" w:code="9"/>
          <w:pgMar w:top="1418" w:right="1418" w:bottom="1418" w:left="1134" w:header="567" w:footer="567" w:gutter="0"/>
          <w:cols w:space="708"/>
          <w:docGrid w:linePitch="360"/>
        </w:sectPr>
      </w:pPr>
    </w:p>
    <w:p w:rsidR="00332C22" w:rsidRPr="004F269D" w:rsidRDefault="00332C22" w:rsidP="004F269D">
      <w:pPr>
        <w:pStyle w:val="Titolo2"/>
        <w:rPr>
          <w:rFonts w:ascii="Garamond" w:hAnsi="Garamond"/>
          <w:color w:val="0000FF"/>
          <w:sz w:val="32"/>
          <w:szCs w:val="32"/>
        </w:rPr>
      </w:pPr>
      <w:bookmarkStart w:id="156" w:name="Tab05"/>
      <w:bookmarkStart w:id="157" w:name="_Toc440030391"/>
      <w:r w:rsidRPr="004F269D">
        <w:rPr>
          <w:rFonts w:ascii="Garamond" w:hAnsi="Garamond"/>
          <w:color w:val="0000FF"/>
          <w:sz w:val="32"/>
          <w:szCs w:val="32"/>
        </w:rPr>
        <w:lastRenderedPageBreak/>
        <w:t>TAB. 5 “LEGGE 400/1988</w:t>
      </w:r>
      <w:bookmarkEnd w:id="156"/>
      <w:r w:rsidRPr="004F269D">
        <w:rPr>
          <w:rFonts w:ascii="Garamond" w:hAnsi="Garamond"/>
          <w:color w:val="0000FF"/>
          <w:sz w:val="32"/>
          <w:szCs w:val="32"/>
        </w:rPr>
        <w:t>”</w:t>
      </w:r>
      <w:bookmarkEnd w:id="157"/>
    </w:p>
    <w:p w:rsidR="00332C22" w:rsidRDefault="00332C22" w:rsidP="00BF7BFE"/>
    <w:tbl>
      <w:tblPr>
        <w:tblW w:w="15120" w:type="dxa"/>
        <w:jc w:val="center"/>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gridCol w:w="1080"/>
        <w:gridCol w:w="1080"/>
        <w:gridCol w:w="1080"/>
        <w:gridCol w:w="1080"/>
      </w:tblGrid>
      <w:tr w:rsidR="00332C22" w:rsidRPr="00A36CE5" w:rsidTr="00BF7BFE">
        <w:trPr>
          <w:trHeight w:val="420"/>
          <w:jc w:val="center"/>
        </w:trPr>
        <w:tc>
          <w:tcPr>
            <w:tcW w:w="15120" w:type="dxa"/>
            <w:gridSpan w:val="14"/>
            <w:tcBorders>
              <w:top w:val="single" w:sz="8" w:space="0" w:color="auto"/>
              <w:left w:val="single" w:sz="8" w:space="0" w:color="auto"/>
              <w:bottom w:val="nil"/>
              <w:right w:val="single" w:sz="8" w:space="0" w:color="000000"/>
            </w:tcBorders>
            <w:shd w:val="clear" w:color="auto" w:fill="FFFF99"/>
            <w:vAlign w:val="bottom"/>
            <w:hideMark/>
          </w:tcPr>
          <w:p w:rsidR="00332C22" w:rsidRPr="00A36CE5" w:rsidRDefault="00332C22" w:rsidP="00BF7BFE">
            <w:pPr>
              <w:spacing w:line="240" w:lineRule="auto"/>
              <w:ind w:firstLine="0"/>
              <w:jc w:val="center"/>
              <w:rPr>
                <w:rFonts w:ascii="Garamond" w:hAnsi="Garamond"/>
                <w:b/>
                <w:bCs/>
                <w:color w:val="0000FF"/>
                <w:sz w:val="32"/>
                <w:szCs w:val="32"/>
              </w:rPr>
            </w:pPr>
            <w:r w:rsidRPr="00A36CE5">
              <w:rPr>
                <w:rFonts w:ascii="Garamond" w:hAnsi="Garamond"/>
                <w:b/>
                <w:bCs/>
                <w:color w:val="0000FF"/>
                <w:sz w:val="32"/>
                <w:szCs w:val="32"/>
              </w:rPr>
              <w:t>PARERI DEL COMITATO PER LA LEGISLAZIONE</w:t>
            </w:r>
          </w:p>
        </w:tc>
      </w:tr>
      <w:tr w:rsidR="00332C22" w:rsidRPr="00A36CE5" w:rsidTr="00BF7BFE">
        <w:trPr>
          <w:trHeight w:val="435"/>
          <w:jc w:val="center"/>
        </w:trPr>
        <w:tc>
          <w:tcPr>
            <w:tcW w:w="15120" w:type="dxa"/>
            <w:gridSpan w:val="14"/>
            <w:tcBorders>
              <w:top w:val="nil"/>
              <w:left w:val="single" w:sz="8" w:space="0" w:color="auto"/>
              <w:bottom w:val="single" w:sz="8" w:space="0" w:color="auto"/>
              <w:right w:val="single" w:sz="8" w:space="0" w:color="000000"/>
            </w:tcBorders>
            <w:shd w:val="clear" w:color="auto" w:fill="FFFF99"/>
            <w:vAlign w:val="bottom"/>
            <w:hideMark/>
          </w:tcPr>
          <w:p w:rsidR="00332C22" w:rsidRPr="00A36CE5" w:rsidRDefault="00332C22" w:rsidP="00BF7BFE">
            <w:pPr>
              <w:spacing w:line="240" w:lineRule="auto"/>
              <w:ind w:firstLine="0"/>
              <w:jc w:val="center"/>
              <w:rPr>
                <w:rFonts w:ascii="Garamond" w:hAnsi="Garamond"/>
                <w:b/>
                <w:bCs/>
                <w:color w:val="0000FF"/>
                <w:sz w:val="32"/>
                <w:szCs w:val="32"/>
              </w:rPr>
            </w:pPr>
            <w:r w:rsidRPr="00A36CE5">
              <w:rPr>
                <w:rFonts w:ascii="Garamond" w:hAnsi="Garamond"/>
                <w:b/>
                <w:bCs/>
                <w:color w:val="0000FF"/>
                <w:sz w:val="32"/>
                <w:szCs w:val="32"/>
              </w:rPr>
              <w:t>Riferimenti normativi citati (L. 400/1988) TABELLA A</w:t>
            </w:r>
          </w:p>
        </w:tc>
      </w:tr>
      <w:tr w:rsidR="00332C22" w:rsidRPr="00A36CE5" w:rsidTr="00BF7BFE">
        <w:trPr>
          <w:trHeight w:val="450"/>
          <w:jc w:val="center"/>
        </w:trPr>
        <w:tc>
          <w:tcPr>
            <w:tcW w:w="1080" w:type="dxa"/>
            <w:vMerge w:val="restart"/>
            <w:tcBorders>
              <w:top w:val="nil"/>
              <w:left w:val="single" w:sz="8" w:space="0" w:color="auto"/>
              <w:bottom w:val="single" w:sz="4" w:space="0" w:color="auto"/>
              <w:right w:val="single" w:sz="8" w:space="0" w:color="auto"/>
            </w:tcBorders>
            <w:shd w:val="clear" w:color="auto" w:fill="FFFF99"/>
            <w:vAlign w:val="center"/>
            <w:hideMark/>
          </w:tcPr>
          <w:p w:rsidR="00332C22" w:rsidRPr="00A36CE5" w:rsidRDefault="00332C22" w:rsidP="00BF7BFE">
            <w:pPr>
              <w:spacing w:line="240" w:lineRule="auto"/>
              <w:ind w:firstLine="0"/>
              <w:jc w:val="center"/>
              <w:rPr>
                <w:rFonts w:ascii="Garamond" w:hAnsi="Garamond"/>
                <w:b/>
                <w:bCs/>
                <w:color w:val="0000FF"/>
                <w:sz w:val="20"/>
              </w:rPr>
            </w:pPr>
            <w:r w:rsidRPr="00A36CE5">
              <w:rPr>
                <w:rFonts w:ascii="Garamond" w:hAnsi="Garamond"/>
                <w:b/>
                <w:bCs/>
                <w:color w:val="0000FF"/>
                <w:sz w:val="20"/>
              </w:rPr>
              <w:t>AC</w:t>
            </w:r>
          </w:p>
        </w:tc>
        <w:tc>
          <w:tcPr>
            <w:tcW w:w="1080" w:type="dxa"/>
            <w:tcBorders>
              <w:top w:val="nil"/>
              <w:left w:val="nil"/>
              <w:bottom w:val="single" w:sz="4"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 11</w:t>
            </w:r>
          </w:p>
        </w:tc>
        <w:tc>
          <w:tcPr>
            <w:tcW w:w="1080" w:type="dxa"/>
            <w:tcBorders>
              <w:top w:val="nil"/>
              <w:left w:val="nil"/>
              <w:bottom w:val="single" w:sz="4"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w:t>
            </w:r>
            <w:r w:rsidRPr="00A36CE5">
              <w:rPr>
                <w:rFonts w:ascii="Garamond" w:hAnsi="Garamond"/>
                <w:b/>
                <w:bCs/>
                <w:color w:val="0000FF"/>
                <w:sz w:val="16"/>
                <w:szCs w:val="16"/>
              </w:rPr>
              <w:br/>
              <w:t>13-bis</w:t>
            </w:r>
          </w:p>
        </w:tc>
        <w:tc>
          <w:tcPr>
            <w:tcW w:w="1080" w:type="dxa"/>
            <w:tcBorders>
              <w:top w:val="nil"/>
              <w:left w:val="nil"/>
              <w:bottom w:val="single" w:sz="4"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 15, c.1</w:t>
            </w:r>
          </w:p>
        </w:tc>
        <w:tc>
          <w:tcPr>
            <w:tcW w:w="1080" w:type="dxa"/>
            <w:tcBorders>
              <w:top w:val="nil"/>
              <w:left w:val="nil"/>
              <w:bottom w:val="single" w:sz="4"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w:t>
            </w:r>
            <w:r w:rsidRPr="00A36CE5">
              <w:rPr>
                <w:rFonts w:ascii="Garamond" w:hAnsi="Garamond"/>
                <w:b/>
                <w:bCs/>
                <w:color w:val="0000FF"/>
                <w:sz w:val="16"/>
                <w:szCs w:val="16"/>
              </w:rPr>
              <w:br/>
              <w:t>15, c.2, a</w:t>
            </w:r>
          </w:p>
        </w:tc>
        <w:tc>
          <w:tcPr>
            <w:tcW w:w="1080" w:type="dxa"/>
            <w:tcBorders>
              <w:top w:val="nil"/>
              <w:left w:val="nil"/>
              <w:bottom w:val="single" w:sz="4"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w:t>
            </w:r>
            <w:r w:rsidRPr="00A36CE5">
              <w:rPr>
                <w:rFonts w:ascii="Garamond" w:hAnsi="Garamond"/>
                <w:b/>
                <w:bCs/>
                <w:color w:val="0000FF"/>
                <w:sz w:val="16"/>
                <w:szCs w:val="16"/>
              </w:rPr>
              <w:br/>
              <w:t>15, c.2, b</w:t>
            </w:r>
          </w:p>
        </w:tc>
        <w:tc>
          <w:tcPr>
            <w:tcW w:w="1080" w:type="dxa"/>
            <w:tcBorders>
              <w:top w:val="nil"/>
              <w:left w:val="nil"/>
              <w:bottom w:val="single" w:sz="4"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w:t>
            </w:r>
            <w:r w:rsidRPr="00A36CE5">
              <w:rPr>
                <w:rFonts w:ascii="Garamond" w:hAnsi="Garamond"/>
                <w:b/>
                <w:bCs/>
                <w:color w:val="0000FF"/>
                <w:sz w:val="16"/>
                <w:szCs w:val="16"/>
              </w:rPr>
              <w:br/>
              <w:t>15, c.3</w:t>
            </w:r>
          </w:p>
        </w:tc>
        <w:tc>
          <w:tcPr>
            <w:tcW w:w="1080" w:type="dxa"/>
            <w:tcBorders>
              <w:top w:val="nil"/>
              <w:left w:val="nil"/>
              <w:bottom w:val="single" w:sz="4"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w:t>
            </w:r>
            <w:r w:rsidRPr="00A36CE5">
              <w:rPr>
                <w:rFonts w:ascii="Garamond" w:hAnsi="Garamond"/>
                <w:b/>
                <w:bCs/>
                <w:color w:val="0000FF"/>
                <w:sz w:val="16"/>
                <w:szCs w:val="16"/>
              </w:rPr>
              <w:br/>
              <w:t>17  c.1</w:t>
            </w:r>
          </w:p>
        </w:tc>
        <w:tc>
          <w:tcPr>
            <w:tcW w:w="1080" w:type="dxa"/>
            <w:tcBorders>
              <w:top w:val="nil"/>
              <w:left w:val="nil"/>
              <w:bottom w:val="single" w:sz="4"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w:t>
            </w:r>
            <w:r w:rsidRPr="00A36CE5">
              <w:rPr>
                <w:rFonts w:ascii="Garamond" w:hAnsi="Garamond"/>
                <w:b/>
                <w:bCs/>
                <w:color w:val="0000FF"/>
                <w:sz w:val="16"/>
                <w:szCs w:val="16"/>
              </w:rPr>
              <w:br/>
              <w:t>17, c.2</w:t>
            </w:r>
          </w:p>
        </w:tc>
        <w:tc>
          <w:tcPr>
            <w:tcW w:w="1080" w:type="dxa"/>
            <w:tcBorders>
              <w:top w:val="nil"/>
              <w:left w:val="nil"/>
              <w:bottom w:val="single" w:sz="4"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w:t>
            </w:r>
            <w:r w:rsidRPr="00A36CE5">
              <w:rPr>
                <w:rFonts w:ascii="Garamond" w:hAnsi="Garamond"/>
                <w:b/>
                <w:bCs/>
                <w:color w:val="0000FF"/>
                <w:sz w:val="16"/>
                <w:szCs w:val="16"/>
              </w:rPr>
              <w:br/>
              <w:t>17, c.3</w:t>
            </w:r>
          </w:p>
        </w:tc>
        <w:tc>
          <w:tcPr>
            <w:tcW w:w="1080" w:type="dxa"/>
            <w:tcBorders>
              <w:top w:val="nil"/>
              <w:left w:val="nil"/>
              <w:bottom w:val="single" w:sz="4"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w:t>
            </w:r>
            <w:r w:rsidRPr="00A36CE5">
              <w:rPr>
                <w:rFonts w:ascii="Garamond" w:hAnsi="Garamond"/>
                <w:b/>
                <w:bCs/>
                <w:color w:val="0000FF"/>
                <w:sz w:val="16"/>
                <w:szCs w:val="16"/>
              </w:rPr>
              <w:br/>
              <w:t>17, c.4- bis</w:t>
            </w:r>
          </w:p>
        </w:tc>
        <w:tc>
          <w:tcPr>
            <w:tcW w:w="1080" w:type="dxa"/>
            <w:tcBorders>
              <w:top w:val="nil"/>
              <w:left w:val="nil"/>
              <w:bottom w:val="single" w:sz="4"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w:t>
            </w:r>
            <w:r w:rsidRPr="00A36CE5">
              <w:rPr>
                <w:rFonts w:ascii="Garamond" w:hAnsi="Garamond"/>
                <w:b/>
                <w:bCs/>
                <w:color w:val="0000FF"/>
                <w:sz w:val="16"/>
                <w:szCs w:val="16"/>
              </w:rPr>
              <w:br/>
              <w:t>17, c.4- ter</w:t>
            </w:r>
          </w:p>
        </w:tc>
        <w:tc>
          <w:tcPr>
            <w:tcW w:w="1080" w:type="dxa"/>
            <w:tcBorders>
              <w:top w:val="nil"/>
              <w:left w:val="nil"/>
              <w:bottom w:val="single" w:sz="4" w:space="0" w:color="auto"/>
              <w:right w:val="single" w:sz="8"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w:t>
            </w:r>
            <w:r w:rsidRPr="00A36CE5">
              <w:rPr>
                <w:rFonts w:ascii="Garamond" w:hAnsi="Garamond"/>
                <w:b/>
                <w:bCs/>
                <w:color w:val="0000FF"/>
                <w:sz w:val="16"/>
                <w:szCs w:val="16"/>
              </w:rPr>
              <w:br/>
              <w:t>17 in generale</w:t>
            </w:r>
          </w:p>
        </w:tc>
        <w:tc>
          <w:tcPr>
            <w:tcW w:w="1080" w:type="dxa"/>
            <w:tcBorders>
              <w:top w:val="nil"/>
              <w:left w:val="single" w:sz="4" w:space="0" w:color="auto"/>
              <w:bottom w:val="single" w:sz="4" w:space="0" w:color="auto"/>
              <w:right w:val="single" w:sz="8"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 </w:t>
            </w:r>
          </w:p>
        </w:tc>
      </w:tr>
      <w:tr w:rsidR="00332C22" w:rsidRPr="00A36CE5" w:rsidTr="00BF7BFE">
        <w:trPr>
          <w:trHeight w:val="690"/>
          <w:jc w:val="center"/>
        </w:trPr>
        <w:tc>
          <w:tcPr>
            <w:tcW w:w="1080" w:type="dxa"/>
            <w:vMerge/>
            <w:tcBorders>
              <w:top w:val="nil"/>
              <w:left w:val="single" w:sz="8" w:space="0" w:color="auto"/>
              <w:bottom w:val="single" w:sz="4" w:space="0" w:color="auto"/>
              <w:right w:val="single" w:sz="8" w:space="0" w:color="auto"/>
            </w:tcBorders>
            <w:shd w:val="clear" w:color="auto" w:fill="FFFF99"/>
            <w:vAlign w:val="center"/>
            <w:hideMark/>
          </w:tcPr>
          <w:p w:rsidR="00332C22" w:rsidRPr="00A36CE5" w:rsidRDefault="00332C22" w:rsidP="00BF7BFE">
            <w:pPr>
              <w:spacing w:line="240" w:lineRule="auto"/>
              <w:ind w:firstLine="0"/>
              <w:jc w:val="left"/>
              <w:rPr>
                <w:rFonts w:ascii="Garamond" w:hAnsi="Garamond"/>
                <w:b/>
                <w:bCs/>
                <w:color w:val="0000FF"/>
                <w:sz w:val="20"/>
              </w:rPr>
            </w:pPr>
          </w:p>
        </w:tc>
        <w:tc>
          <w:tcPr>
            <w:tcW w:w="1080" w:type="dxa"/>
            <w:tcBorders>
              <w:top w:val="nil"/>
              <w:left w:val="nil"/>
              <w:bottom w:val="single" w:sz="8"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Comm. straord. di Gov.</w:t>
            </w:r>
          </w:p>
        </w:tc>
        <w:tc>
          <w:tcPr>
            <w:tcW w:w="1080" w:type="dxa"/>
            <w:tcBorders>
              <w:top w:val="nil"/>
              <w:left w:val="nil"/>
              <w:bottom w:val="single" w:sz="8"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Chiarezza testi normativi</w:t>
            </w:r>
          </w:p>
        </w:tc>
        <w:tc>
          <w:tcPr>
            <w:tcW w:w="1080" w:type="dxa"/>
            <w:tcBorders>
              <w:top w:val="nil"/>
              <w:left w:val="nil"/>
              <w:bottom w:val="single" w:sz="8"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Preambolo</w:t>
            </w:r>
          </w:p>
        </w:tc>
        <w:tc>
          <w:tcPr>
            <w:tcW w:w="1080" w:type="dxa"/>
            <w:tcBorders>
              <w:top w:val="nil"/>
              <w:left w:val="nil"/>
              <w:bottom w:val="single" w:sz="8"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Deleghe in DL</w:t>
            </w:r>
          </w:p>
        </w:tc>
        <w:tc>
          <w:tcPr>
            <w:tcW w:w="1080" w:type="dxa"/>
            <w:tcBorders>
              <w:top w:val="nil"/>
              <w:left w:val="nil"/>
              <w:bottom w:val="single" w:sz="8"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Art. 72 Cost.</w:t>
            </w:r>
          </w:p>
        </w:tc>
        <w:tc>
          <w:tcPr>
            <w:tcW w:w="1080" w:type="dxa"/>
            <w:tcBorders>
              <w:top w:val="nil"/>
              <w:left w:val="nil"/>
              <w:bottom w:val="single" w:sz="8"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Immed. applicazione</w:t>
            </w:r>
          </w:p>
        </w:tc>
        <w:tc>
          <w:tcPr>
            <w:tcW w:w="1080" w:type="dxa"/>
            <w:tcBorders>
              <w:top w:val="nil"/>
              <w:left w:val="nil"/>
              <w:bottom w:val="single" w:sz="8"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Reg. esec., att. -integ., indip. (DPR)</w:t>
            </w:r>
          </w:p>
        </w:tc>
        <w:tc>
          <w:tcPr>
            <w:tcW w:w="1080" w:type="dxa"/>
            <w:tcBorders>
              <w:top w:val="nil"/>
              <w:left w:val="nil"/>
              <w:bottom w:val="single" w:sz="8"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Reg. delegif. (DPR)</w:t>
            </w:r>
          </w:p>
        </w:tc>
        <w:tc>
          <w:tcPr>
            <w:tcW w:w="1080" w:type="dxa"/>
            <w:tcBorders>
              <w:top w:val="nil"/>
              <w:left w:val="nil"/>
              <w:bottom w:val="single" w:sz="8"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Reg. settoriali (DM)</w:t>
            </w:r>
          </w:p>
        </w:tc>
        <w:tc>
          <w:tcPr>
            <w:tcW w:w="1080" w:type="dxa"/>
            <w:tcBorders>
              <w:top w:val="nil"/>
              <w:left w:val="nil"/>
              <w:bottom w:val="single" w:sz="8" w:space="0" w:color="auto"/>
              <w:right w:val="single" w:sz="4"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Org. Uffici e Ammin.</w:t>
            </w:r>
          </w:p>
        </w:tc>
        <w:tc>
          <w:tcPr>
            <w:tcW w:w="1080" w:type="dxa"/>
            <w:tcBorders>
              <w:top w:val="nil"/>
              <w:left w:val="nil"/>
              <w:bottom w:val="single" w:sz="8" w:space="0" w:color="auto"/>
              <w:right w:val="nil"/>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Riord. Reg.</w:t>
            </w:r>
          </w:p>
        </w:tc>
        <w:tc>
          <w:tcPr>
            <w:tcW w:w="1080" w:type="dxa"/>
            <w:tcBorders>
              <w:top w:val="nil"/>
              <w:left w:val="single" w:sz="4" w:space="0" w:color="auto"/>
              <w:bottom w:val="single" w:sz="8" w:space="0" w:color="auto"/>
              <w:right w:val="single" w:sz="8"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Regolamenti</w:t>
            </w:r>
          </w:p>
        </w:tc>
        <w:tc>
          <w:tcPr>
            <w:tcW w:w="1080" w:type="dxa"/>
            <w:tcBorders>
              <w:top w:val="nil"/>
              <w:left w:val="single" w:sz="4" w:space="0" w:color="auto"/>
              <w:bottom w:val="single" w:sz="4" w:space="0" w:color="auto"/>
              <w:right w:val="single" w:sz="8" w:space="0" w:color="auto"/>
            </w:tcBorders>
            <w:shd w:val="clear" w:color="auto" w:fill="FFFF99"/>
            <w:hideMark/>
          </w:tcPr>
          <w:p w:rsidR="00332C22" w:rsidRPr="00A36CE5" w:rsidRDefault="00332C22" w:rsidP="00BF7BFE">
            <w:pPr>
              <w:spacing w:line="240" w:lineRule="auto"/>
              <w:ind w:firstLine="0"/>
              <w:jc w:val="center"/>
              <w:rPr>
                <w:rFonts w:ascii="Garamond" w:hAnsi="Garamond"/>
                <w:b/>
                <w:bCs/>
                <w:color w:val="0000FF"/>
                <w:sz w:val="16"/>
                <w:szCs w:val="16"/>
              </w:rPr>
            </w:pPr>
            <w:r w:rsidRPr="00A36CE5">
              <w:rPr>
                <w:rFonts w:ascii="Garamond" w:hAnsi="Garamond"/>
                <w:b/>
                <w:bCs/>
                <w:color w:val="0000FF"/>
                <w:sz w:val="16"/>
                <w:szCs w:val="16"/>
              </w:rPr>
              <w:t> </w:t>
            </w:r>
          </w:p>
        </w:tc>
      </w:tr>
      <w:tr w:rsidR="00332C22" w:rsidRPr="00A36CE5" w:rsidTr="00BF7BFE">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24" w:anchor="data.20150115.com" w:history="1">
              <w:r w:rsidR="00332C22" w:rsidRPr="00A36CE5">
                <w:rPr>
                  <w:rFonts w:ascii="Calibri" w:hAnsi="Calibri"/>
                  <w:b/>
                  <w:bCs/>
                  <w:color w:val="0000FF"/>
                  <w:u w:val="single"/>
                </w:rPr>
                <w:t>2803</w:t>
              </w:r>
            </w:hyperlink>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25" w:history="1">
              <w:r w:rsidR="00332C22" w:rsidRPr="00A36CE5">
                <w:rPr>
                  <w:rFonts w:ascii="Calibri" w:hAnsi="Calibri"/>
                  <w:b/>
                  <w:bCs/>
                  <w:color w:val="0000FF"/>
                  <w:u w:val="single"/>
                </w:rPr>
                <w:t>0001</w:t>
              </w:r>
            </w:hyperlink>
          </w:p>
        </w:tc>
      </w:tr>
      <w:tr w:rsidR="00332C22" w:rsidRPr="00A36CE5" w:rsidTr="00BF7BFE">
        <w:trPr>
          <w:trHeight w:val="315"/>
          <w:jc w:val="center"/>
        </w:trPr>
        <w:tc>
          <w:tcPr>
            <w:tcW w:w="1080" w:type="dxa"/>
            <w:tcBorders>
              <w:top w:val="nil"/>
              <w:left w:val="single" w:sz="4" w:space="0" w:color="auto"/>
              <w:bottom w:val="single" w:sz="4" w:space="0" w:color="auto"/>
              <w:right w:val="single" w:sz="4" w:space="0" w:color="auto"/>
            </w:tcBorders>
            <w:shd w:val="clear" w:color="auto" w:fill="FFFF99"/>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26" w:anchor="data.20150210.com" w:history="1">
              <w:r w:rsidR="00332C22" w:rsidRPr="00A36CE5">
                <w:rPr>
                  <w:rFonts w:ascii="Calibri" w:hAnsi="Calibri"/>
                  <w:b/>
                  <w:bCs/>
                  <w:color w:val="0000FF"/>
                  <w:u w:val="single"/>
                </w:rPr>
                <w:t>2844</w:t>
              </w:r>
            </w:hyperlink>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27" w:history="1">
              <w:r w:rsidR="00332C22" w:rsidRPr="00A36CE5">
                <w:rPr>
                  <w:rFonts w:ascii="Calibri" w:hAnsi="Calibri"/>
                  <w:b/>
                  <w:bCs/>
                  <w:color w:val="0000FF"/>
                  <w:u w:val="single"/>
                </w:rPr>
                <w:t>0002</w:t>
              </w:r>
            </w:hyperlink>
          </w:p>
        </w:tc>
      </w:tr>
      <w:tr w:rsidR="00332C22" w:rsidRPr="00A36CE5" w:rsidTr="00BF7BFE">
        <w:trPr>
          <w:trHeight w:val="315"/>
          <w:jc w:val="center"/>
        </w:trPr>
        <w:tc>
          <w:tcPr>
            <w:tcW w:w="1080" w:type="dxa"/>
            <w:tcBorders>
              <w:top w:val="nil"/>
              <w:left w:val="single" w:sz="4" w:space="0" w:color="auto"/>
              <w:bottom w:val="single" w:sz="4" w:space="0" w:color="auto"/>
              <w:right w:val="single" w:sz="4" w:space="0" w:color="auto"/>
            </w:tcBorders>
            <w:shd w:val="clear" w:color="auto" w:fill="FFFF99"/>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28" w:anchor="data.20150227.com" w:history="1">
              <w:r w:rsidR="00332C22" w:rsidRPr="00A36CE5">
                <w:rPr>
                  <w:rFonts w:ascii="Calibri" w:hAnsi="Calibri"/>
                  <w:b/>
                  <w:bCs/>
                  <w:color w:val="0000FF"/>
                  <w:u w:val="single"/>
                </w:rPr>
                <w:t>2893</w:t>
              </w:r>
            </w:hyperlink>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29" w:history="1">
              <w:r w:rsidR="00332C22" w:rsidRPr="00A36CE5">
                <w:rPr>
                  <w:rFonts w:ascii="Calibri" w:hAnsi="Calibri"/>
                  <w:b/>
                  <w:bCs/>
                  <w:color w:val="0000FF"/>
                  <w:u w:val="single"/>
                </w:rPr>
                <w:t>0004</w:t>
              </w:r>
            </w:hyperlink>
          </w:p>
        </w:tc>
      </w:tr>
      <w:tr w:rsidR="00332C22" w:rsidRPr="00A36CE5" w:rsidTr="00BF7BFE">
        <w:trPr>
          <w:trHeight w:val="315"/>
          <w:jc w:val="center"/>
        </w:trPr>
        <w:tc>
          <w:tcPr>
            <w:tcW w:w="1080" w:type="dxa"/>
            <w:tcBorders>
              <w:top w:val="nil"/>
              <w:left w:val="single" w:sz="4" w:space="0" w:color="auto"/>
              <w:bottom w:val="single" w:sz="4" w:space="0" w:color="auto"/>
              <w:right w:val="single" w:sz="4" w:space="0" w:color="auto"/>
            </w:tcBorders>
            <w:shd w:val="clear" w:color="auto" w:fill="FFFF99"/>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30" w:anchor="data.20150304.com" w:history="1">
              <w:r w:rsidR="00332C22" w:rsidRPr="00A36CE5">
                <w:rPr>
                  <w:rFonts w:ascii="Calibri" w:hAnsi="Calibri"/>
                  <w:b/>
                  <w:bCs/>
                  <w:color w:val="0000FF"/>
                  <w:u w:val="single"/>
                </w:rPr>
                <w:t>2915</w:t>
              </w:r>
            </w:hyperlink>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31" w:history="1">
              <w:r w:rsidR="00332C22" w:rsidRPr="00A36CE5">
                <w:rPr>
                  <w:rFonts w:ascii="Calibri" w:hAnsi="Calibri"/>
                  <w:b/>
                  <w:bCs/>
                  <w:color w:val="0000FF"/>
                  <w:u w:val="single"/>
                </w:rPr>
                <w:t>0005</w:t>
              </w:r>
            </w:hyperlink>
          </w:p>
        </w:tc>
      </w:tr>
      <w:tr w:rsidR="00332C22" w:rsidRPr="00A36CE5" w:rsidTr="00BF7BFE">
        <w:trPr>
          <w:trHeight w:val="315"/>
          <w:jc w:val="center"/>
        </w:trPr>
        <w:tc>
          <w:tcPr>
            <w:tcW w:w="1080" w:type="dxa"/>
            <w:tcBorders>
              <w:top w:val="nil"/>
              <w:left w:val="single" w:sz="4" w:space="0" w:color="auto"/>
              <w:bottom w:val="single" w:sz="4" w:space="0" w:color="auto"/>
              <w:right w:val="single" w:sz="4" w:space="0" w:color="auto"/>
            </w:tcBorders>
            <w:shd w:val="clear" w:color="auto" w:fill="FFFF99"/>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32" w:anchor="data.20150428.com" w:history="1">
              <w:r w:rsidR="00332C22" w:rsidRPr="00A36CE5">
                <w:rPr>
                  <w:rFonts w:ascii="Calibri" w:hAnsi="Calibri"/>
                  <w:b/>
                  <w:bCs/>
                  <w:color w:val="0000FF"/>
                  <w:u w:val="single"/>
                </w:rPr>
                <w:t>3059</w:t>
              </w:r>
            </w:hyperlink>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33" w:history="1">
              <w:r w:rsidR="00332C22" w:rsidRPr="00A36CE5">
                <w:rPr>
                  <w:rFonts w:ascii="Calibri" w:hAnsi="Calibri"/>
                  <w:b/>
                  <w:bCs/>
                  <w:color w:val="0000FF"/>
                  <w:u w:val="single"/>
                </w:rPr>
                <w:t>0007</w:t>
              </w:r>
            </w:hyperlink>
          </w:p>
        </w:tc>
      </w:tr>
      <w:tr w:rsidR="00332C22" w:rsidRPr="00A36CE5" w:rsidTr="00BF7BFE">
        <w:trPr>
          <w:trHeight w:val="315"/>
          <w:jc w:val="center"/>
        </w:trPr>
        <w:tc>
          <w:tcPr>
            <w:tcW w:w="1080" w:type="dxa"/>
            <w:tcBorders>
              <w:top w:val="nil"/>
              <w:left w:val="single" w:sz="4" w:space="0" w:color="auto"/>
              <w:bottom w:val="single" w:sz="4" w:space="0" w:color="auto"/>
              <w:right w:val="single" w:sz="4" w:space="0" w:color="auto"/>
            </w:tcBorders>
            <w:shd w:val="clear" w:color="auto" w:fill="FFFF99"/>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34" w:anchor="data.20150428.com" w:history="1">
              <w:r w:rsidR="00332C22" w:rsidRPr="00A36CE5">
                <w:rPr>
                  <w:rFonts w:ascii="Calibri" w:hAnsi="Calibri"/>
                  <w:b/>
                  <w:bCs/>
                  <w:color w:val="0000FF"/>
                  <w:u w:val="single"/>
                </w:rPr>
                <w:t>2994</w:t>
              </w:r>
            </w:hyperlink>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35" w:history="1">
              <w:r w:rsidR="00332C22" w:rsidRPr="00A36CE5">
                <w:rPr>
                  <w:rFonts w:ascii="Calibri" w:hAnsi="Calibri"/>
                  <w:b/>
                  <w:bCs/>
                  <w:color w:val="0000FF"/>
                  <w:u w:val="single"/>
                </w:rPr>
                <w:t>0009</w:t>
              </w:r>
            </w:hyperlink>
          </w:p>
        </w:tc>
      </w:tr>
      <w:tr w:rsidR="00332C22" w:rsidRPr="00A36CE5" w:rsidTr="00BF7BFE">
        <w:trPr>
          <w:trHeight w:val="315"/>
          <w:jc w:val="center"/>
        </w:trPr>
        <w:tc>
          <w:tcPr>
            <w:tcW w:w="1080" w:type="dxa"/>
            <w:tcBorders>
              <w:top w:val="nil"/>
              <w:left w:val="single" w:sz="4" w:space="0" w:color="auto"/>
              <w:bottom w:val="single" w:sz="4" w:space="0" w:color="auto"/>
              <w:right w:val="single" w:sz="4" w:space="0" w:color="auto"/>
            </w:tcBorders>
            <w:shd w:val="clear" w:color="auto" w:fill="FFFF99"/>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36" w:anchor="data.20150513.com" w:history="1">
              <w:r w:rsidR="00332C22" w:rsidRPr="00A36CE5">
                <w:rPr>
                  <w:rFonts w:ascii="Calibri" w:hAnsi="Calibri"/>
                  <w:b/>
                  <w:bCs/>
                  <w:color w:val="0000FF"/>
                  <w:u w:val="single"/>
                </w:rPr>
                <w:t>3104</w:t>
              </w:r>
            </w:hyperlink>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37" w:history="1">
              <w:r w:rsidR="00332C22" w:rsidRPr="00A36CE5">
                <w:rPr>
                  <w:rFonts w:ascii="Calibri" w:hAnsi="Calibri"/>
                  <w:b/>
                  <w:bCs/>
                  <w:color w:val="0000FF"/>
                  <w:u w:val="single"/>
                </w:rPr>
                <w:t>0010</w:t>
              </w:r>
            </w:hyperlink>
          </w:p>
        </w:tc>
      </w:tr>
      <w:tr w:rsidR="00332C22" w:rsidRPr="00A36CE5" w:rsidTr="00BF7BFE">
        <w:trPr>
          <w:trHeight w:val="315"/>
          <w:jc w:val="center"/>
        </w:trPr>
        <w:tc>
          <w:tcPr>
            <w:tcW w:w="1080" w:type="dxa"/>
            <w:tcBorders>
              <w:top w:val="nil"/>
              <w:left w:val="single" w:sz="4" w:space="0" w:color="auto"/>
              <w:bottom w:val="single" w:sz="4" w:space="0" w:color="auto"/>
              <w:right w:val="single" w:sz="4" w:space="0" w:color="auto"/>
            </w:tcBorders>
            <w:shd w:val="clear" w:color="auto" w:fill="FFFF99"/>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38" w:anchor="data.20150611.com" w:history="1">
              <w:r w:rsidR="00332C22" w:rsidRPr="00A36CE5">
                <w:rPr>
                  <w:rFonts w:ascii="Calibri" w:hAnsi="Calibri"/>
                  <w:b/>
                  <w:bCs/>
                  <w:color w:val="0000FF"/>
                  <w:u w:val="single"/>
                </w:rPr>
                <w:t>3098</w:t>
              </w:r>
            </w:hyperlink>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39" w:history="1">
              <w:r w:rsidR="00332C22" w:rsidRPr="00A36CE5">
                <w:rPr>
                  <w:rFonts w:ascii="Calibri" w:hAnsi="Calibri"/>
                  <w:b/>
                  <w:bCs/>
                  <w:color w:val="0000FF"/>
                  <w:u w:val="single"/>
                </w:rPr>
                <w:t>0012</w:t>
              </w:r>
            </w:hyperlink>
          </w:p>
        </w:tc>
      </w:tr>
      <w:tr w:rsidR="00332C22" w:rsidRPr="00A36CE5" w:rsidTr="00BF7BFE">
        <w:trPr>
          <w:trHeight w:val="315"/>
          <w:jc w:val="center"/>
        </w:trPr>
        <w:tc>
          <w:tcPr>
            <w:tcW w:w="1080" w:type="dxa"/>
            <w:tcBorders>
              <w:top w:val="nil"/>
              <w:left w:val="single" w:sz="4" w:space="0" w:color="auto"/>
              <w:bottom w:val="single" w:sz="4" w:space="0" w:color="auto"/>
              <w:right w:val="single" w:sz="4" w:space="0" w:color="auto"/>
            </w:tcBorders>
            <w:shd w:val="clear" w:color="auto" w:fill="FFFF99"/>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40" w:anchor="data.20150730.com" w:history="1">
              <w:r w:rsidR="00332C22" w:rsidRPr="00A36CE5">
                <w:rPr>
                  <w:rFonts w:ascii="Calibri" w:hAnsi="Calibri"/>
                  <w:b/>
                  <w:bCs/>
                  <w:color w:val="0000FF"/>
                  <w:u w:val="single"/>
                </w:rPr>
                <w:t>3262</w:t>
              </w:r>
            </w:hyperlink>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32C22" w:rsidRPr="00A36CE5" w:rsidRDefault="00332C22" w:rsidP="00BF7BFE">
            <w:pPr>
              <w:spacing w:line="240" w:lineRule="auto"/>
              <w:ind w:firstLine="0"/>
              <w:jc w:val="center"/>
              <w:rPr>
                <w:rFonts w:ascii="Calibri" w:hAnsi="Calibri"/>
                <w:b/>
                <w:bCs/>
                <w:color w:val="FF0000"/>
              </w:rPr>
            </w:pPr>
            <w:r w:rsidRPr="00A36CE5">
              <w:rPr>
                <w:rFonts w:ascii="Calibri" w:hAnsi="Calibri"/>
                <w:b/>
                <w:bCs/>
                <w:color w:val="FF0000"/>
              </w:rPr>
              <w:t>SI</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332C22" w:rsidP="00BF7BFE">
            <w:pPr>
              <w:spacing w:line="240" w:lineRule="auto"/>
              <w:ind w:firstLine="0"/>
              <w:jc w:val="center"/>
              <w:rPr>
                <w:rFonts w:ascii="Calibri" w:hAnsi="Calibri"/>
                <w:b/>
                <w:bCs/>
              </w:rPr>
            </w:pPr>
            <w:r w:rsidRPr="00A36CE5">
              <w:rPr>
                <w:rFonts w:ascii="Calibri" w:hAnsi="Calibri"/>
                <w:b/>
                <w:bCs/>
              </w:rPr>
              <w:t>NO</w:t>
            </w:r>
          </w:p>
        </w:tc>
        <w:tc>
          <w:tcPr>
            <w:tcW w:w="1080" w:type="dxa"/>
            <w:tcBorders>
              <w:top w:val="nil"/>
              <w:left w:val="nil"/>
              <w:bottom w:val="single" w:sz="4" w:space="0" w:color="auto"/>
              <w:right w:val="single" w:sz="4" w:space="0" w:color="auto"/>
            </w:tcBorders>
            <w:shd w:val="clear" w:color="auto" w:fill="auto"/>
            <w:vAlign w:val="center"/>
            <w:hideMark/>
          </w:tcPr>
          <w:p w:rsidR="00332C22" w:rsidRPr="00A36CE5" w:rsidRDefault="00EB0878" w:rsidP="00BF7BFE">
            <w:pPr>
              <w:spacing w:line="240" w:lineRule="auto"/>
              <w:ind w:firstLine="0"/>
              <w:jc w:val="center"/>
              <w:rPr>
                <w:rFonts w:ascii="Calibri" w:hAnsi="Calibri"/>
                <w:b/>
                <w:bCs/>
                <w:color w:val="0000FF"/>
                <w:u w:val="single"/>
              </w:rPr>
            </w:pPr>
            <w:hyperlink r:id="rId241" w:history="1">
              <w:r w:rsidR="00332C22" w:rsidRPr="00A36CE5">
                <w:rPr>
                  <w:rFonts w:ascii="Calibri" w:hAnsi="Calibri"/>
                  <w:b/>
                  <w:bCs/>
                  <w:color w:val="0000FF"/>
                  <w:u w:val="single"/>
                </w:rPr>
                <w:t>0020</w:t>
              </w:r>
            </w:hyperlink>
          </w:p>
        </w:tc>
      </w:tr>
    </w:tbl>
    <w:p w:rsidR="00332C22" w:rsidRDefault="00332C22" w:rsidP="00BF7BFE">
      <w:pPr>
        <w:sectPr w:rsidR="00332C22" w:rsidSect="00332C22">
          <w:headerReference w:type="even" r:id="rId242"/>
          <w:headerReference w:type="default" r:id="rId243"/>
          <w:footerReference w:type="even" r:id="rId244"/>
          <w:footerReference w:type="default" r:id="rId245"/>
          <w:headerReference w:type="first" r:id="rId246"/>
          <w:footerReference w:type="first" r:id="rId247"/>
          <w:pgSz w:w="16838" w:h="11906" w:orient="landscape" w:code="9"/>
          <w:pgMar w:top="1418" w:right="1418" w:bottom="1418" w:left="1134" w:header="567" w:footer="567" w:gutter="0"/>
          <w:cols w:space="708"/>
          <w:docGrid w:linePitch="360"/>
        </w:sectPr>
      </w:pPr>
    </w:p>
    <w:p w:rsidR="00332C22" w:rsidRPr="00A36CE5" w:rsidRDefault="00332C22" w:rsidP="00BF7BFE"/>
    <w:p w:rsidR="00332C22" w:rsidRPr="004F269D" w:rsidRDefault="00332C22" w:rsidP="004F269D">
      <w:pPr>
        <w:pStyle w:val="Titolo2"/>
        <w:rPr>
          <w:rFonts w:ascii="Garamond" w:hAnsi="Garamond"/>
          <w:color w:val="0000FF"/>
          <w:sz w:val="32"/>
          <w:szCs w:val="32"/>
        </w:rPr>
      </w:pPr>
      <w:bookmarkStart w:id="158" w:name="Tab06"/>
      <w:bookmarkStart w:id="159" w:name="_Toc440030392"/>
      <w:r w:rsidRPr="004F269D">
        <w:rPr>
          <w:rFonts w:ascii="Garamond" w:hAnsi="Garamond"/>
          <w:color w:val="0000FF"/>
          <w:sz w:val="32"/>
          <w:szCs w:val="32"/>
        </w:rPr>
        <w:t>TAB. 6 “DISPOSIZIONI DI DELEGA</w:t>
      </w:r>
      <w:bookmarkEnd w:id="158"/>
      <w:r w:rsidRPr="004F269D">
        <w:rPr>
          <w:rFonts w:ascii="Garamond" w:hAnsi="Garamond"/>
          <w:color w:val="0000FF"/>
          <w:sz w:val="32"/>
          <w:szCs w:val="32"/>
        </w:rPr>
        <w:t>”</w:t>
      </w:r>
      <w:bookmarkEnd w:id="159"/>
    </w:p>
    <w:tbl>
      <w:tblPr>
        <w:tblW w:w="10225" w:type="dxa"/>
        <w:jc w:val="center"/>
        <w:tblInd w:w="60" w:type="dxa"/>
        <w:tblCellMar>
          <w:left w:w="70" w:type="dxa"/>
          <w:right w:w="70" w:type="dxa"/>
        </w:tblCellMar>
        <w:tblLook w:val="04A0" w:firstRow="1" w:lastRow="0" w:firstColumn="1" w:lastColumn="0" w:noHBand="0" w:noVBand="1"/>
      </w:tblPr>
      <w:tblGrid>
        <w:gridCol w:w="840"/>
        <w:gridCol w:w="1199"/>
        <w:gridCol w:w="1067"/>
        <w:gridCol w:w="1763"/>
        <w:gridCol w:w="1053"/>
        <w:gridCol w:w="1080"/>
        <w:gridCol w:w="1174"/>
        <w:gridCol w:w="1199"/>
        <w:gridCol w:w="850"/>
      </w:tblGrid>
      <w:tr w:rsidR="00332C22" w:rsidRPr="00BB4A15" w:rsidTr="00BF7BFE">
        <w:trPr>
          <w:trHeight w:val="522"/>
          <w:jc w:val="center"/>
        </w:trPr>
        <w:tc>
          <w:tcPr>
            <w:tcW w:w="10225" w:type="dxa"/>
            <w:gridSpan w:val="9"/>
            <w:tcBorders>
              <w:top w:val="single" w:sz="8" w:space="0" w:color="auto"/>
              <w:left w:val="single" w:sz="8" w:space="0" w:color="auto"/>
              <w:bottom w:val="single" w:sz="8" w:space="0" w:color="auto"/>
              <w:right w:val="single" w:sz="8" w:space="0" w:color="000000"/>
            </w:tcBorders>
            <w:shd w:val="clear" w:color="000000" w:fill="CC99FF"/>
            <w:noWrap/>
            <w:vAlign w:val="center"/>
            <w:hideMark/>
          </w:tcPr>
          <w:p w:rsidR="00332C22" w:rsidRPr="00BB4A15" w:rsidRDefault="00332C22" w:rsidP="00BF7BFE">
            <w:pPr>
              <w:spacing w:line="240" w:lineRule="auto"/>
              <w:ind w:firstLine="0"/>
              <w:jc w:val="center"/>
              <w:rPr>
                <w:rFonts w:ascii="Garamond" w:hAnsi="Garamond"/>
                <w:b/>
                <w:bCs/>
                <w:color w:val="FFFFFF"/>
                <w:sz w:val="32"/>
                <w:szCs w:val="32"/>
              </w:rPr>
            </w:pPr>
            <w:r w:rsidRPr="00BB4A15">
              <w:rPr>
                <w:rFonts w:ascii="Garamond" w:hAnsi="Garamond"/>
                <w:b/>
                <w:bCs/>
                <w:color w:val="FFFFFF"/>
                <w:sz w:val="32"/>
                <w:szCs w:val="32"/>
              </w:rPr>
              <w:t>DISPOSIZIONI DI DELEGA</w:t>
            </w:r>
          </w:p>
        </w:tc>
      </w:tr>
      <w:tr w:rsidR="00332C22" w:rsidRPr="00BB4A15" w:rsidTr="00BF7BFE">
        <w:trPr>
          <w:trHeight w:val="1290"/>
          <w:jc w:val="center"/>
        </w:trPr>
        <w:tc>
          <w:tcPr>
            <w:tcW w:w="840" w:type="dxa"/>
            <w:tcBorders>
              <w:top w:val="nil"/>
              <w:left w:val="single" w:sz="8" w:space="0" w:color="auto"/>
              <w:bottom w:val="single" w:sz="8" w:space="0" w:color="auto"/>
              <w:right w:val="nil"/>
            </w:tcBorders>
            <w:shd w:val="clear" w:color="000000" w:fill="CC99FF"/>
            <w:vAlign w:val="center"/>
            <w:hideMark/>
          </w:tcPr>
          <w:p w:rsidR="00332C22" w:rsidRPr="00BB4A15" w:rsidRDefault="00332C22" w:rsidP="00BF7BFE">
            <w:pPr>
              <w:spacing w:line="240" w:lineRule="auto"/>
              <w:ind w:firstLine="0"/>
              <w:jc w:val="center"/>
              <w:rPr>
                <w:rFonts w:ascii="Garamond" w:hAnsi="Garamond"/>
                <w:b/>
                <w:bCs/>
                <w:color w:val="FFFFFF"/>
                <w:sz w:val="20"/>
              </w:rPr>
            </w:pPr>
            <w:r w:rsidRPr="00BB4A15">
              <w:rPr>
                <w:rFonts w:ascii="Garamond" w:hAnsi="Garamond"/>
                <w:b/>
                <w:bCs/>
                <w:color w:val="FFFFFF"/>
                <w:sz w:val="20"/>
              </w:rPr>
              <w:t>AC</w:t>
            </w:r>
          </w:p>
        </w:tc>
        <w:tc>
          <w:tcPr>
            <w:tcW w:w="1199" w:type="dxa"/>
            <w:tcBorders>
              <w:top w:val="nil"/>
              <w:left w:val="single" w:sz="8" w:space="0" w:color="auto"/>
              <w:bottom w:val="single" w:sz="8" w:space="0" w:color="auto"/>
              <w:right w:val="single" w:sz="8" w:space="0" w:color="auto"/>
            </w:tcBorders>
            <w:shd w:val="clear" w:color="000000" w:fill="CC99FF"/>
            <w:vAlign w:val="center"/>
            <w:hideMark/>
          </w:tcPr>
          <w:p w:rsidR="00332C22" w:rsidRPr="00BB4A15" w:rsidRDefault="00332C22" w:rsidP="00BF7BFE">
            <w:pPr>
              <w:spacing w:line="240" w:lineRule="auto"/>
              <w:ind w:firstLine="0"/>
              <w:jc w:val="center"/>
              <w:rPr>
                <w:rFonts w:ascii="Garamond" w:hAnsi="Garamond"/>
                <w:b/>
                <w:bCs/>
                <w:color w:val="FFFFFF"/>
                <w:sz w:val="20"/>
              </w:rPr>
            </w:pPr>
            <w:r w:rsidRPr="00BB4A15">
              <w:rPr>
                <w:rFonts w:ascii="Garamond" w:hAnsi="Garamond"/>
                <w:b/>
                <w:bCs/>
                <w:color w:val="FFFFFF"/>
                <w:sz w:val="20"/>
              </w:rPr>
              <w:t>Forma Atto</w:t>
            </w:r>
          </w:p>
        </w:tc>
        <w:tc>
          <w:tcPr>
            <w:tcW w:w="1067" w:type="dxa"/>
            <w:tcBorders>
              <w:top w:val="nil"/>
              <w:left w:val="nil"/>
              <w:bottom w:val="single" w:sz="8" w:space="0" w:color="auto"/>
              <w:right w:val="single" w:sz="4" w:space="0" w:color="auto"/>
            </w:tcBorders>
            <w:shd w:val="clear" w:color="000000" w:fill="CC99FF"/>
            <w:vAlign w:val="center"/>
            <w:hideMark/>
          </w:tcPr>
          <w:p w:rsidR="00332C22" w:rsidRPr="00BB4A15" w:rsidRDefault="00332C22" w:rsidP="00BF7BFE">
            <w:pPr>
              <w:spacing w:line="240" w:lineRule="auto"/>
              <w:ind w:firstLine="0"/>
              <w:jc w:val="center"/>
              <w:rPr>
                <w:rFonts w:ascii="Garamond" w:hAnsi="Garamond"/>
                <w:b/>
                <w:bCs/>
                <w:color w:val="FFFFFF"/>
                <w:sz w:val="20"/>
              </w:rPr>
            </w:pPr>
            <w:r w:rsidRPr="00BB4A15">
              <w:rPr>
                <w:rFonts w:ascii="Garamond" w:hAnsi="Garamond"/>
                <w:b/>
                <w:bCs/>
                <w:color w:val="FFFFFF"/>
                <w:sz w:val="20"/>
              </w:rPr>
              <w:t>Nuove Deleghe</w:t>
            </w:r>
          </w:p>
        </w:tc>
        <w:tc>
          <w:tcPr>
            <w:tcW w:w="1763" w:type="dxa"/>
            <w:tcBorders>
              <w:top w:val="nil"/>
              <w:left w:val="nil"/>
              <w:bottom w:val="single" w:sz="8" w:space="0" w:color="auto"/>
              <w:right w:val="single" w:sz="4" w:space="0" w:color="auto"/>
            </w:tcBorders>
            <w:shd w:val="clear" w:color="000000" w:fill="CC99FF"/>
            <w:vAlign w:val="center"/>
            <w:hideMark/>
          </w:tcPr>
          <w:p w:rsidR="00332C22" w:rsidRPr="00BB4A15" w:rsidRDefault="00332C22" w:rsidP="00BF7BFE">
            <w:pPr>
              <w:spacing w:line="240" w:lineRule="auto"/>
              <w:ind w:firstLine="0"/>
              <w:jc w:val="center"/>
              <w:rPr>
                <w:rFonts w:ascii="Garamond" w:hAnsi="Garamond"/>
                <w:b/>
                <w:bCs/>
                <w:color w:val="FFFFFF"/>
                <w:sz w:val="20"/>
              </w:rPr>
            </w:pPr>
            <w:r w:rsidRPr="00BB4A15">
              <w:rPr>
                <w:rFonts w:ascii="Garamond" w:hAnsi="Garamond"/>
                <w:b/>
                <w:bCs/>
                <w:color w:val="FFFFFF"/>
                <w:sz w:val="20"/>
              </w:rPr>
              <w:t>Princ. e criteri dir. Generici/mancanti</w:t>
            </w:r>
          </w:p>
        </w:tc>
        <w:tc>
          <w:tcPr>
            <w:tcW w:w="1053" w:type="dxa"/>
            <w:tcBorders>
              <w:top w:val="nil"/>
              <w:left w:val="nil"/>
              <w:bottom w:val="single" w:sz="8" w:space="0" w:color="auto"/>
              <w:right w:val="single" w:sz="4" w:space="0" w:color="auto"/>
            </w:tcBorders>
            <w:shd w:val="clear" w:color="000000" w:fill="CC99FF"/>
            <w:vAlign w:val="center"/>
            <w:hideMark/>
          </w:tcPr>
          <w:p w:rsidR="00332C22" w:rsidRPr="00BB4A15" w:rsidRDefault="00332C22" w:rsidP="00BF7BFE">
            <w:pPr>
              <w:spacing w:line="240" w:lineRule="auto"/>
              <w:ind w:firstLine="0"/>
              <w:jc w:val="center"/>
              <w:rPr>
                <w:rFonts w:ascii="Garamond" w:hAnsi="Garamond"/>
                <w:b/>
                <w:bCs/>
                <w:color w:val="FFFFFF"/>
                <w:sz w:val="20"/>
              </w:rPr>
            </w:pPr>
            <w:r w:rsidRPr="00BB4A15">
              <w:rPr>
                <w:rFonts w:ascii="Garamond" w:hAnsi="Garamond"/>
                <w:b/>
                <w:bCs/>
                <w:color w:val="FFFFFF"/>
                <w:sz w:val="20"/>
              </w:rPr>
              <w:t>Sovrapp. tra princ., crit. e ogg. delega</w:t>
            </w:r>
          </w:p>
        </w:tc>
        <w:tc>
          <w:tcPr>
            <w:tcW w:w="1080" w:type="dxa"/>
            <w:tcBorders>
              <w:top w:val="nil"/>
              <w:left w:val="nil"/>
              <w:bottom w:val="single" w:sz="8" w:space="0" w:color="auto"/>
              <w:right w:val="single" w:sz="4" w:space="0" w:color="auto"/>
            </w:tcBorders>
            <w:shd w:val="clear" w:color="000000" w:fill="CC99FF"/>
            <w:vAlign w:val="center"/>
            <w:hideMark/>
          </w:tcPr>
          <w:p w:rsidR="00332C22" w:rsidRPr="00BB4A15" w:rsidRDefault="00332C22" w:rsidP="00BF7BFE">
            <w:pPr>
              <w:spacing w:line="240" w:lineRule="auto"/>
              <w:ind w:firstLine="0"/>
              <w:jc w:val="center"/>
              <w:rPr>
                <w:rFonts w:ascii="Garamond" w:hAnsi="Garamond"/>
                <w:b/>
                <w:bCs/>
                <w:color w:val="FFFFFF"/>
                <w:sz w:val="20"/>
              </w:rPr>
            </w:pPr>
            <w:r w:rsidRPr="00BB4A15">
              <w:rPr>
                <w:rFonts w:ascii="Garamond" w:hAnsi="Garamond"/>
                <w:b/>
                <w:bCs/>
                <w:color w:val="FFFFFF"/>
                <w:sz w:val="20"/>
              </w:rPr>
              <w:t>Procedure di delega</w:t>
            </w:r>
          </w:p>
        </w:tc>
        <w:tc>
          <w:tcPr>
            <w:tcW w:w="1174" w:type="dxa"/>
            <w:tcBorders>
              <w:top w:val="nil"/>
              <w:left w:val="nil"/>
              <w:bottom w:val="single" w:sz="8" w:space="0" w:color="auto"/>
              <w:right w:val="single" w:sz="4" w:space="0" w:color="auto"/>
            </w:tcBorders>
            <w:shd w:val="clear" w:color="000000" w:fill="CC99FF"/>
            <w:vAlign w:val="center"/>
            <w:hideMark/>
          </w:tcPr>
          <w:p w:rsidR="00332C22" w:rsidRPr="00BB4A15" w:rsidRDefault="00332C22" w:rsidP="00BF7BFE">
            <w:pPr>
              <w:spacing w:line="240" w:lineRule="auto"/>
              <w:ind w:firstLine="0"/>
              <w:jc w:val="center"/>
              <w:rPr>
                <w:rFonts w:ascii="Garamond" w:hAnsi="Garamond"/>
                <w:b/>
                <w:bCs/>
                <w:color w:val="FFFFFF"/>
                <w:sz w:val="20"/>
              </w:rPr>
            </w:pPr>
            <w:r w:rsidRPr="00BB4A15">
              <w:rPr>
                <w:rFonts w:ascii="Garamond" w:hAnsi="Garamond"/>
                <w:b/>
                <w:bCs/>
                <w:color w:val="FFFFFF"/>
                <w:sz w:val="20"/>
              </w:rPr>
              <w:t>Scorrimento</w:t>
            </w:r>
          </w:p>
        </w:tc>
        <w:tc>
          <w:tcPr>
            <w:tcW w:w="1199" w:type="dxa"/>
            <w:tcBorders>
              <w:top w:val="nil"/>
              <w:left w:val="nil"/>
              <w:bottom w:val="single" w:sz="8" w:space="0" w:color="auto"/>
              <w:right w:val="single" w:sz="8" w:space="0" w:color="auto"/>
            </w:tcBorders>
            <w:shd w:val="clear" w:color="000000" w:fill="CC99FF"/>
            <w:vAlign w:val="center"/>
            <w:hideMark/>
          </w:tcPr>
          <w:p w:rsidR="00332C22" w:rsidRPr="00BB4A15" w:rsidRDefault="00332C22" w:rsidP="00BF7BFE">
            <w:pPr>
              <w:spacing w:line="240" w:lineRule="auto"/>
              <w:ind w:firstLine="0"/>
              <w:jc w:val="center"/>
              <w:rPr>
                <w:rFonts w:ascii="Garamond" w:hAnsi="Garamond"/>
                <w:b/>
                <w:bCs/>
                <w:color w:val="FFFFFF"/>
                <w:sz w:val="20"/>
              </w:rPr>
            </w:pPr>
            <w:r w:rsidRPr="00BB4A15">
              <w:rPr>
                <w:rFonts w:ascii="Garamond" w:hAnsi="Garamond"/>
                <w:b/>
                <w:bCs/>
                <w:color w:val="FFFFFF"/>
                <w:sz w:val="20"/>
              </w:rPr>
              <w:t>Rif. ad eventualità e opzioni selezionabili</w:t>
            </w:r>
          </w:p>
        </w:tc>
        <w:tc>
          <w:tcPr>
            <w:tcW w:w="850" w:type="dxa"/>
            <w:tcBorders>
              <w:top w:val="nil"/>
              <w:left w:val="nil"/>
              <w:bottom w:val="single" w:sz="8" w:space="0" w:color="auto"/>
              <w:right w:val="single" w:sz="8" w:space="0" w:color="auto"/>
            </w:tcBorders>
            <w:shd w:val="clear" w:color="000000" w:fill="CC99FF"/>
            <w:vAlign w:val="center"/>
            <w:hideMark/>
          </w:tcPr>
          <w:p w:rsidR="00332C22" w:rsidRPr="00BB4A15" w:rsidRDefault="00332C22" w:rsidP="00BF7BFE">
            <w:pPr>
              <w:spacing w:line="240" w:lineRule="auto"/>
              <w:ind w:firstLine="0"/>
              <w:jc w:val="center"/>
              <w:rPr>
                <w:rFonts w:ascii="Garamond" w:hAnsi="Garamond"/>
                <w:b/>
                <w:bCs/>
                <w:color w:val="FFFFFF"/>
                <w:sz w:val="20"/>
              </w:rPr>
            </w:pPr>
            <w:r w:rsidRPr="00BB4A15">
              <w:rPr>
                <w:rFonts w:ascii="Garamond" w:hAnsi="Garamond"/>
                <w:b/>
                <w:bCs/>
                <w:color w:val="FFFFFF"/>
                <w:sz w:val="20"/>
              </w:rPr>
              <w:t>Schede</w:t>
            </w:r>
          </w:p>
        </w:tc>
      </w:tr>
      <w:tr w:rsidR="00332C22" w:rsidRPr="00BB4A15" w:rsidTr="00BF7BFE">
        <w:trPr>
          <w:trHeight w:val="522"/>
          <w:jc w:val="center"/>
        </w:trPr>
        <w:tc>
          <w:tcPr>
            <w:tcW w:w="840"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48" w:anchor="data.20150304.com" w:history="1">
              <w:r w:rsidR="00332C22" w:rsidRPr="00BB4A15">
                <w:rPr>
                  <w:rFonts w:ascii="Calibri" w:hAnsi="Calibri"/>
                  <w:b/>
                  <w:bCs/>
                  <w:color w:val="0000FF"/>
                  <w:u w:val="single"/>
                </w:rPr>
                <w:t>2915</w:t>
              </w:r>
            </w:hyperlink>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DL 2015/004</w:t>
            </w:r>
          </w:p>
        </w:tc>
        <w:tc>
          <w:tcPr>
            <w:tcW w:w="1067"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76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5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80" w:type="dxa"/>
            <w:tcBorders>
              <w:top w:val="nil"/>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174" w:type="dxa"/>
            <w:tcBorders>
              <w:top w:val="nil"/>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199"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49" w:history="1">
              <w:r w:rsidR="00332C22" w:rsidRPr="00BB4A15">
                <w:rPr>
                  <w:rFonts w:ascii="Calibri" w:hAnsi="Calibri"/>
                  <w:b/>
                  <w:bCs/>
                  <w:color w:val="0000FF"/>
                  <w:u w:val="single"/>
                </w:rPr>
                <w:t>0005</w:t>
              </w:r>
            </w:hyperlink>
          </w:p>
        </w:tc>
      </w:tr>
      <w:tr w:rsidR="00332C22" w:rsidRPr="00BB4A15" w:rsidTr="00BF7BFE">
        <w:trPr>
          <w:trHeight w:val="522"/>
          <w:jc w:val="center"/>
        </w:trPr>
        <w:tc>
          <w:tcPr>
            <w:tcW w:w="840" w:type="dxa"/>
            <w:tcBorders>
              <w:top w:val="nil"/>
              <w:left w:val="single" w:sz="4" w:space="0" w:color="auto"/>
              <w:bottom w:val="single" w:sz="4" w:space="0" w:color="auto"/>
              <w:right w:val="single" w:sz="4" w:space="0" w:color="auto"/>
            </w:tcBorders>
            <w:shd w:val="clear" w:color="000000" w:fill="99CCFF"/>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50" w:anchor="data.20150422.com" w:history="1">
              <w:r w:rsidR="00332C22" w:rsidRPr="00BB4A15">
                <w:rPr>
                  <w:rFonts w:ascii="Calibri" w:hAnsi="Calibri"/>
                  <w:b/>
                  <w:bCs/>
                  <w:color w:val="0000FF"/>
                  <w:u w:val="single"/>
                </w:rPr>
                <w:t>TU 3-bis-B</w:t>
              </w:r>
            </w:hyperlink>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pdl</w:t>
            </w:r>
          </w:p>
        </w:tc>
        <w:tc>
          <w:tcPr>
            <w:tcW w:w="10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76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5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80"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74"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99"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850" w:type="dxa"/>
            <w:tcBorders>
              <w:top w:val="nil"/>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51" w:history="1">
              <w:r w:rsidR="00332C22" w:rsidRPr="00BB4A15">
                <w:rPr>
                  <w:rFonts w:ascii="Calibri" w:hAnsi="Calibri"/>
                  <w:b/>
                  <w:bCs/>
                  <w:color w:val="0000FF"/>
                  <w:u w:val="single"/>
                </w:rPr>
                <w:t>0006</w:t>
              </w:r>
            </w:hyperlink>
          </w:p>
        </w:tc>
      </w:tr>
      <w:tr w:rsidR="00332C22" w:rsidRPr="00BB4A15" w:rsidTr="00BF7BFE">
        <w:trPr>
          <w:trHeight w:val="522"/>
          <w:jc w:val="center"/>
        </w:trPr>
        <w:tc>
          <w:tcPr>
            <w:tcW w:w="840" w:type="dxa"/>
            <w:tcBorders>
              <w:top w:val="nil"/>
              <w:left w:val="single" w:sz="4" w:space="0" w:color="auto"/>
              <w:bottom w:val="single" w:sz="4" w:space="0" w:color="auto"/>
              <w:right w:val="single" w:sz="4" w:space="0" w:color="auto"/>
            </w:tcBorders>
            <w:shd w:val="clear" w:color="000000" w:fill="99CCFF"/>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52" w:anchor="data.20150428.com" w:history="1">
              <w:r w:rsidR="00332C22" w:rsidRPr="00BB4A15">
                <w:rPr>
                  <w:rFonts w:ascii="Calibri" w:hAnsi="Calibri"/>
                  <w:b/>
                  <w:bCs/>
                  <w:color w:val="0000FF"/>
                  <w:u w:val="single"/>
                </w:rPr>
                <w:t>2722</w:t>
              </w:r>
            </w:hyperlink>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ddl Gov</w:t>
            </w:r>
          </w:p>
        </w:tc>
        <w:tc>
          <w:tcPr>
            <w:tcW w:w="10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76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05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80"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74"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99"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850" w:type="dxa"/>
            <w:tcBorders>
              <w:top w:val="nil"/>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53" w:history="1">
              <w:r w:rsidR="00332C22" w:rsidRPr="00BB4A15">
                <w:rPr>
                  <w:rFonts w:ascii="Calibri" w:hAnsi="Calibri"/>
                  <w:b/>
                  <w:bCs/>
                  <w:color w:val="0000FF"/>
                  <w:u w:val="single"/>
                </w:rPr>
                <w:t>0008</w:t>
              </w:r>
            </w:hyperlink>
          </w:p>
        </w:tc>
      </w:tr>
      <w:tr w:rsidR="00332C22" w:rsidRPr="00BB4A15" w:rsidTr="00BF7BFE">
        <w:trPr>
          <w:trHeight w:val="522"/>
          <w:jc w:val="center"/>
        </w:trPr>
        <w:tc>
          <w:tcPr>
            <w:tcW w:w="840" w:type="dxa"/>
            <w:tcBorders>
              <w:top w:val="nil"/>
              <w:left w:val="single" w:sz="4" w:space="0" w:color="auto"/>
              <w:bottom w:val="single" w:sz="4" w:space="0" w:color="auto"/>
              <w:right w:val="single" w:sz="4" w:space="0" w:color="auto"/>
            </w:tcBorders>
            <w:shd w:val="clear" w:color="000000" w:fill="99CCFF"/>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54" w:anchor="data.20150428.com" w:history="1">
              <w:r w:rsidR="00332C22" w:rsidRPr="00BB4A15">
                <w:rPr>
                  <w:rFonts w:ascii="Calibri" w:hAnsi="Calibri"/>
                  <w:b/>
                  <w:bCs/>
                  <w:color w:val="0000FF"/>
                  <w:u w:val="single"/>
                </w:rPr>
                <w:t>2994</w:t>
              </w:r>
            </w:hyperlink>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ddl Gov</w:t>
            </w:r>
          </w:p>
        </w:tc>
        <w:tc>
          <w:tcPr>
            <w:tcW w:w="10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76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05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08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17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199"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850" w:type="dxa"/>
            <w:tcBorders>
              <w:top w:val="nil"/>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55" w:history="1">
              <w:r w:rsidR="00332C22" w:rsidRPr="00BB4A15">
                <w:rPr>
                  <w:rFonts w:ascii="Calibri" w:hAnsi="Calibri"/>
                  <w:b/>
                  <w:bCs/>
                  <w:color w:val="0000FF"/>
                  <w:u w:val="single"/>
                </w:rPr>
                <w:t>0009</w:t>
              </w:r>
            </w:hyperlink>
          </w:p>
        </w:tc>
      </w:tr>
      <w:tr w:rsidR="00332C22" w:rsidRPr="00BB4A15" w:rsidTr="00BF7BFE">
        <w:trPr>
          <w:trHeight w:val="522"/>
          <w:jc w:val="center"/>
        </w:trPr>
        <w:tc>
          <w:tcPr>
            <w:tcW w:w="840" w:type="dxa"/>
            <w:tcBorders>
              <w:top w:val="nil"/>
              <w:left w:val="single" w:sz="4" w:space="0" w:color="auto"/>
              <w:bottom w:val="single" w:sz="4" w:space="0" w:color="auto"/>
              <w:right w:val="single" w:sz="4" w:space="0" w:color="auto"/>
            </w:tcBorders>
            <w:shd w:val="clear" w:color="000000" w:fill="99CCFF"/>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56" w:anchor="data.20150611.com" w:history="1">
              <w:r w:rsidR="00332C22" w:rsidRPr="00BB4A15">
                <w:rPr>
                  <w:rFonts w:ascii="Calibri" w:hAnsi="Calibri"/>
                  <w:b/>
                  <w:bCs/>
                  <w:color w:val="0000FF"/>
                  <w:u w:val="single"/>
                </w:rPr>
                <w:t>3098</w:t>
              </w:r>
            </w:hyperlink>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ddl Gov</w:t>
            </w:r>
          </w:p>
        </w:tc>
        <w:tc>
          <w:tcPr>
            <w:tcW w:w="10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76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05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08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17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199"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850" w:type="dxa"/>
            <w:tcBorders>
              <w:top w:val="nil"/>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57" w:history="1">
              <w:r w:rsidR="00332C22" w:rsidRPr="00BB4A15">
                <w:rPr>
                  <w:rFonts w:ascii="Calibri" w:hAnsi="Calibri"/>
                  <w:b/>
                  <w:bCs/>
                  <w:color w:val="0000FF"/>
                  <w:u w:val="single"/>
                </w:rPr>
                <w:t>0012</w:t>
              </w:r>
            </w:hyperlink>
          </w:p>
        </w:tc>
      </w:tr>
      <w:tr w:rsidR="00332C22" w:rsidRPr="00BB4A15" w:rsidTr="00BF7BFE">
        <w:trPr>
          <w:trHeight w:val="522"/>
          <w:jc w:val="center"/>
        </w:trPr>
        <w:tc>
          <w:tcPr>
            <w:tcW w:w="840" w:type="dxa"/>
            <w:tcBorders>
              <w:top w:val="nil"/>
              <w:left w:val="single" w:sz="4" w:space="0" w:color="auto"/>
              <w:bottom w:val="single" w:sz="4" w:space="0" w:color="auto"/>
              <w:right w:val="single" w:sz="4" w:space="0" w:color="auto"/>
            </w:tcBorders>
            <w:shd w:val="clear" w:color="000000" w:fill="99CCFF"/>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58" w:anchor="data.20150611.com" w:history="1">
              <w:r w:rsidR="00332C22" w:rsidRPr="00BB4A15">
                <w:rPr>
                  <w:rFonts w:ascii="Calibri" w:hAnsi="Calibri"/>
                  <w:b/>
                  <w:bCs/>
                  <w:color w:val="0000FF"/>
                  <w:u w:val="single"/>
                </w:rPr>
                <w:t>3123</w:t>
              </w:r>
            </w:hyperlink>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ddl Gov</w:t>
            </w:r>
          </w:p>
        </w:tc>
        <w:tc>
          <w:tcPr>
            <w:tcW w:w="10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76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5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80"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74"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99"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850" w:type="dxa"/>
            <w:tcBorders>
              <w:top w:val="nil"/>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59" w:history="1">
              <w:r w:rsidR="00332C22" w:rsidRPr="00BB4A15">
                <w:rPr>
                  <w:rFonts w:ascii="Calibri" w:hAnsi="Calibri"/>
                  <w:b/>
                  <w:bCs/>
                  <w:color w:val="0000FF"/>
                  <w:u w:val="single"/>
                </w:rPr>
                <w:t>0013</w:t>
              </w:r>
            </w:hyperlink>
          </w:p>
        </w:tc>
      </w:tr>
      <w:tr w:rsidR="00332C22" w:rsidRPr="00BB4A15" w:rsidTr="00BF7BFE">
        <w:trPr>
          <w:trHeight w:val="522"/>
          <w:jc w:val="center"/>
        </w:trPr>
        <w:tc>
          <w:tcPr>
            <w:tcW w:w="840" w:type="dxa"/>
            <w:tcBorders>
              <w:top w:val="nil"/>
              <w:left w:val="single" w:sz="4" w:space="0" w:color="auto"/>
              <w:bottom w:val="single" w:sz="4" w:space="0" w:color="auto"/>
              <w:right w:val="single" w:sz="4" w:space="0" w:color="auto"/>
            </w:tcBorders>
            <w:shd w:val="clear" w:color="000000" w:fill="99CCFF"/>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60" w:anchor="data.20150702.com" w:history="1">
              <w:r w:rsidR="00332C22" w:rsidRPr="00BB4A15">
                <w:rPr>
                  <w:rFonts w:ascii="Calibri" w:hAnsi="Calibri"/>
                  <w:b/>
                  <w:bCs/>
                  <w:color w:val="0000FF"/>
                  <w:u w:val="single"/>
                </w:rPr>
                <w:t>2798</w:t>
              </w:r>
            </w:hyperlink>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ddl Gov</w:t>
            </w:r>
          </w:p>
        </w:tc>
        <w:tc>
          <w:tcPr>
            <w:tcW w:w="10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76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5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08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17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199"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850" w:type="dxa"/>
            <w:tcBorders>
              <w:top w:val="nil"/>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61" w:history="1">
              <w:r w:rsidR="00332C22" w:rsidRPr="00BB4A15">
                <w:rPr>
                  <w:rFonts w:ascii="Calibri" w:hAnsi="Calibri"/>
                  <w:b/>
                  <w:bCs/>
                  <w:color w:val="0000FF"/>
                  <w:u w:val="single"/>
                </w:rPr>
                <w:t>0014</w:t>
              </w:r>
            </w:hyperlink>
          </w:p>
        </w:tc>
      </w:tr>
      <w:tr w:rsidR="00332C22" w:rsidRPr="00BB4A15" w:rsidTr="00BF7BFE">
        <w:trPr>
          <w:trHeight w:val="522"/>
          <w:jc w:val="center"/>
        </w:trPr>
        <w:tc>
          <w:tcPr>
            <w:tcW w:w="840" w:type="dxa"/>
            <w:tcBorders>
              <w:top w:val="nil"/>
              <w:left w:val="single" w:sz="4" w:space="0" w:color="auto"/>
              <w:bottom w:val="single" w:sz="4" w:space="0" w:color="auto"/>
              <w:right w:val="single" w:sz="4" w:space="0" w:color="auto"/>
            </w:tcBorders>
            <w:shd w:val="clear" w:color="000000" w:fill="99CCFF"/>
            <w:vAlign w:val="center"/>
            <w:hideMark/>
          </w:tcPr>
          <w:p w:rsidR="00332C22" w:rsidRPr="00BB4A15" w:rsidRDefault="00332C22" w:rsidP="00BF7BFE">
            <w:pPr>
              <w:spacing w:line="240" w:lineRule="auto"/>
              <w:ind w:firstLine="0"/>
              <w:jc w:val="center"/>
              <w:rPr>
                <w:rFonts w:ascii="Calibri" w:hAnsi="Calibri"/>
                <w:b/>
                <w:bCs/>
                <w:color w:val="0000FF"/>
                <w:u w:val="single"/>
              </w:rPr>
            </w:pPr>
            <w:r w:rsidRPr="00BB4A15">
              <w:rPr>
                <w:rFonts w:ascii="Calibri" w:hAnsi="Calibri"/>
                <w:b/>
                <w:bCs/>
                <w:color w:val="0000FF"/>
                <w:u w:val="single"/>
              </w:rPr>
              <w:t>2994-B</w:t>
            </w:r>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ddl Gov</w:t>
            </w:r>
          </w:p>
        </w:tc>
        <w:tc>
          <w:tcPr>
            <w:tcW w:w="1067"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76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5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80"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74"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99"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850" w:type="dxa"/>
            <w:tcBorders>
              <w:top w:val="nil"/>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62" w:history="1">
              <w:r w:rsidR="00332C22" w:rsidRPr="00BB4A15">
                <w:rPr>
                  <w:rFonts w:ascii="Calibri" w:hAnsi="Calibri"/>
                  <w:b/>
                  <w:bCs/>
                  <w:color w:val="0000FF"/>
                  <w:u w:val="single"/>
                </w:rPr>
                <w:t>0015</w:t>
              </w:r>
            </w:hyperlink>
          </w:p>
        </w:tc>
      </w:tr>
      <w:tr w:rsidR="00332C22" w:rsidRPr="00BB4A15" w:rsidTr="00BF7BFE">
        <w:trPr>
          <w:trHeight w:val="522"/>
          <w:jc w:val="center"/>
        </w:trPr>
        <w:tc>
          <w:tcPr>
            <w:tcW w:w="840" w:type="dxa"/>
            <w:tcBorders>
              <w:top w:val="nil"/>
              <w:left w:val="single" w:sz="4" w:space="0" w:color="auto"/>
              <w:bottom w:val="single" w:sz="4" w:space="0" w:color="auto"/>
              <w:right w:val="single" w:sz="4" w:space="0" w:color="auto"/>
            </w:tcBorders>
            <w:shd w:val="clear" w:color="000000" w:fill="99CCFF"/>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63" w:anchor="data.20150715.com" w:history="1">
              <w:r w:rsidR="00332C22" w:rsidRPr="00BB4A15">
                <w:rPr>
                  <w:rFonts w:ascii="Calibri" w:hAnsi="Calibri"/>
                  <w:b/>
                  <w:bCs/>
                  <w:color w:val="0000FF"/>
                  <w:u w:val="single"/>
                </w:rPr>
                <w:t>TU 2607</w:t>
              </w:r>
            </w:hyperlink>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pdl</w:t>
            </w:r>
          </w:p>
        </w:tc>
        <w:tc>
          <w:tcPr>
            <w:tcW w:w="10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76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5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08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174"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99"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850" w:type="dxa"/>
            <w:tcBorders>
              <w:top w:val="nil"/>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64" w:history="1">
              <w:r w:rsidR="00332C22" w:rsidRPr="00BB4A15">
                <w:rPr>
                  <w:rFonts w:ascii="Calibri" w:hAnsi="Calibri"/>
                  <w:b/>
                  <w:bCs/>
                  <w:color w:val="0000FF"/>
                  <w:u w:val="single"/>
                </w:rPr>
                <w:t>0018</w:t>
              </w:r>
            </w:hyperlink>
          </w:p>
        </w:tc>
      </w:tr>
      <w:tr w:rsidR="00332C22" w:rsidRPr="00BB4A15" w:rsidTr="00BF7BFE">
        <w:trPr>
          <w:trHeight w:val="522"/>
          <w:jc w:val="center"/>
        </w:trPr>
        <w:tc>
          <w:tcPr>
            <w:tcW w:w="840" w:type="dxa"/>
            <w:tcBorders>
              <w:top w:val="nil"/>
              <w:left w:val="single" w:sz="4" w:space="0" w:color="auto"/>
              <w:bottom w:val="single" w:sz="4" w:space="0" w:color="auto"/>
              <w:right w:val="single" w:sz="4" w:space="0" w:color="auto"/>
            </w:tcBorders>
            <w:shd w:val="clear" w:color="000000" w:fill="99CCFF"/>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65" w:anchor="data.20150730.com" w:history="1">
              <w:r w:rsidR="00332C22" w:rsidRPr="00BB4A15">
                <w:rPr>
                  <w:rFonts w:ascii="Calibri" w:hAnsi="Calibri"/>
                  <w:b/>
                  <w:bCs/>
                  <w:color w:val="0000FF"/>
                  <w:u w:val="single"/>
                </w:rPr>
                <w:t>3194</w:t>
              </w:r>
            </w:hyperlink>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ddl Gov</w:t>
            </w:r>
          </w:p>
        </w:tc>
        <w:tc>
          <w:tcPr>
            <w:tcW w:w="10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76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05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08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17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199"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850" w:type="dxa"/>
            <w:tcBorders>
              <w:top w:val="nil"/>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66" w:history="1">
              <w:r w:rsidR="00332C22" w:rsidRPr="00BB4A15">
                <w:rPr>
                  <w:rFonts w:ascii="Calibri" w:hAnsi="Calibri"/>
                  <w:b/>
                  <w:bCs/>
                  <w:color w:val="0000FF"/>
                  <w:u w:val="single"/>
                </w:rPr>
                <w:t>0021</w:t>
              </w:r>
            </w:hyperlink>
          </w:p>
        </w:tc>
      </w:tr>
      <w:tr w:rsidR="00332C22" w:rsidRPr="00BB4A15" w:rsidTr="00BF7BFE">
        <w:trPr>
          <w:trHeight w:val="522"/>
          <w:jc w:val="center"/>
        </w:trPr>
        <w:tc>
          <w:tcPr>
            <w:tcW w:w="840" w:type="dxa"/>
            <w:tcBorders>
              <w:top w:val="nil"/>
              <w:left w:val="single" w:sz="4" w:space="0" w:color="auto"/>
              <w:bottom w:val="single" w:sz="4" w:space="0" w:color="auto"/>
              <w:right w:val="single" w:sz="4" w:space="0" w:color="auto"/>
            </w:tcBorders>
            <w:shd w:val="clear" w:color="000000" w:fill="99CCFF"/>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67" w:anchor="data.20150930.com" w:history="1">
              <w:r w:rsidR="00332C22" w:rsidRPr="00BB4A15">
                <w:rPr>
                  <w:rFonts w:ascii="Calibri" w:hAnsi="Calibri"/>
                  <w:b/>
                  <w:bCs/>
                  <w:color w:val="0000FF"/>
                  <w:u w:val="single"/>
                </w:rPr>
                <w:t>3272</w:t>
              </w:r>
            </w:hyperlink>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ddl Gov</w:t>
            </w:r>
          </w:p>
        </w:tc>
        <w:tc>
          <w:tcPr>
            <w:tcW w:w="10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76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05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80"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74"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99"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850" w:type="dxa"/>
            <w:tcBorders>
              <w:top w:val="nil"/>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68" w:history="1">
              <w:r w:rsidR="00332C22" w:rsidRPr="00BB4A15">
                <w:rPr>
                  <w:rFonts w:ascii="Calibri" w:hAnsi="Calibri"/>
                  <w:b/>
                  <w:bCs/>
                  <w:color w:val="0000FF"/>
                  <w:u w:val="single"/>
                </w:rPr>
                <w:t>0023</w:t>
              </w:r>
            </w:hyperlink>
          </w:p>
        </w:tc>
      </w:tr>
      <w:tr w:rsidR="00332C22" w:rsidRPr="00BB4A15" w:rsidTr="00BF7BFE">
        <w:trPr>
          <w:trHeight w:val="522"/>
          <w:jc w:val="center"/>
        </w:trPr>
        <w:tc>
          <w:tcPr>
            <w:tcW w:w="840" w:type="dxa"/>
            <w:tcBorders>
              <w:top w:val="nil"/>
              <w:left w:val="single" w:sz="4" w:space="0" w:color="auto"/>
              <w:bottom w:val="single" w:sz="4" w:space="0" w:color="auto"/>
              <w:right w:val="single" w:sz="4" w:space="0" w:color="auto"/>
            </w:tcBorders>
            <w:shd w:val="clear" w:color="000000" w:fill="99CCFF"/>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69" w:anchor="data.20151104.com" w:history="1">
              <w:r w:rsidR="00332C22" w:rsidRPr="00BB4A15">
                <w:rPr>
                  <w:rFonts w:ascii="Calibri" w:hAnsi="Calibri"/>
                  <w:b/>
                  <w:bCs/>
                  <w:color w:val="0000FF"/>
                  <w:u w:val="single"/>
                </w:rPr>
                <w:t>TU 1138</w:t>
              </w:r>
            </w:hyperlink>
          </w:p>
        </w:tc>
        <w:tc>
          <w:tcPr>
            <w:tcW w:w="1199" w:type="dxa"/>
            <w:tcBorders>
              <w:top w:val="nil"/>
              <w:left w:val="nil"/>
              <w:bottom w:val="single" w:sz="4" w:space="0" w:color="auto"/>
              <w:right w:val="single" w:sz="4" w:space="0" w:color="auto"/>
            </w:tcBorders>
            <w:shd w:val="clear" w:color="auto" w:fill="auto"/>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pdl mista</w:t>
            </w:r>
          </w:p>
        </w:tc>
        <w:tc>
          <w:tcPr>
            <w:tcW w:w="10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C22" w:rsidRPr="00BB4A15" w:rsidRDefault="00332C22" w:rsidP="00BF7BFE">
            <w:pPr>
              <w:spacing w:line="240" w:lineRule="auto"/>
              <w:ind w:firstLine="0"/>
              <w:jc w:val="center"/>
              <w:rPr>
                <w:rFonts w:ascii="Calibri" w:hAnsi="Calibri"/>
                <w:b/>
                <w:bCs/>
                <w:color w:val="FF0000"/>
              </w:rPr>
            </w:pPr>
            <w:r w:rsidRPr="00BB4A15">
              <w:rPr>
                <w:rFonts w:ascii="Calibri" w:hAnsi="Calibri"/>
                <w:b/>
                <w:bCs/>
                <w:color w:val="FF0000"/>
              </w:rPr>
              <w:t>SI</w:t>
            </w:r>
          </w:p>
        </w:tc>
        <w:tc>
          <w:tcPr>
            <w:tcW w:w="176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53"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080"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74"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1199" w:type="dxa"/>
            <w:tcBorders>
              <w:top w:val="nil"/>
              <w:left w:val="nil"/>
              <w:bottom w:val="single" w:sz="4" w:space="0" w:color="auto"/>
              <w:right w:val="single" w:sz="4" w:space="0" w:color="auto"/>
            </w:tcBorders>
            <w:shd w:val="clear" w:color="auto" w:fill="auto"/>
            <w:noWrap/>
            <w:vAlign w:val="center"/>
            <w:hideMark/>
          </w:tcPr>
          <w:p w:rsidR="00332C22" w:rsidRPr="00BB4A15" w:rsidRDefault="00332C22" w:rsidP="00BF7BFE">
            <w:pPr>
              <w:spacing w:line="240" w:lineRule="auto"/>
              <w:ind w:firstLine="0"/>
              <w:jc w:val="center"/>
              <w:rPr>
                <w:rFonts w:ascii="Calibri" w:hAnsi="Calibri"/>
              </w:rPr>
            </w:pPr>
            <w:r w:rsidRPr="00BB4A15">
              <w:rPr>
                <w:rFonts w:ascii="Calibri" w:hAnsi="Calibri"/>
              </w:rPr>
              <w:t>NO</w:t>
            </w:r>
          </w:p>
        </w:tc>
        <w:tc>
          <w:tcPr>
            <w:tcW w:w="850" w:type="dxa"/>
            <w:tcBorders>
              <w:top w:val="nil"/>
              <w:left w:val="nil"/>
              <w:bottom w:val="single" w:sz="4" w:space="0" w:color="auto"/>
              <w:right w:val="single" w:sz="4" w:space="0" w:color="auto"/>
            </w:tcBorders>
            <w:shd w:val="clear" w:color="auto" w:fill="auto"/>
            <w:vAlign w:val="center"/>
            <w:hideMark/>
          </w:tcPr>
          <w:p w:rsidR="00332C22" w:rsidRPr="00BB4A15" w:rsidRDefault="00EB0878" w:rsidP="00BF7BFE">
            <w:pPr>
              <w:spacing w:line="240" w:lineRule="auto"/>
              <w:ind w:firstLine="0"/>
              <w:jc w:val="center"/>
              <w:rPr>
                <w:rFonts w:ascii="Calibri" w:hAnsi="Calibri"/>
                <w:b/>
                <w:bCs/>
                <w:color w:val="0000FF"/>
                <w:u w:val="single"/>
              </w:rPr>
            </w:pPr>
            <w:hyperlink r:id="rId270" w:history="1">
              <w:r w:rsidR="00332C22" w:rsidRPr="00BB4A15">
                <w:rPr>
                  <w:rFonts w:ascii="Calibri" w:hAnsi="Calibri"/>
                  <w:b/>
                  <w:bCs/>
                  <w:color w:val="0000FF"/>
                  <w:u w:val="single"/>
                </w:rPr>
                <w:t>0027</w:t>
              </w:r>
            </w:hyperlink>
          </w:p>
        </w:tc>
      </w:tr>
    </w:tbl>
    <w:p w:rsidR="00332C22" w:rsidRDefault="00332C22" w:rsidP="00BF7BFE">
      <w:pPr>
        <w:sectPr w:rsidR="00332C22" w:rsidSect="00BF7BFE">
          <w:headerReference w:type="even" r:id="rId271"/>
          <w:headerReference w:type="default" r:id="rId272"/>
          <w:footerReference w:type="even" r:id="rId273"/>
          <w:footerReference w:type="default" r:id="rId274"/>
          <w:headerReference w:type="first" r:id="rId275"/>
          <w:footerReference w:type="first" r:id="rId276"/>
          <w:pgSz w:w="11906" w:h="16838" w:code="9"/>
          <w:pgMar w:top="1418" w:right="1418" w:bottom="1134" w:left="1418" w:header="567" w:footer="567" w:gutter="0"/>
          <w:cols w:space="708"/>
          <w:docGrid w:linePitch="360"/>
        </w:sectPr>
      </w:pPr>
    </w:p>
    <w:p w:rsidR="000166DD" w:rsidRPr="0013656D" w:rsidRDefault="00EB0878" w:rsidP="000166DD">
      <w:pPr>
        <w:spacing w:before="4800"/>
        <w:jc w:val="center"/>
        <w:rPr>
          <w:rStyle w:val="Titolo1Carattere1"/>
          <w:rFonts w:ascii="Garamond" w:hAnsi="Garamond"/>
          <w:bCs/>
          <w:i/>
          <w:iCs/>
          <w:color w:val="0000FF"/>
          <w:sz w:val="44"/>
        </w:rPr>
      </w:pPr>
      <w:bookmarkStart w:id="160" w:name="_Toc439953675"/>
      <w:bookmarkStart w:id="161" w:name="_Toc440030393"/>
      <w:r>
        <w:rPr>
          <w:rStyle w:val="Titolo1Carattere1"/>
          <w:rFonts w:ascii="Garamond" w:hAnsi="Garamond"/>
          <w:bCs/>
          <w:i/>
          <w:iCs/>
          <w:color w:val="0000FF"/>
          <w:sz w:val="44"/>
        </w:rPr>
        <w:lastRenderedPageBreak/>
        <w:t>VII. CLASSIFICAZIONE DEI PARERI</w:t>
      </w:r>
      <w:bookmarkEnd w:id="160"/>
      <w:bookmarkEnd w:id="161"/>
    </w:p>
    <w:p w:rsidR="000166DD" w:rsidRDefault="000166DD" w:rsidP="000166DD"/>
    <w:p w:rsidR="000166DD" w:rsidRDefault="000166DD" w:rsidP="000166DD">
      <w:pPr>
        <w:sectPr w:rsidR="000166DD" w:rsidSect="00E5358D">
          <w:headerReference w:type="first" r:id="rId277"/>
          <w:footerReference w:type="first" r:id="rId278"/>
          <w:type w:val="oddPage"/>
          <w:pgSz w:w="11906" w:h="16838" w:code="9"/>
          <w:pgMar w:top="1985" w:right="1985" w:bottom="1985" w:left="1985" w:header="1134" w:footer="1134" w:gutter="0"/>
          <w:cols w:sep="1" w:space="284"/>
          <w:titlePg/>
        </w:sectPr>
      </w:pPr>
    </w:p>
    <w:tbl>
      <w:tblPr>
        <w:tblW w:w="5000" w:type="pct"/>
        <w:tblLook w:val="01E0" w:firstRow="1" w:lastRow="1" w:firstColumn="1" w:lastColumn="1" w:noHBand="0" w:noVBand="0"/>
      </w:tblPr>
      <w:tblGrid>
        <w:gridCol w:w="1231"/>
        <w:gridCol w:w="1158"/>
        <w:gridCol w:w="1598"/>
        <w:gridCol w:w="2817"/>
        <w:gridCol w:w="1348"/>
      </w:tblGrid>
      <w:tr w:rsidR="000B33A8" w:rsidRPr="008B2DCE" w:rsidTr="00E5358D">
        <w:trPr>
          <w:cantSplit/>
          <w:trHeight w:val="567"/>
        </w:trPr>
        <w:tc>
          <w:tcPr>
            <w:tcW w:w="75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lastRenderedPageBreak/>
              <w:t>N. SCHEDA</w:t>
            </w:r>
          </w:p>
        </w:tc>
        <w:tc>
          <w:tcPr>
            <w:tcW w:w="71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98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2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2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E5358D">
        <w:trPr>
          <w:cantSplit/>
          <w:trHeight w:val="832"/>
        </w:trPr>
        <w:tc>
          <w:tcPr>
            <w:tcW w:w="755" w:type="pct"/>
            <w:shd w:val="clear" w:color="auto" w:fill="auto"/>
          </w:tcPr>
          <w:p w:rsidR="000B33A8" w:rsidRPr="00B26E1F" w:rsidRDefault="000B33A8" w:rsidP="000B33A8">
            <w:pPr>
              <w:pStyle w:val="StileCentratoPrimariga0cm"/>
              <w:rPr>
                <w:rFonts w:cs="Arial"/>
                <w:b/>
              </w:rPr>
            </w:pPr>
            <w:r w:rsidRPr="00B26E1F">
              <w:rPr>
                <w:rFonts w:cs="Arial"/>
                <w:b/>
              </w:rPr>
              <w:t>0001</w:t>
            </w:r>
          </w:p>
        </w:tc>
        <w:tc>
          <w:tcPr>
            <w:tcW w:w="710" w:type="pct"/>
            <w:shd w:val="clear" w:color="auto" w:fill="auto"/>
          </w:tcPr>
          <w:p w:rsidR="000B33A8" w:rsidRPr="00B26E1F" w:rsidRDefault="000B33A8" w:rsidP="000B33A8">
            <w:pPr>
              <w:pStyle w:val="Collegamento"/>
              <w:rPr>
                <w:rFonts w:cs="Arial"/>
              </w:rPr>
            </w:pPr>
            <w:r w:rsidRPr="00B26E1F">
              <w:rPr>
                <w:rFonts w:cs="Arial"/>
              </w:rPr>
              <w:t>2803</w:t>
            </w:r>
          </w:p>
        </w:tc>
        <w:tc>
          <w:tcPr>
            <w:tcW w:w="98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279" w:history="1">
              <w:r w:rsidR="000B33A8" w:rsidRPr="00B26E1F">
                <w:rPr>
                  <w:rStyle w:val="Collegamentoipertestuale"/>
                  <w:rFonts w:cs="Arial"/>
                </w:rPr>
                <w:t>DL 192/2014</w:t>
              </w:r>
            </w:hyperlink>
          </w:p>
        </w:tc>
        <w:tc>
          <w:tcPr>
            <w:tcW w:w="172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Mille proroghe</w:t>
            </w:r>
          </w:p>
        </w:tc>
        <w:tc>
          <w:tcPr>
            <w:tcW w:w="82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280" w:anchor="data.20150115.com48.bollettino.sede00010.tit00010" w:history="1">
              <w:r w:rsidR="000B33A8">
                <w:rPr>
                  <w:rStyle w:val="Collegamentoipertestuale"/>
                </w:rPr>
                <w:t>15/01/2015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162" w:name="premessa01"/>
            <w:r w:rsidRPr="00B26E1F">
              <w:rPr>
                <w:rFonts w:cs="Arial"/>
                <w:b/>
                <w:color w:val="0000FF"/>
                <w:sz w:val="24"/>
                <w:szCs w:val="24"/>
              </w:rPr>
              <w:t>Premessa</w:t>
            </w:r>
            <w:bookmarkEnd w:id="162"/>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4 Condizioni, 5 Osservazioni</w:t>
            </w:r>
          </w:p>
        </w:tc>
      </w:tr>
      <w:tr w:rsidR="000B33A8" w:rsidRPr="008B2DCE" w:rsidTr="00B26E1F">
        <w:trPr>
          <w:trHeight w:val="98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01" w:history="1">
              <w:r w:rsidR="000B33A8" w:rsidRPr="00812559">
                <w:rPr>
                  <w:rStyle w:val="Collegamentoipertestuale"/>
                </w:rPr>
                <w:t>1</w:t>
              </w:r>
            </w:hyperlink>
            <w:r w:rsidR="000B33A8" w:rsidRPr="00B26E1F">
              <w:rPr>
                <w:rFonts w:cs="Arial"/>
              </w:rPr>
              <w:t xml:space="preserve"> – Contenuto considerato fisiologicamente eterogeneo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highlight w:val="yellow"/>
              </w:rPr>
            </w:pPr>
            <w:r w:rsidRPr="00B26E1F">
              <w:rPr>
                <w:rFonts w:cs="Arial"/>
                <w:szCs w:val="22"/>
              </w:rPr>
              <w:t>Le disposizioni incidono su numerosi ambiti materiali e sono legate tra loro dalla comune funzione di prorogare o differire termini previsti da disposizioni legislative vigenti, ovvero di introdurre regimi transitori.</w:t>
            </w:r>
          </w:p>
        </w:tc>
      </w:tr>
      <w:tr w:rsidR="000B33A8" w:rsidRPr="008B2DCE" w:rsidTr="00B26E1F">
        <w:trPr>
          <w:trHeight w:val="160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02" w:history="1">
              <w:r w:rsidR="000B33A8" w:rsidRPr="00812559">
                <w:rPr>
                  <w:rStyle w:val="Collegamentoipertestuale"/>
                </w:rPr>
                <w:t>2</w:t>
              </w:r>
            </w:hyperlink>
            <w:r w:rsidR="000B33A8" w:rsidRPr="00B26E1F">
              <w:rPr>
                <w:rFonts w:cs="Arial"/>
              </w:rPr>
              <w:t xml:space="preserve"> – Coordinamento con le fonti normative vigenti: modifiche non testuali ed assenza di clausole di coordinamento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32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03" w:history="1">
              <w:r w:rsidR="000B33A8" w:rsidRPr="00812559">
                <w:rPr>
                  <w:rStyle w:val="Collegamentoipertestuale"/>
                </w:rPr>
                <w:t>3</w:t>
              </w:r>
            </w:hyperlink>
            <w:r w:rsidR="000B33A8" w:rsidRPr="00B26E1F">
              <w:rPr>
                <w:rFonts w:cs="Arial"/>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2</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01a04" w:history="1">
              <w:r w:rsidR="000B33A8" w:rsidRPr="00812559">
                <w:rPr>
                  <w:rStyle w:val="Collegamentoipertestuale"/>
                </w:rPr>
                <w:t>4</w:t>
              </w:r>
            </w:hyperlink>
            <w:r w:rsidR="000B33A8" w:rsidRPr="00B26E1F">
              <w:rPr>
                <w:rFonts w:cs="Arial"/>
              </w:rPr>
              <w:t xml:space="preserve"> – Coordinamento con le fonti normative vigenti: modifiche a norme di recente approvazione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Modifiche, sia in modo testuale, sia implicitamente, a disposizioni di recentissima approvazione.</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05" w:history="1">
              <w:r w:rsidR="000B33A8" w:rsidRPr="00812559">
                <w:rPr>
                  <w:rStyle w:val="Collegamentoipertestuale"/>
                </w:rPr>
                <w:t>5</w:t>
              </w:r>
            </w:hyperlink>
            <w:r w:rsidR="000B33A8" w:rsidRPr="00B26E1F">
              <w:rPr>
                <w:rFonts w:cs="Arial"/>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Riferimenti a rilievi effettuati dal Comitato nei pareri relativi ai decreti-legge le cui disposizioni vengono ora prorogate.</w:t>
            </w:r>
          </w:p>
        </w:tc>
      </w:tr>
    </w:tbl>
    <w:p w:rsidR="006E230D" w:rsidRDefault="006E230D"/>
    <w:tbl>
      <w:tblPr>
        <w:tblW w:w="5000" w:type="pct"/>
        <w:jc w:val="center"/>
        <w:tblLook w:val="01E0" w:firstRow="1" w:lastRow="1" w:firstColumn="1" w:lastColumn="1" w:noHBand="0" w:noVBand="0"/>
      </w:tblPr>
      <w:tblGrid>
        <w:gridCol w:w="4076"/>
        <w:gridCol w:w="4076"/>
      </w:tblGrid>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6E230D">
            <w:pPr>
              <w:spacing w:before="100" w:beforeAutospacing="1" w:after="100" w:afterAutospacing="1"/>
              <w:ind w:firstLine="0"/>
            </w:pPr>
            <w:hyperlink w:anchor="S01a06" w:history="1">
              <w:r w:rsidR="000B33A8" w:rsidRPr="00B26E1F">
                <w:rPr>
                  <w:rStyle w:val="Collegamentoipertestuale"/>
                  <w:rFonts w:cs="Arial"/>
                </w:rPr>
                <w:t>6</w:t>
              </w:r>
            </w:hyperlink>
            <w:r w:rsidR="000B33A8" w:rsidRPr="00B26E1F">
              <w:rPr>
                <w:rStyle w:val="Collegamentoipertestuale"/>
                <w:rFonts w:cs="Arial"/>
              </w:rPr>
              <w:t xml:space="preserve"> </w:t>
            </w:r>
            <w:r w:rsidR="000B33A8">
              <w:t xml:space="preserve">- </w:t>
            </w:r>
            <w:r w:rsidR="000B33A8" w:rsidRPr="00B26E1F">
              <w:rPr>
                <w:rFonts w:cs="Arial"/>
              </w:rPr>
              <w:t>Coordinamento con le fonti normative vigenti: stratificazione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6E230D">
            <w:pPr>
              <w:spacing w:before="100" w:beforeAutospacing="1" w:after="100" w:afterAutospacing="1"/>
              <w:ind w:firstLine="0"/>
              <w:rPr>
                <w:rFonts w:cs="Arial"/>
              </w:rPr>
            </w:pPr>
            <w:r w:rsidRPr="00B26E1F">
              <w:rPr>
                <w:rFonts w:cs="Arial"/>
              </w:rPr>
              <w:t>Interviene su settori disciplinari che hanno formato oggetto, anche in tempi recenti, di una molteplicità di interventi normativi.</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6E230D">
            <w:pPr>
              <w:spacing w:before="100" w:beforeAutospacing="1" w:after="100" w:afterAutospacing="1"/>
              <w:ind w:firstLine="0"/>
              <w:rPr>
                <w:rFonts w:cs="Arial"/>
              </w:rPr>
            </w:pPr>
            <w:hyperlink w:anchor="S01a07" w:history="1">
              <w:r w:rsidR="000B33A8" w:rsidRPr="00B26E1F">
                <w:rPr>
                  <w:rStyle w:val="Collegamentoipertestuale"/>
                  <w:rFonts w:cs="Arial"/>
                </w:rPr>
                <w:t>7</w:t>
              </w:r>
            </w:hyperlink>
            <w:r w:rsidR="000B33A8" w:rsidRPr="00B26E1F">
              <w:rPr>
                <w:rFonts w:cs="Arial"/>
              </w:rPr>
              <w:t xml:space="preserve"> – Efficacia retroattiva </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t>Differimento di termini già scaduti, con efficacia retroattiva.</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08" w:history="1">
              <w:r w:rsidR="000B33A8" w:rsidRPr="00B26E1F">
                <w:rPr>
                  <w:rStyle w:val="Collegamentoipertestuale"/>
                  <w:rFonts w:cs="Arial"/>
                </w:rPr>
                <w:t>8</w:t>
              </w:r>
            </w:hyperlink>
            <w:r w:rsidR="000B33A8" w:rsidRPr="00B26E1F">
              <w:rPr>
                <w:rFonts w:cs="Arial"/>
              </w:rPr>
              <w:t xml:space="preserve"> – Proroga di disposizioni transitorie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Proroga di disposizioni transitorie, di alcune delle quali andrebbe valutata la trasformazione a regime,</w:t>
            </w:r>
            <w:r>
              <w:t xml:space="preserve"> </w:t>
            </w:r>
            <w:r w:rsidRPr="00B26E1F">
              <w:rPr>
                <w:rFonts w:cs="Arial"/>
              </w:rPr>
              <w:t>data la loro risalente applicazione ininterrotta.</w:t>
            </w:r>
          </w:p>
          <w:p w:rsidR="000B33A8" w:rsidRPr="00B26E1F" w:rsidRDefault="000B33A8" w:rsidP="00B26E1F">
            <w:pPr>
              <w:spacing w:before="100" w:beforeAutospacing="1" w:after="100" w:afterAutospacing="1"/>
              <w:ind w:firstLine="0"/>
              <w:rPr>
                <w:rFonts w:cs="Arial"/>
              </w:rPr>
            </w:pPr>
            <w:r w:rsidRPr="00B26E1F">
              <w:rPr>
                <w:rFonts w:cs="Arial"/>
              </w:rPr>
              <w:t>Osservazione 3</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09" w:history="1">
              <w:r w:rsidR="000B33A8" w:rsidRPr="00B26E1F">
                <w:rPr>
                  <w:rStyle w:val="Collegamentoipertestuale"/>
                  <w:rFonts w:cs="Arial"/>
                </w:rPr>
                <w:t>9</w:t>
              </w:r>
            </w:hyperlink>
            <w:r w:rsidR="000B33A8" w:rsidRPr="00B26E1F">
              <w:rPr>
                <w:rFonts w:cs="Arial"/>
              </w:rPr>
              <w:t xml:space="preserve"> - Efficacia temporale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Proroga del termine iniziale di entrata in vigore di discipline a regime che avrebbero dovuto trovare applicazione già da alcuni anni.</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10" w:history="1">
              <w:r w:rsidR="000B33A8" w:rsidRPr="00B26E1F">
                <w:rPr>
                  <w:rStyle w:val="Collegamentoipertestuale"/>
                  <w:rFonts w:cs="Arial"/>
                </w:rPr>
                <w:t>10</w:t>
              </w:r>
            </w:hyperlink>
            <w:r w:rsidR="000B33A8" w:rsidRPr="00B26E1F">
              <w:rPr>
                <w:rFonts w:cs="Arial"/>
              </w:rPr>
              <w:t xml:space="preserve"> - Proroga di disposizioni rimaste inattuate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Proroghe di termini per l’adozione di provvedimenti applicativi di norme preesistenti, le quali non hanno mai trovato attuazione.</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11" w:history="1">
              <w:r w:rsidR="000B33A8" w:rsidRPr="00B26E1F">
                <w:rPr>
                  <w:rStyle w:val="Collegamentoipertestuale"/>
                  <w:rFonts w:cs="Arial"/>
                </w:rPr>
                <w:t>11</w:t>
              </w:r>
            </w:hyperlink>
            <w:r w:rsidR="000B33A8" w:rsidRPr="00B26E1F">
              <w:rPr>
                <w:rFonts w:cs="Arial"/>
              </w:rPr>
              <w:t xml:space="preserve"> - Efficacia temporale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Proroga di disposizioni aventi carattere derogatorio.</w:t>
            </w:r>
          </w:p>
        </w:tc>
      </w:tr>
      <w:tr w:rsidR="000B33A8" w:rsidRPr="008B2DCE" w:rsidTr="00B26E1F">
        <w:trPr>
          <w:trHeight w:val="107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11bis" w:history="1">
              <w:r w:rsidR="000B33A8" w:rsidRPr="00B26E1F">
                <w:rPr>
                  <w:rStyle w:val="Collegamentoipertestuale"/>
                  <w:rFonts w:cs="Arial"/>
                </w:rPr>
                <w:t>11-</w:t>
              </w:r>
              <w:r w:rsidR="000B33A8" w:rsidRPr="00B26E1F">
                <w:rPr>
                  <w:rStyle w:val="Collegamentoipertestuale"/>
                  <w:rFonts w:cs="Arial"/>
                  <w:i/>
                </w:rPr>
                <w:t>bis</w:t>
              </w:r>
            </w:hyperlink>
            <w:r w:rsidR="000B33A8" w:rsidRPr="00B26E1F">
              <w:rPr>
                <w:rFonts w:cs="Arial"/>
              </w:rPr>
              <w:t xml:space="preserve"> - Efficacia temporale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Proroga di disposizioni aventi carattere derogatorio.</w:t>
            </w:r>
          </w:p>
          <w:p w:rsidR="000B33A8" w:rsidRPr="00B26E1F" w:rsidRDefault="000B33A8" w:rsidP="00B26E1F">
            <w:pPr>
              <w:spacing w:before="100" w:beforeAutospacing="1" w:after="100" w:afterAutospacing="1"/>
              <w:ind w:firstLine="0"/>
              <w:rPr>
                <w:rFonts w:cs="Arial"/>
              </w:rPr>
            </w:pPr>
            <w:r w:rsidRPr="00B26E1F">
              <w:rPr>
                <w:rFonts w:cs="Arial"/>
              </w:rPr>
              <w:t>Condizione 4</w:t>
            </w:r>
          </w:p>
        </w:tc>
      </w:tr>
      <w:tr w:rsidR="000B33A8" w:rsidRPr="008B2DCE" w:rsidTr="00C91B98">
        <w:trPr>
          <w:trHeight w:val="55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12" w:history="1">
              <w:r w:rsidR="000B33A8" w:rsidRPr="00B26E1F">
                <w:rPr>
                  <w:rStyle w:val="Collegamentoipertestuale"/>
                  <w:rFonts w:cs="Arial"/>
                </w:rPr>
                <w:t>12</w:t>
              </w:r>
            </w:hyperlink>
            <w:r w:rsidR="000B33A8" w:rsidRPr="00B26E1F">
              <w:rPr>
                <w:rFonts w:cs="Arial"/>
              </w:rPr>
              <w:t xml:space="preserve"> – Rapporti tra fonti primarie e fonti subordinate: incidenza su fonti subordinate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Incidenza, in via non testuale, su discipline oggetto di fonte normativa di rango subordinato. Richiamo al punto 3, lettera </w:t>
            </w:r>
            <w:r w:rsidRPr="00B26E1F">
              <w:rPr>
                <w:rFonts w:cs="Arial"/>
                <w:i/>
              </w:rPr>
              <w:t>e)</w:t>
            </w:r>
            <w:r w:rsidRPr="00B26E1F">
              <w:rPr>
                <w:rFonts w:cs="Arial"/>
              </w:rPr>
              <w:t>, della circolare sulla formulazione dei testi normativi.</w:t>
            </w:r>
          </w:p>
          <w:p w:rsidR="000B33A8" w:rsidRPr="00B26E1F" w:rsidRDefault="000B33A8" w:rsidP="00B26E1F">
            <w:pPr>
              <w:spacing w:before="100" w:beforeAutospacing="1" w:after="100" w:afterAutospacing="1"/>
              <w:ind w:firstLine="0"/>
              <w:rPr>
                <w:rFonts w:cs="Arial"/>
              </w:rPr>
            </w:pPr>
            <w:r w:rsidRPr="00B26E1F">
              <w:rPr>
                <w:rFonts w:cs="Arial"/>
              </w:rPr>
              <w:t>Condizione 2</w:t>
            </w:r>
          </w:p>
        </w:tc>
      </w:tr>
    </w:tbl>
    <w:p w:rsidR="00C91B98" w:rsidRDefault="00C91B98"/>
    <w:tbl>
      <w:tblPr>
        <w:tblW w:w="5000" w:type="pct"/>
        <w:jc w:val="center"/>
        <w:tblLook w:val="01E0" w:firstRow="1" w:lastRow="1" w:firstColumn="1" w:lastColumn="1" w:noHBand="0" w:noVBand="0"/>
      </w:tblPr>
      <w:tblGrid>
        <w:gridCol w:w="4076"/>
        <w:gridCol w:w="4076"/>
      </w:tblGrid>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C91B98">
            <w:pPr>
              <w:spacing w:before="100" w:beforeAutospacing="1" w:after="100" w:afterAutospacing="1"/>
              <w:ind w:firstLine="0"/>
              <w:rPr>
                <w:rFonts w:cs="Arial"/>
              </w:rPr>
            </w:pPr>
            <w:hyperlink w:anchor="S01a13" w:history="1">
              <w:r w:rsidR="000B33A8" w:rsidRPr="00B26E1F">
                <w:rPr>
                  <w:rStyle w:val="Collegamentoipertestuale"/>
                  <w:rFonts w:cs="Arial"/>
                </w:rPr>
                <w:t>13</w:t>
              </w:r>
            </w:hyperlink>
            <w:r w:rsidR="000B33A8" w:rsidRPr="00B26E1F">
              <w:rPr>
                <w:rFonts w:cs="Arial"/>
              </w:rPr>
              <w:t xml:space="preserve"> – Coerente utilizzo delle fonti normative: delegificazione spuria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C91B98">
            <w:pPr>
              <w:spacing w:before="100" w:beforeAutospacing="1" w:after="100" w:afterAutospacing="1"/>
              <w:ind w:firstLine="0"/>
              <w:rPr>
                <w:rFonts w:cs="Arial"/>
              </w:rPr>
            </w:pPr>
            <w:r w:rsidRPr="00B26E1F">
              <w:rPr>
                <w:rFonts w:cs="Arial"/>
              </w:rPr>
              <w:t>Ad una fonte subordinata, quale un decreto ministeriale, si affida il compito di incidere su disposizioni di rango legislativo. Richiamo all’articolo 17, comma 2, della legge n. 400/1988. Richiamo all’articolo 23 della Costituzione.</w:t>
            </w:r>
          </w:p>
          <w:p w:rsidR="000B33A8" w:rsidRPr="00B26E1F" w:rsidRDefault="000B33A8" w:rsidP="00C91B98">
            <w:pPr>
              <w:spacing w:before="100" w:beforeAutospacing="1" w:after="100" w:afterAutospacing="1"/>
              <w:ind w:firstLine="0"/>
              <w:rPr>
                <w:rFonts w:cs="Arial"/>
              </w:rPr>
            </w:pPr>
            <w:r w:rsidRPr="00B26E1F">
              <w:rPr>
                <w:rFonts w:cs="Arial"/>
              </w:rPr>
              <w:t>Condizione 3</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C91B98">
            <w:pPr>
              <w:spacing w:before="100" w:beforeAutospacing="1" w:after="100" w:afterAutospacing="1"/>
              <w:ind w:firstLine="0"/>
              <w:rPr>
                <w:rFonts w:cs="Arial"/>
              </w:rPr>
            </w:pPr>
            <w:hyperlink w:anchor="S01a14" w:history="1">
              <w:r w:rsidR="000B33A8" w:rsidRPr="00B26E1F">
                <w:rPr>
                  <w:rStyle w:val="Collegamentoipertestuale"/>
                  <w:rFonts w:cs="Arial"/>
                </w:rPr>
                <w:t>14</w:t>
              </w:r>
            </w:hyperlink>
            <w:r w:rsidR="000B33A8" w:rsidRPr="00B26E1F">
              <w:rPr>
                <w:rFonts w:cs="Arial"/>
              </w:rPr>
              <w:t xml:space="preserve"> – Formulazione del testo: rubriche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5</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15" w:history="1">
              <w:r w:rsidR="000B33A8" w:rsidRPr="00B26E1F">
                <w:rPr>
                  <w:rStyle w:val="Collegamentoipertestuale"/>
                  <w:rFonts w:cs="Arial"/>
                </w:rPr>
                <w:t>15</w:t>
              </w:r>
            </w:hyperlink>
            <w:r w:rsidR="000B33A8" w:rsidRPr="00B26E1F">
              <w:rPr>
                <w:rFonts w:cs="Arial"/>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4</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16" w:history="1">
              <w:r w:rsidR="000B33A8" w:rsidRPr="00B26E1F">
                <w:rPr>
                  <w:rStyle w:val="Collegamentoipertestuale"/>
                  <w:rFonts w:cs="Arial"/>
                </w:rPr>
                <w:t>16</w:t>
              </w:r>
            </w:hyperlink>
            <w:r w:rsidR="000B33A8" w:rsidRPr="00B26E1F">
              <w:rPr>
                <w:rFonts w:cs="Arial"/>
              </w:rPr>
              <w:t xml:space="preserve"> – Riferimenti normativi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Rinvio alle norme novellanti piuttosto che a quelle novellate. Richiamo al paragrafo 12, lettera </w:t>
            </w:r>
            <w:r w:rsidRPr="00B26E1F">
              <w:rPr>
                <w:rFonts w:cs="Arial"/>
                <w:i/>
              </w:rPr>
              <w:t>e)</w:t>
            </w:r>
            <w:r w:rsidRPr="00B26E1F">
              <w:rPr>
                <w:rFonts w:cs="Arial"/>
              </w:rPr>
              <w:t>, della circolare sulla formulazione dei testi normativi.</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17" w:history="1">
              <w:r w:rsidR="000B33A8" w:rsidRPr="00B26E1F">
                <w:rPr>
                  <w:rStyle w:val="Collegamentoipertestuale"/>
                  <w:rFonts w:cs="Arial"/>
                </w:rPr>
                <w:t>17</w:t>
              </w:r>
            </w:hyperlink>
            <w:r w:rsidR="000B33A8" w:rsidRPr="00B26E1F">
              <w:rPr>
                <w:rFonts w:cs="Arial"/>
              </w:rPr>
              <w:t xml:space="preserve"> – Riferimenti normativi effettuati in forma generica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1a18" w:history="1">
              <w:r w:rsidR="000B33A8" w:rsidRPr="00B26E1F">
                <w:rPr>
                  <w:rStyle w:val="Collegamentoipertestuale"/>
                  <w:rFonts w:cs="Arial"/>
                </w:rPr>
                <w:t>18</w:t>
              </w:r>
            </w:hyperlink>
            <w:r w:rsidR="000B33A8" w:rsidRPr="00B26E1F">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Assenti. Presente tautologico riferimento all’esenzione dall’obbligo di redigere l’AIR. Richiamo all’articolo 9 del DPCM n. 170/2008.</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lastRenderedPageBreak/>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21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21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bl>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 xml:space="preserve">Articolo 23 della Costituzione; articolo 17, co. 2, della legge n. 400/1988; articolo 9 del DPCM n. 170/2008; punto 3, lettera </w:t>
            </w:r>
            <w:r w:rsidRPr="00B26E1F">
              <w:rPr>
                <w:rFonts w:cs="Arial"/>
              </w:rPr>
              <w:t>e)</w:t>
            </w:r>
            <w:r w:rsidRPr="00B26E1F">
              <w:rPr>
                <w:rFonts w:cs="Arial"/>
                <w:i/>
              </w:rPr>
              <w:t xml:space="preserve">, e paragrafo 12, lettera </w:t>
            </w:r>
            <w:r w:rsidRPr="00B26E1F">
              <w:rPr>
                <w:rFonts w:cs="Arial"/>
              </w:rPr>
              <w:t>e)</w:t>
            </w:r>
            <w:r w:rsidRPr="00B26E1F">
              <w:rPr>
                <w:rFonts w:cs="Arial"/>
                <w:i/>
              </w:rPr>
              <w:t>, della circolare sulla formulazione dei testi normativi.</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163" w:name="S01a01"/>
      <w:r w:rsidRPr="00B91F58">
        <w:rPr>
          <w:rFonts w:cs="Arial"/>
          <w:szCs w:val="22"/>
        </w:rPr>
        <w:t xml:space="preserve">1 – </w:t>
      </w:r>
      <w:bookmarkEnd w:id="163"/>
      <w:r>
        <w:fldChar w:fldCharType="begin"/>
      </w:r>
      <w:r>
        <w:instrText>HYPERLINK  \l "premessa01"</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616AB8">
        <w:rPr>
          <w:rFonts w:cs="Arial"/>
          <w:szCs w:val="22"/>
        </w:rPr>
        <w:t xml:space="preserve">il provvedimento, che si compone di quattordici articoli, cui si aggiunge l'articolo 15 che disciplina l'entrata in vigore, reca disposizioni che intervengono, come fisiologicamente accade per i decreti-legge così detti </w:t>
      </w:r>
      <w:r>
        <w:rPr>
          <w:rFonts w:cs="Arial"/>
          <w:szCs w:val="22"/>
        </w:rPr>
        <w:t>“</w:t>
      </w:r>
      <w:r w:rsidRPr="00616AB8">
        <w:rPr>
          <w:rFonts w:cs="Arial"/>
          <w:szCs w:val="22"/>
        </w:rPr>
        <w:t>milleproroghe</w:t>
      </w:r>
      <w:r>
        <w:rPr>
          <w:rFonts w:cs="Arial"/>
          <w:szCs w:val="22"/>
        </w:rPr>
        <w:t>”</w:t>
      </w:r>
      <w:r w:rsidRPr="00616AB8">
        <w:rPr>
          <w:rFonts w:cs="Arial"/>
          <w:szCs w:val="22"/>
        </w:rPr>
        <w:t xml:space="preserve">, su </w:t>
      </w:r>
      <w:r w:rsidRPr="00616AB8">
        <w:rPr>
          <w:rFonts w:cs="Arial"/>
          <w:b/>
          <w:szCs w:val="22"/>
        </w:rPr>
        <w:t>numerosi ambiti materiali</w:t>
      </w:r>
      <w:r w:rsidRPr="00616AB8">
        <w:rPr>
          <w:rFonts w:cs="Arial"/>
          <w:szCs w:val="22"/>
        </w:rPr>
        <w:t>, ma che risultano legate tra loro dalla comune funzione di prorogare o differire termini previsti da disposizioni legislative vigenti, ovvero di introdurre regimi transitori. Incidono altresì sull'efficacia temporale di disposizioni vigenti, pur non recando una proroga di termini, i commi 9 (acconti IRES e IRAP e accise) e 12 (società controllate dalla Ferrovie dello Stato Spa) dell'articolo 10 e il comma 2 dell'articolo 11, che fissa, senza il metodo della novella, il termine entro il quale deve essere completata l'attività del Commissario delegato al ripristino della viabilità nelle strade statali e provinciali in Sardegna interrotte o danneggiate dall'alluvione del novembre 2013</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164" w:name="S01a02"/>
      <w:r w:rsidRPr="00B91F58">
        <w:rPr>
          <w:rFonts w:cs="Arial"/>
          <w:szCs w:val="22"/>
        </w:rPr>
        <w:t>2 –</w:t>
      </w:r>
      <w:bookmarkEnd w:id="164"/>
      <w:r w:rsidRPr="00B91F58">
        <w:rPr>
          <w:rFonts w:cs="Arial"/>
          <w:szCs w:val="22"/>
        </w:rPr>
        <w:t xml:space="preserve"> </w:t>
      </w:r>
      <w:hyperlink w:anchor="premessa21" w:history="1">
        <w:hyperlink w:anchor="premessa01" w:history="1">
          <w:r w:rsidRPr="00B91F58">
            <w:rPr>
              <w:rStyle w:val="Collegamentoipertestuale"/>
              <w:rFonts w:cs="Arial"/>
              <w:b/>
              <w:szCs w:val="22"/>
            </w:rPr>
            <w:t>Premessa</w:t>
          </w:r>
          <w:r w:rsidRPr="00B91F58">
            <w:rPr>
              <w:rStyle w:val="Collegamentoipertestuale"/>
              <w:rFonts w:cs="Arial"/>
              <w:szCs w:val="22"/>
            </w:rPr>
            <w:t>:</w:t>
          </w:r>
        </w:hyperlink>
      </w:hyperlink>
      <w:r w:rsidRPr="00B91F58">
        <w:rPr>
          <w:rFonts w:cs="Arial"/>
          <w:szCs w:val="22"/>
        </w:rPr>
        <w:t xml:space="preserve"> «</w:t>
      </w:r>
      <w:r w:rsidRPr="00616AB8">
        <w:rPr>
          <w:rFonts w:cs="Arial"/>
          <w:szCs w:val="22"/>
        </w:rPr>
        <w:t xml:space="preserve">nel procedere a numerose modifiche della disciplina vigente, il decreto non sempre effettua gli opportuni coordinamenti con le preesistenti fonti normative, sulle quali talvolta interviene mediante </w:t>
      </w:r>
      <w:r w:rsidRPr="00616AB8">
        <w:rPr>
          <w:rFonts w:cs="Arial"/>
          <w:b/>
          <w:szCs w:val="22"/>
        </w:rPr>
        <w:t>modifiche non testuali</w:t>
      </w:r>
      <w:r w:rsidRPr="00616AB8">
        <w:rPr>
          <w:rFonts w:cs="Arial"/>
          <w:szCs w:val="22"/>
        </w:rPr>
        <w:t>. Diversi interventi di proroga o differimento di termini (si vedano, ad esempio, l'articolo 1, commi 2, 4, 7 e 9, concernenti assunzioni e contratti di lavoro nel settore pubblico; l'articolo 4, commi 1, 3 e 6, concernenti provvedimenti di competenza del ministero dell'interno; l'articolo 9, comma 1, relativo al divieto di conferimento in discarica di rifiuti, nonché ulteriori casi puntualmente individuati nel seguito) vengono infatti disposti senza novellare il termine precedentemente previsto</w:t>
      </w:r>
      <w:r>
        <w:rPr>
          <w:rFonts w:cs="Arial"/>
          <w:szCs w:val="22"/>
        </w:rPr>
        <w:t xml:space="preserve"> </w:t>
      </w:r>
      <w:r w:rsidRPr="00B91F58">
        <w:rPr>
          <w:rFonts w:cs="Arial"/>
          <w:szCs w:val="22"/>
        </w:rPr>
        <w:t>»</w:t>
      </w:r>
      <w:r>
        <w:rPr>
          <w:rFonts w:cs="Arial"/>
          <w:szCs w:val="22"/>
        </w:rPr>
        <w:t xml:space="preserve"> </w:t>
      </w:r>
      <w:r w:rsidRPr="00B91F58">
        <w:rPr>
          <w:rFonts w:cs="Arial"/>
          <w:szCs w:val="22"/>
        </w:rPr>
        <w:t>(</w:t>
      </w:r>
      <w:hyperlink w:anchor="S01o01" w:history="1">
        <w:r>
          <w:rPr>
            <w:rStyle w:val="Collegamentoipertestuale"/>
            <w:rFonts w:cs="Arial"/>
            <w:b/>
            <w:szCs w:val="22"/>
          </w:rPr>
          <w:t>conseguente osservazione</w:t>
        </w:r>
      </w:hyperlink>
      <w:r w:rsidRPr="00B91F58">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165" w:name="S01a03"/>
      <w:r w:rsidRPr="00B91F58">
        <w:rPr>
          <w:rFonts w:cs="Arial"/>
          <w:szCs w:val="22"/>
        </w:rPr>
        <w:t>3 –</w:t>
      </w:r>
      <w:bookmarkEnd w:id="165"/>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000863">
        <w:rPr>
          <w:rFonts w:cs="Arial"/>
          <w:szCs w:val="22"/>
        </w:rPr>
        <w:t xml:space="preserve">anche in altri casi il decreto non cura gli opportuni </w:t>
      </w:r>
      <w:r w:rsidRPr="00000863">
        <w:rPr>
          <w:rFonts w:cs="Arial"/>
          <w:b/>
          <w:szCs w:val="22"/>
        </w:rPr>
        <w:t>coordinamenti con la normativa vigente</w:t>
      </w:r>
      <w:r w:rsidRPr="00000863">
        <w:rPr>
          <w:rFonts w:cs="Arial"/>
          <w:szCs w:val="22"/>
        </w:rPr>
        <w:t>: è il caso dell'articolo 6, comma 3, che nell'estendere all'anno accademico 2014-2015 i premi per l'alta formazione artistica, musicale e coreutica previsti dall'articolo 3 del decreto-legge 12 settembre 2013, n.</w:t>
      </w:r>
      <w:r>
        <w:rPr>
          <w:rFonts w:cs="Arial"/>
          <w:szCs w:val="22"/>
        </w:rPr>
        <w:t xml:space="preserve"> </w:t>
      </w:r>
      <w:r w:rsidRPr="00000863">
        <w:rPr>
          <w:rFonts w:cs="Arial"/>
          <w:szCs w:val="22"/>
        </w:rPr>
        <w:t>104, non modifica i termini ivi previsti per l'emanazione del bando relativo (comma 1: quindici giorni dalla data di entrata in vigore del citato decreto-legge n.</w:t>
      </w:r>
      <w:r>
        <w:rPr>
          <w:rFonts w:cs="Arial"/>
          <w:szCs w:val="22"/>
        </w:rPr>
        <w:t xml:space="preserve"> </w:t>
      </w:r>
      <w:r w:rsidRPr="00000863">
        <w:rPr>
          <w:rFonts w:cs="Arial"/>
          <w:szCs w:val="22"/>
        </w:rPr>
        <w:t>104) e per la comunicazione della graduatoria e l'individuazione dei destinatari dei premi (comma 3: 31 marzo 2014); analogamente il caso dell'articolo 7, comma 3, che proroga l'entrata in vigore di un nuovo sistema di remunerazione del farmaco, senza però intervenire sulla previsione in base alla quale il relativo decreto ministeriale avrebbe dovuto essere adottato entro novanta giorni dalla data di entrata in vigore della legge 7 agosto 2012, n.</w:t>
      </w:r>
      <w:r>
        <w:rPr>
          <w:rFonts w:cs="Arial"/>
          <w:szCs w:val="22"/>
        </w:rPr>
        <w:t xml:space="preserve"> </w:t>
      </w:r>
      <w:r w:rsidRPr="00000863">
        <w:rPr>
          <w:rFonts w:cs="Arial"/>
          <w:szCs w:val="22"/>
        </w:rPr>
        <w:t>135, di conversione del decreto-legge 6 luglio 2012, n.</w:t>
      </w:r>
      <w:r>
        <w:rPr>
          <w:rFonts w:cs="Arial"/>
          <w:szCs w:val="22"/>
        </w:rPr>
        <w:t xml:space="preserve"> </w:t>
      </w:r>
      <w:r w:rsidRPr="00000863">
        <w:rPr>
          <w:rFonts w:cs="Arial"/>
          <w:szCs w:val="22"/>
        </w:rPr>
        <w:t>95;</w:t>
      </w:r>
      <w:r w:rsidRPr="00B91F58">
        <w:rPr>
          <w:rFonts w:cs="Arial"/>
          <w:szCs w:val="22"/>
        </w:rPr>
        <w:t xml:space="preserve">»; </w:t>
      </w:r>
    </w:p>
    <w:p w:rsidR="000B33A8" w:rsidRPr="00B91F58" w:rsidRDefault="000B33A8" w:rsidP="000B33A8">
      <w:pPr>
        <w:spacing w:before="100" w:beforeAutospacing="1" w:after="100" w:afterAutospacing="1" w:line="240" w:lineRule="auto"/>
        <w:ind w:firstLine="0"/>
        <w:rPr>
          <w:rFonts w:cs="Arial"/>
          <w:szCs w:val="22"/>
        </w:rPr>
      </w:pPr>
    </w:p>
    <w:p w:rsidR="000B33A8" w:rsidRPr="00B91F58" w:rsidRDefault="000B33A8" w:rsidP="000B33A8">
      <w:pPr>
        <w:spacing w:before="100" w:beforeAutospacing="1" w:after="100" w:afterAutospacing="1" w:line="240" w:lineRule="auto"/>
        <w:ind w:firstLine="0"/>
        <w:rPr>
          <w:rFonts w:cs="Arial"/>
          <w:szCs w:val="22"/>
        </w:rPr>
      </w:pPr>
    </w:p>
    <w:p w:rsidR="000B33A8" w:rsidRPr="00B91F58" w:rsidRDefault="000B33A8" w:rsidP="000B33A8">
      <w:pPr>
        <w:rPr>
          <w:rFonts w:cs="Arial"/>
          <w:szCs w:val="22"/>
        </w:rPr>
      </w:pPr>
      <w:bookmarkStart w:id="166" w:name="S01a04"/>
      <w:r w:rsidRPr="00B91F58">
        <w:rPr>
          <w:rFonts w:cs="Arial"/>
          <w:szCs w:val="22"/>
        </w:rPr>
        <w:t>4 –</w:t>
      </w:r>
      <w:bookmarkEnd w:id="166"/>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CA4EA7">
        <w:rPr>
          <w:rFonts w:cs="Arial"/>
          <w:szCs w:val="22"/>
        </w:rPr>
        <w:t xml:space="preserve">il decreto modifica, sia in modo testuale sia implicitamente, </w:t>
      </w:r>
      <w:r w:rsidRPr="00CA4EA7">
        <w:rPr>
          <w:rFonts w:cs="Arial"/>
          <w:b/>
          <w:szCs w:val="22"/>
        </w:rPr>
        <w:t>disposizioni di recentissima approvazione</w:t>
      </w:r>
      <w:r w:rsidRPr="00CA4EA7">
        <w:rPr>
          <w:rFonts w:cs="Arial"/>
          <w:szCs w:val="22"/>
        </w:rPr>
        <w:t xml:space="preserve"> (ad esempio: l'articolo 1, comma 2, l'articolo 2 e l'articolo 6, commi 1 e 2, incidono sul decreto-legge n.</w:t>
      </w:r>
      <w:r>
        <w:rPr>
          <w:rFonts w:cs="Arial"/>
          <w:szCs w:val="22"/>
        </w:rPr>
        <w:t xml:space="preserve"> </w:t>
      </w:r>
      <w:r w:rsidRPr="00CA4EA7">
        <w:rPr>
          <w:rFonts w:cs="Arial"/>
          <w:szCs w:val="22"/>
        </w:rPr>
        <w:t>90 del 24 giugno 2014; l'articolo 3, comma 2, l'articolo 8, commi 2, 7 e 10, e l'articolo 9, comma 4, modificano previsioni introdotte dal decreto-legge n.</w:t>
      </w:r>
      <w:r>
        <w:rPr>
          <w:rFonts w:cs="Arial"/>
          <w:szCs w:val="22"/>
        </w:rPr>
        <w:t xml:space="preserve"> </w:t>
      </w:r>
      <w:r w:rsidRPr="00CA4EA7">
        <w:rPr>
          <w:rFonts w:cs="Arial"/>
          <w:szCs w:val="22"/>
        </w:rPr>
        <w:t>133 del 12 settembre 2014; l'articolo 4, comma 3, l'articolo 10, comma 12, e l'articolo 12, comma 1, incidono sul decreto-legge n.</w:t>
      </w:r>
      <w:r>
        <w:rPr>
          <w:rFonts w:cs="Arial"/>
          <w:szCs w:val="22"/>
        </w:rPr>
        <w:t xml:space="preserve"> </w:t>
      </w:r>
      <w:r w:rsidRPr="00CA4EA7">
        <w:rPr>
          <w:rFonts w:cs="Arial"/>
          <w:szCs w:val="22"/>
        </w:rPr>
        <w:t>66 del 24 aprile 2014; l'articolo 6, comma 6, proroga un termine fissato dal decreto-legge n.</w:t>
      </w:r>
      <w:r>
        <w:rPr>
          <w:rFonts w:cs="Arial"/>
          <w:szCs w:val="22"/>
        </w:rPr>
        <w:t xml:space="preserve"> </w:t>
      </w:r>
      <w:r w:rsidRPr="00CA4EA7">
        <w:rPr>
          <w:rFonts w:cs="Arial"/>
          <w:szCs w:val="22"/>
        </w:rPr>
        <w:t>58 del 7 aprile 2014), circostanza che, come rilevato già in altre occasioni analoghe, costituisce una modalità di produzione legislativa non pienamente conforme alle esigenze di stabilità, certezza e semplificazione della legislazione</w:t>
      </w:r>
      <w:r w:rsidRPr="00B91F58">
        <w:rPr>
          <w:rFonts w:cs="Arial"/>
          <w:szCs w:val="22"/>
        </w:rPr>
        <w:t xml:space="preserve">»; </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167" w:name="S01a05"/>
      <w:r w:rsidRPr="00B91F58">
        <w:rPr>
          <w:rFonts w:cs="Arial"/>
          <w:szCs w:val="22"/>
        </w:rPr>
        <w:t>5 –</w:t>
      </w:r>
      <w:bookmarkEnd w:id="167"/>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E971B0">
        <w:rPr>
          <w:rFonts w:cs="Arial"/>
          <w:szCs w:val="22"/>
        </w:rPr>
        <w:t xml:space="preserve">in almeno due circostanze le proroghe di taluni termini – oltre ad incidere, come sopra menzionato, su norme di recente approvazione – sono riferite a </w:t>
      </w:r>
      <w:r w:rsidRPr="00E971B0">
        <w:rPr>
          <w:rFonts w:cs="Arial"/>
          <w:b/>
          <w:szCs w:val="22"/>
        </w:rPr>
        <w:t>disposizioni sulle quali il Comitato aveva formulato specifici rilievi</w:t>
      </w:r>
      <w:r w:rsidRPr="00E971B0">
        <w:rPr>
          <w:rFonts w:cs="Arial"/>
          <w:szCs w:val="22"/>
        </w:rPr>
        <w:t xml:space="preserve">, riscontrando a suo tempo profili di criticità che, ora, contribuiscono a rendere necessario un intervento correttivo. Ciò si riscontra, in particolare: </w:t>
      </w:r>
    </w:p>
    <w:p w:rsidR="000B33A8" w:rsidRDefault="000B33A8" w:rsidP="000B33A8">
      <w:pPr>
        <w:ind w:left="284"/>
        <w:rPr>
          <w:rFonts w:cs="Arial"/>
          <w:szCs w:val="22"/>
        </w:rPr>
      </w:pPr>
      <w:r w:rsidRPr="00E971B0">
        <w:rPr>
          <w:rFonts w:cs="Arial"/>
          <w:i/>
          <w:iCs/>
          <w:szCs w:val="22"/>
        </w:rPr>
        <w:t>a)</w:t>
      </w:r>
      <w:r w:rsidRPr="00E971B0">
        <w:rPr>
          <w:rFonts w:cs="Arial"/>
          <w:szCs w:val="22"/>
        </w:rPr>
        <w:t xml:space="preserve"> all'articolo 6, comma 6, il quale proroga il termine per bandire un corso-concorso per dirigenti scolastici, previsto dall'articolo 1, comma 2-</w:t>
      </w:r>
      <w:r w:rsidRPr="00E971B0">
        <w:rPr>
          <w:rFonts w:cs="Arial"/>
          <w:i/>
          <w:iCs/>
          <w:szCs w:val="22"/>
        </w:rPr>
        <w:t>ter</w:t>
      </w:r>
      <w:r w:rsidRPr="00E971B0">
        <w:rPr>
          <w:rFonts w:cs="Arial"/>
          <w:szCs w:val="22"/>
        </w:rPr>
        <w:t xml:space="preserve"> del decreto-legge n.</w:t>
      </w:r>
      <w:r>
        <w:rPr>
          <w:rFonts w:cs="Arial"/>
          <w:szCs w:val="22"/>
        </w:rPr>
        <w:t xml:space="preserve"> </w:t>
      </w:r>
      <w:r w:rsidRPr="00E971B0">
        <w:rPr>
          <w:rFonts w:cs="Arial"/>
          <w:szCs w:val="22"/>
        </w:rPr>
        <w:t xml:space="preserve">58 del 2014: secondo la relazione illustrativa la procedura «è </w:t>
      </w:r>
      <w:r w:rsidRPr="00E971B0">
        <w:rPr>
          <w:rFonts w:cs="Arial"/>
          <w:szCs w:val="22"/>
        </w:rPr>
        <w:lastRenderedPageBreak/>
        <w:t xml:space="preserve">lunga e complessa» e la proroga si è resa necessaria in quanto è ancora in corso il procedimento per l'avvio della procedura concorsuale; il Comitato aveva rilevato la complessità di tale comma osservando in particolare che esso </w:t>
      </w:r>
      <w:r>
        <w:rPr>
          <w:rFonts w:cs="Arial"/>
          <w:szCs w:val="22"/>
        </w:rPr>
        <w:t>“</w:t>
      </w:r>
      <w:r w:rsidRPr="00E971B0">
        <w:rPr>
          <w:rFonts w:cs="Arial"/>
          <w:szCs w:val="22"/>
        </w:rPr>
        <w:t>individua le categorie beneficiarie con una formulazione, particolarmente ostica sul piano grammaticale, che appare idonea a ingenerare equivoci e dubbi interpretativi circa l'effettiva estensione soggettiva</w:t>
      </w:r>
      <w:r>
        <w:rPr>
          <w:rFonts w:cs="Arial"/>
          <w:szCs w:val="22"/>
        </w:rPr>
        <w:t>”</w:t>
      </w:r>
      <w:r w:rsidRPr="00E971B0">
        <w:rPr>
          <w:rFonts w:cs="Arial"/>
          <w:szCs w:val="22"/>
        </w:rPr>
        <w:t xml:space="preserve"> e rimette all'amministrazione senza vincoli o criteri l'individuazione di una riserva di posti, e dunque aveva posto la condizione (poi non recepita) di riformulare la disposizione in modo che risultasse definito in termini univoci l'ambito soggettivo di applicazione della riserva di posti ivi prevista; </w:t>
      </w:r>
    </w:p>
    <w:p w:rsidR="000B33A8" w:rsidRDefault="000B33A8" w:rsidP="000B33A8">
      <w:pPr>
        <w:ind w:left="284"/>
        <w:rPr>
          <w:rFonts w:cs="Arial"/>
          <w:szCs w:val="22"/>
        </w:rPr>
      </w:pPr>
      <w:r w:rsidRPr="00E971B0">
        <w:rPr>
          <w:rFonts w:cs="Arial"/>
          <w:i/>
          <w:iCs/>
          <w:szCs w:val="22"/>
        </w:rPr>
        <w:t>b)</w:t>
      </w:r>
      <w:r w:rsidRPr="00E971B0">
        <w:rPr>
          <w:rFonts w:cs="Arial"/>
          <w:szCs w:val="22"/>
        </w:rPr>
        <w:t xml:space="preserve"> all'articolo 10, comma 12, che modifica l'articolo 20 del decreto-legge n.</w:t>
      </w:r>
      <w:r>
        <w:rPr>
          <w:rFonts w:cs="Arial"/>
          <w:szCs w:val="22"/>
        </w:rPr>
        <w:t xml:space="preserve"> </w:t>
      </w:r>
      <w:r w:rsidRPr="00E971B0">
        <w:rPr>
          <w:rFonts w:cs="Arial"/>
          <w:szCs w:val="22"/>
        </w:rPr>
        <w:t xml:space="preserve">66 del 2014 quantificando le somme dovute dal Gruppo Ferrovie dello Stato per il concorso al risanamento delle finanze pubbliche: secondo la relazione illustrativa tale intervento ha il </w:t>
      </w:r>
      <w:r>
        <w:rPr>
          <w:rFonts w:cs="Arial"/>
          <w:szCs w:val="22"/>
        </w:rPr>
        <w:t>“</w:t>
      </w:r>
      <w:r w:rsidRPr="00E971B0">
        <w:rPr>
          <w:rFonts w:cs="Arial"/>
          <w:szCs w:val="22"/>
        </w:rPr>
        <w:t>fine di risolvere taluni dubbi interpretativi sorti nell'applicazione della disposizione per le società controllate da Ferrovie dello Stato S.p.a.</w:t>
      </w:r>
      <w:r>
        <w:rPr>
          <w:rFonts w:cs="Arial"/>
          <w:szCs w:val="22"/>
        </w:rPr>
        <w:t>”</w:t>
      </w:r>
      <w:r w:rsidRPr="00E971B0">
        <w:rPr>
          <w:rFonts w:cs="Arial"/>
          <w:szCs w:val="22"/>
        </w:rPr>
        <w:t>; ora, il Comitato, proprio con riferimento al predetto articolo 20 del decreto n.</w:t>
      </w:r>
      <w:r>
        <w:rPr>
          <w:rFonts w:cs="Arial"/>
          <w:szCs w:val="22"/>
        </w:rPr>
        <w:t xml:space="preserve"> </w:t>
      </w:r>
      <w:r w:rsidRPr="00E971B0">
        <w:rPr>
          <w:rFonts w:cs="Arial"/>
          <w:szCs w:val="22"/>
        </w:rPr>
        <w:t xml:space="preserve">66, aveva rilevato che il comma 7, nel prevedere l'esclusione di talune società, impiegava </w:t>
      </w:r>
      <w:r>
        <w:rPr>
          <w:rFonts w:cs="Arial"/>
          <w:szCs w:val="22"/>
        </w:rPr>
        <w:t>“</w:t>
      </w:r>
      <w:r w:rsidRPr="00E971B0">
        <w:rPr>
          <w:rFonts w:cs="Arial"/>
          <w:b/>
          <w:szCs w:val="22"/>
        </w:rPr>
        <w:t>espressioni suscettibili di ingenerare incertezze sull'effettivo significato tecnico-normativo</w:t>
      </w:r>
      <w:r>
        <w:rPr>
          <w:rFonts w:cs="Arial"/>
          <w:szCs w:val="22"/>
        </w:rPr>
        <w:t>”</w:t>
      </w:r>
      <w:r w:rsidRPr="00E971B0">
        <w:rPr>
          <w:rFonts w:cs="Arial"/>
          <w:szCs w:val="22"/>
        </w:rPr>
        <w:t xml:space="preserve"> e aveva formulato un'osservazione richiedendo di valutare l'opportunità di una riformulazione che individuasse in modo più univoco le società così escluse</w:t>
      </w:r>
      <w:r w:rsidRPr="00B91F58">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168" w:name="S01a06"/>
      <w:r w:rsidRPr="00B91F58">
        <w:rPr>
          <w:rFonts w:cs="Arial"/>
          <w:szCs w:val="22"/>
        </w:rPr>
        <w:t>6 –</w:t>
      </w:r>
      <w:bookmarkEnd w:id="168"/>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D72418">
        <w:rPr>
          <w:rFonts w:cs="Arial"/>
          <w:szCs w:val="22"/>
        </w:rPr>
        <w:t xml:space="preserve">il provvedimento a volte interviene su settori disciplinari che hanno formato oggetto, anche in tempi molto recenti, di una profonda </w:t>
      </w:r>
      <w:r w:rsidRPr="00D72418">
        <w:rPr>
          <w:rFonts w:cs="Arial"/>
          <w:b/>
          <w:szCs w:val="22"/>
        </w:rPr>
        <w:t>stratificazione normativa</w:t>
      </w:r>
      <w:r w:rsidRPr="00D72418">
        <w:rPr>
          <w:rFonts w:cs="Arial"/>
          <w:szCs w:val="22"/>
        </w:rPr>
        <w:t>, accrescendo l'instabilità delle normative di riferimento. Così, ad esempio, l'articolo 8, comma 9, incide sull'articolo 357 del Regolamento di attuazione ed esecuzione del codice dei contratti pubblici, il quale risulta già modificato, in maniera testuale o non testuale, da altri sei decreti-legge, succedutisi negli ultimi tre anni e mezzo: 13 maggio 2011, n.</w:t>
      </w:r>
      <w:r>
        <w:rPr>
          <w:rFonts w:cs="Arial"/>
          <w:szCs w:val="22"/>
        </w:rPr>
        <w:t xml:space="preserve"> </w:t>
      </w:r>
      <w:r w:rsidRPr="00D72418">
        <w:rPr>
          <w:rFonts w:cs="Arial"/>
          <w:szCs w:val="22"/>
        </w:rPr>
        <w:t>70; 6 giugno 2012, n.</w:t>
      </w:r>
      <w:r>
        <w:rPr>
          <w:rFonts w:cs="Arial"/>
          <w:szCs w:val="22"/>
        </w:rPr>
        <w:t xml:space="preserve"> </w:t>
      </w:r>
      <w:r w:rsidRPr="00D72418">
        <w:rPr>
          <w:rFonts w:cs="Arial"/>
          <w:szCs w:val="22"/>
        </w:rPr>
        <w:t>73; 18 ottobre 2012, n.</w:t>
      </w:r>
      <w:r>
        <w:rPr>
          <w:rFonts w:cs="Arial"/>
          <w:szCs w:val="22"/>
        </w:rPr>
        <w:t xml:space="preserve"> </w:t>
      </w:r>
      <w:r w:rsidRPr="00D72418">
        <w:rPr>
          <w:rFonts w:cs="Arial"/>
          <w:szCs w:val="22"/>
        </w:rPr>
        <w:t>179; 21 giugno 2013, n.</w:t>
      </w:r>
      <w:r>
        <w:rPr>
          <w:rFonts w:cs="Arial"/>
          <w:szCs w:val="22"/>
        </w:rPr>
        <w:t xml:space="preserve"> </w:t>
      </w:r>
      <w:r w:rsidRPr="00D72418">
        <w:rPr>
          <w:rFonts w:cs="Arial"/>
          <w:szCs w:val="22"/>
        </w:rPr>
        <w:t>69; 30 dicembre 2013, n.</w:t>
      </w:r>
      <w:r>
        <w:rPr>
          <w:rFonts w:cs="Arial"/>
          <w:szCs w:val="22"/>
        </w:rPr>
        <w:t xml:space="preserve"> </w:t>
      </w:r>
      <w:r w:rsidRPr="00D72418">
        <w:rPr>
          <w:rFonts w:cs="Arial"/>
          <w:szCs w:val="22"/>
        </w:rPr>
        <w:t>150; 28 marzo 2014, n.</w:t>
      </w:r>
      <w:r>
        <w:rPr>
          <w:rFonts w:cs="Arial"/>
          <w:szCs w:val="22"/>
        </w:rPr>
        <w:t xml:space="preserve"> </w:t>
      </w:r>
      <w:r w:rsidRPr="00D72418">
        <w:rPr>
          <w:rFonts w:cs="Arial"/>
          <w:szCs w:val="22"/>
        </w:rPr>
        <w:t>47</w:t>
      </w:r>
      <w:r w:rsidRPr="00B91F58">
        <w:rPr>
          <w:rFonts w:cs="Arial"/>
          <w:szCs w:val="22"/>
        </w:rPr>
        <w:t>»</w:t>
      </w:r>
      <w:r>
        <w:rPr>
          <w:rFonts w:cs="Arial"/>
          <w:szCs w:val="22"/>
        </w:rPr>
        <w:t>;</w:t>
      </w:r>
      <w:r w:rsidRPr="00B91F58">
        <w:rPr>
          <w:rFonts w:cs="Arial"/>
          <w:szCs w:val="22"/>
        </w:rPr>
        <w:t xml:space="preserve"> </w:t>
      </w:r>
    </w:p>
    <w:p w:rsidR="000B33A8" w:rsidRPr="00B91F58" w:rsidRDefault="000B33A8" w:rsidP="000B33A8">
      <w:pPr>
        <w:rPr>
          <w:rFonts w:cs="Arial"/>
          <w:szCs w:val="22"/>
        </w:rPr>
      </w:pPr>
    </w:p>
    <w:p w:rsidR="000B33A8" w:rsidRPr="00B91F58" w:rsidRDefault="000B33A8" w:rsidP="000B33A8">
      <w:pPr>
        <w:rPr>
          <w:rFonts w:cs="Arial"/>
          <w:szCs w:val="22"/>
        </w:rPr>
      </w:pPr>
      <w:bookmarkStart w:id="169" w:name="S01a07"/>
      <w:r w:rsidRPr="00B91F58">
        <w:rPr>
          <w:rFonts w:cs="Arial"/>
          <w:szCs w:val="22"/>
        </w:rPr>
        <w:t>7 –</w:t>
      </w:r>
      <w:bookmarkEnd w:id="169"/>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A4B1D">
        <w:rPr>
          <w:rFonts w:cs="Arial"/>
          <w:szCs w:val="22"/>
        </w:rPr>
        <w:t xml:space="preserve">il decreto interviene a volte, con </w:t>
      </w:r>
      <w:r w:rsidRPr="007A4B1D">
        <w:rPr>
          <w:rFonts w:cs="Arial"/>
          <w:b/>
          <w:szCs w:val="22"/>
        </w:rPr>
        <w:t>efficacia retroattiva</w:t>
      </w:r>
      <w:r w:rsidRPr="007A4B1D">
        <w:rPr>
          <w:rFonts w:cs="Arial"/>
          <w:szCs w:val="22"/>
        </w:rPr>
        <w:t>, a differire termini già scaduti; ciò si riscontra, ad esempio, all'articolo 6, comma 4 (che differisce, con efficacia retroattiva, termini già scaduti in materia di riqualificazione e messa in sicurezza degli edifici scolastici) e all'articolo 10, comma 8, che differisce dal 31 dicembre 2013 al 31 dicembre 2014 la sospensione di taluni adempimenti fiscali per soggetti operanti nel territorio dell'isola di Lampedusa, a seguito della dichiarazione dello stato di emergenza in relazione all'eccezionale afflusso di cittadini appartenenti ai Paesi del Nord Africa</w:t>
      </w:r>
      <w:r w:rsidRPr="00B91F58">
        <w:rPr>
          <w:rFonts w:cs="Arial"/>
          <w:szCs w:val="22"/>
        </w:rPr>
        <w:t>»</w:t>
      </w:r>
      <w:r>
        <w:rPr>
          <w:rFonts w:cs="Arial"/>
          <w:szCs w:val="22"/>
        </w:rPr>
        <w:t xml:space="preserve">; </w:t>
      </w: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170" w:name="S01a08"/>
      <w:r>
        <w:rPr>
          <w:rFonts w:cs="Arial"/>
          <w:szCs w:val="22"/>
        </w:rPr>
        <w:t>8 -</w:t>
      </w:r>
      <w:bookmarkEnd w:id="170"/>
      <w:r>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Pr>
          <w:rStyle w:val="Collegamentoipertestuale"/>
          <w:rFonts w:cs="Arial"/>
          <w:szCs w:val="22"/>
        </w:rPr>
        <w:t xml:space="preserve"> </w:t>
      </w:r>
      <w:r w:rsidRPr="00B91F58">
        <w:rPr>
          <w:rFonts w:cs="Arial"/>
          <w:szCs w:val="22"/>
        </w:rPr>
        <w:t>«</w:t>
      </w:r>
      <w:r w:rsidRPr="00785568">
        <w:rPr>
          <w:rFonts w:cs="Arial"/>
          <w:szCs w:val="22"/>
        </w:rPr>
        <w:t xml:space="preserve">il decreto </w:t>
      </w:r>
      <w:r w:rsidRPr="00785568">
        <w:rPr>
          <w:rFonts w:cs="Arial"/>
          <w:b/>
          <w:szCs w:val="22"/>
        </w:rPr>
        <w:t>proroga disposizioni di carattere temporaneo</w:t>
      </w:r>
      <w:r w:rsidRPr="00785568">
        <w:rPr>
          <w:rFonts w:cs="Arial"/>
          <w:szCs w:val="22"/>
        </w:rPr>
        <w:t>, di alcune delle quali andrebbe valutata la trasformazione a regime in quanto, a seguito di successive proroghe, si applicano ininterrottamente anche da numerosi anni. Ad esempio: l'articolo 3, comma 3, proroga al 31 dicembre 2015 il termine, originariamente previsto al 31 dicembre 2010, per l'applicazione della disciplina transitoria in materia di incroci proprietari tra tv e giornali di cui all'articolo 43 del decreto legislativo n.</w:t>
      </w:r>
      <w:r>
        <w:rPr>
          <w:rFonts w:cs="Arial"/>
          <w:szCs w:val="22"/>
        </w:rPr>
        <w:t xml:space="preserve"> </w:t>
      </w:r>
      <w:r w:rsidRPr="00785568">
        <w:rPr>
          <w:rFonts w:cs="Arial"/>
          <w:szCs w:val="22"/>
        </w:rPr>
        <w:t>177 del 2005; l'articolo 4, comma 1, proroga per l'anno 2015, peraltro in maniera non testuale, l'applicazione delle disposizioni</w:t>
      </w:r>
      <w:r>
        <w:rPr>
          <w:rFonts w:cs="Arial"/>
          <w:szCs w:val="22"/>
        </w:rPr>
        <w:t xml:space="preserve"> </w:t>
      </w:r>
      <w:r w:rsidRPr="00785568">
        <w:rPr>
          <w:rFonts w:cs="Arial"/>
          <w:szCs w:val="22"/>
        </w:rPr>
        <w:t>di cui all'articolo 1, comma 1-</w:t>
      </w:r>
      <w:r w:rsidRPr="00785568">
        <w:rPr>
          <w:rFonts w:cs="Arial"/>
          <w:i/>
          <w:iCs/>
          <w:szCs w:val="22"/>
        </w:rPr>
        <w:t xml:space="preserve">bis </w:t>
      </w:r>
      <w:r w:rsidRPr="00785568">
        <w:rPr>
          <w:rFonts w:cs="Arial"/>
          <w:szCs w:val="22"/>
        </w:rPr>
        <w:t>del decreto-legge 30 dicembre 2004, n.</w:t>
      </w:r>
      <w:r>
        <w:rPr>
          <w:rFonts w:cs="Arial"/>
          <w:szCs w:val="22"/>
        </w:rPr>
        <w:t xml:space="preserve"> </w:t>
      </w:r>
      <w:r w:rsidRPr="00785568">
        <w:rPr>
          <w:rFonts w:cs="Arial"/>
          <w:szCs w:val="22"/>
        </w:rPr>
        <w:t>314, relative all'approvazione del bilancio di previsione degli enti locali ed alla verifica della salvaguardia degli equilibri di bilancio, che si applicano dal 2005; l'articolo 4, comma 3, relativo al mantenimento delle contabilità speciali delle province di Monza-Brianza, Fermo e Barletta-Andria-Trani, proroga una disciplina a carattere transitorio che avrebbe dovuto cessare il 30 giugno 2008 (articolo 2, comma 2, delle leggi nn.</w:t>
      </w:r>
      <w:r>
        <w:rPr>
          <w:rFonts w:cs="Arial"/>
          <w:szCs w:val="22"/>
        </w:rPr>
        <w:t xml:space="preserve"> </w:t>
      </w:r>
      <w:r w:rsidRPr="00785568">
        <w:rPr>
          <w:rFonts w:cs="Arial"/>
          <w:szCs w:val="22"/>
        </w:rPr>
        <w:t>146, 147 e 148 del 2004, relative all'istituzione delle tre province); l'articolo 7, comma 4, proroga per il 2015 la validità delle tariffe massime di riferimento per la remunerazione delle prestazioni di assistenza ospedaliera per acuti, di assistenza ospedaliera di riabilitazione e di lungodegenza post acuzie e di assistenza specialistica ambulatoriale, come determinate dal decreto ministeriale in data 18 ottobre 2012, che a, norma dell'articolo 15, comma 16, del decreto-legge n.</w:t>
      </w:r>
      <w:r>
        <w:rPr>
          <w:rFonts w:cs="Arial"/>
          <w:szCs w:val="22"/>
        </w:rPr>
        <w:t xml:space="preserve"> </w:t>
      </w:r>
      <w:r w:rsidRPr="00785568">
        <w:rPr>
          <w:rFonts w:cs="Arial"/>
          <w:szCs w:val="22"/>
        </w:rPr>
        <w:t>95 del 2012 avrebbero dovuto avere validità fino al 31 dicembre 2014; l'articolo 10, comma 5, proroga il regime transitorio relativo alle indennità corrisposte dalle pubbliche amministrazioni ai componenti di organi collegiali ed ai titolari di incarichi di cui all'articolo 6, comma 3, del decreto-legge n.</w:t>
      </w:r>
      <w:r>
        <w:rPr>
          <w:rFonts w:cs="Arial"/>
          <w:szCs w:val="22"/>
        </w:rPr>
        <w:t xml:space="preserve"> </w:t>
      </w:r>
      <w:r w:rsidRPr="00785568">
        <w:rPr>
          <w:rFonts w:cs="Arial"/>
          <w:szCs w:val="22"/>
        </w:rPr>
        <w:t>78 del 2010; l'articolo 10, comma 6, proroga il regime transitorio relativo al contenimento della spesa per l'acquisto di mobili e arredi da parte delle amministrazioni pubbliche, previsto, per gli anni 2013 e 2014, dall'articolo 1, comma 141, della legge 24 dicembre 2012, n.</w:t>
      </w:r>
      <w:r>
        <w:rPr>
          <w:rFonts w:cs="Arial"/>
          <w:szCs w:val="22"/>
        </w:rPr>
        <w:t xml:space="preserve"> </w:t>
      </w:r>
      <w:r w:rsidRPr="00785568">
        <w:rPr>
          <w:rFonts w:cs="Arial"/>
          <w:szCs w:val="22"/>
        </w:rPr>
        <w:t>228; l'articolo 12, comma 1, posticipa all'anno 2016 la decorrenza iniziale della disciplina in materia di determinazione forfetaria del reddito imponibile derivante dalla produzione e cessione di energia elettrica da fonti rinnovabili agroforestali e fotovoltaiche, nonché di carburanti prodotti da coltivazioni vegetali provenienti prevalentemente dal fondo, effettuate da aziende agricole, di cui all'articolo 22, comma 1 del decreto-legge n.</w:t>
      </w:r>
      <w:r>
        <w:rPr>
          <w:rFonts w:cs="Arial"/>
          <w:szCs w:val="22"/>
        </w:rPr>
        <w:t xml:space="preserve"> </w:t>
      </w:r>
      <w:r w:rsidRPr="00785568">
        <w:rPr>
          <w:rFonts w:cs="Arial"/>
          <w:szCs w:val="22"/>
        </w:rPr>
        <w:t xml:space="preserve">66/2014 (lettera </w:t>
      </w:r>
      <w:r w:rsidRPr="00785568">
        <w:rPr>
          <w:rFonts w:cs="Arial"/>
          <w:i/>
          <w:iCs/>
          <w:szCs w:val="22"/>
        </w:rPr>
        <w:t>a)</w:t>
      </w:r>
      <w:r w:rsidRPr="00785568">
        <w:rPr>
          <w:rFonts w:cs="Arial"/>
          <w:szCs w:val="22"/>
        </w:rPr>
        <w:t>): conseguentemente, anche per il 2015 continua ad applicarsi una disciplina transitoria, contenuta nel comma 1-</w:t>
      </w:r>
      <w:r w:rsidRPr="00785568">
        <w:rPr>
          <w:rFonts w:cs="Arial"/>
          <w:i/>
          <w:iCs/>
          <w:szCs w:val="22"/>
        </w:rPr>
        <w:t>bis</w:t>
      </w:r>
      <w:r w:rsidRPr="00785568">
        <w:rPr>
          <w:rFonts w:cs="Arial"/>
          <w:szCs w:val="22"/>
        </w:rPr>
        <w:t xml:space="preserve"> del citato articolo 22, che, in sostanza, differenzia il regime di tassazione in base a dati livelli di produzione (lettera </w:t>
      </w:r>
      <w:r w:rsidRPr="00785568">
        <w:rPr>
          <w:rFonts w:cs="Arial"/>
          <w:i/>
          <w:iCs/>
          <w:szCs w:val="22"/>
        </w:rPr>
        <w:t>b)</w:t>
      </w:r>
      <w:r w:rsidRPr="00785568">
        <w:rPr>
          <w:rFonts w:cs="Arial"/>
          <w:szCs w:val="22"/>
        </w:rPr>
        <w:t>)</w:t>
      </w:r>
      <w:r w:rsidRPr="00B91F58">
        <w:rPr>
          <w:rFonts w:cs="Arial"/>
          <w:szCs w:val="22"/>
        </w:rPr>
        <w:t>»</w:t>
      </w:r>
      <w:r>
        <w:rPr>
          <w:rFonts w:cs="Arial"/>
          <w:szCs w:val="22"/>
        </w:rPr>
        <w:t xml:space="preserve"> </w:t>
      </w:r>
      <w:r w:rsidRPr="00B91F58">
        <w:rPr>
          <w:rFonts w:cs="Arial"/>
          <w:szCs w:val="22"/>
        </w:rPr>
        <w:t>(</w:t>
      </w:r>
      <w:hyperlink w:anchor="S01o03" w:history="1">
        <w:r>
          <w:rPr>
            <w:rStyle w:val="Collegamentoipertestuale"/>
            <w:rFonts w:cs="Arial"/>
            <w:b/>
            <w:szCs w:val="22"/>
          </w:rPr>
          <w:t>conseguente osservazione</w:t>
        </w:r>
      </w:hyperlink>
      <w:r w:rsidRPr="00B91F58">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171" w:name="S01a09"/>
      <w:r>
        <w:rPr>
          <w:rFonts w:cs="Arial"/>
          <w:szCs w:val="22"/>
        </w:rPr>
        <w:lastRenderedPageBreak/>
        <w:t xml:space="preserve">9 </w:t>
      </w:r>
      <w:r w:rsidRPr="00B91F58">
        <w:rPr>
          <w:rFonts w:cs="Arial"/>
          <w:szCs w:val="22"/>
        </w:rPr>
        <w:t>–</w:t>
      </w:r>
      <w:bookmarkEnd w:id="171"/>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85568">
        <w:rPr>
          <w:rFonts w:cs="Arial"/>
          <w:szCs w:val="22"/>
        </w:rPr>
        <w:t xml:space="preserve">il decreto-legge </w:t>
      </w:r>
      <w:r w:rsidRPr="00785568">
        <w:rPr>
          <w:rFonts w:cs="Arial"/>
          <w:b/>
          <w:szCs w:val="22"/>
        </w:rPr>
        <w:t xml:space="preserve">proroga </w:t>
      </w:r>
      <w:r w:rsidRPr="00785568">
        <w:rPr>
          <w:rFonts w:cs="Arial"/>
          <w:szCs w:val="22"/>
        </w:rPr>
        <w:t>inoltre</w:t>
      </w:r>
      <w:r w:rsidRPr="00785568">
        <w:rPr>
          <w:rFonts w:cs="Arial"/>
          <w:b/>
          <w:szCs w:val="22"/>
        </w:rPr>
        <w:t xml:space="preserve"> in più punti il termine iniziale di entrata in vigore di discipline a regime alcune delle quali avrebbero dovuto trovare applicazione già da alcuni anni</w:t>
      </w:r>
      <w:r w:rsidRPr="00785568">
        <w:rPr>
          <w:rFonts w:cs="Arial"/>
          <w:szCs w:val="22"/>
        </w:rPr>
        <w:t>. In particolare: l'articolo 3, al comma 1, proroga il termine a decorrere dal quale le imprese produttrici sono tenute a vendere ai distributori al dettaglio apparecchi televisivi dotati del nuovo standard di trasmissione televisiva digitale terrestre e il termine a decorrere dal quale i distributori al dettaglio devono vendere apparecchi televisivi con la nuova tecnologia; il medesimo articolo, al comma 2, proroga diversi termini relativi alle procedure per l'accesso al credito d'imposta per la realizzazione degli investimenti per la banda ultralarga; l'articolo 4, comma 2, proroga ulteriormente il termine di adeguamento alla normativa di prevenzione degli incendi per le strutture ricettive turistico-alberghiere con oltre 25 posti letto; l'articolo 7, comma 2, reca numerose proroghe incidenti sul procedimento di riorganizzazione della Croce Rossa; l'articolo 8, comma 8, proroga di sei mesi il termine a decorrere dal quale trova applicazione la disciplina sulla qualificazione del contraente generale delle grandi opere, relativamente alla dimostrazione del possesso dei requisiti di adeguata idoneità tecnica ed organizzativa; l'articolo 9, al comma 1, proroga, in maniera non testuale, la decorrenza della disciplina dei rifiuti non ammessi in discarica – disciplina che avrebbe dovuto trovare applicazione dal 1</w:t>
      </w:r>
      <w:r w:rsidRPr="00785568">
        <w:rPr>
          <w:rFonts w:cs="Arial"/>
          <w:szCs w:val="22"/>
          <w:vertAlign w:val="superscript"/>
        </w:rPr>
        <w:t>o</w:t>
      </w:r>
      <w:r w:rsidRPr="00785568">
        <w:rPr>
          <w:rFonts w:cs="Arial"/>
          <w:szCs w:val="22"/>
        </w:rPr>
        <w:t xml:space="preserve"> gennaio 2007 – e, al comma 3, rinvia l'applicazione della disciplina relativa al SISTRI; l'articolo 10, comma 4, proroga ulteriormente, peraltro in maniera non testuale, il termine entro il quale le SGR e gli OICR devono adeguarsi alla disciplina recata dal decreto legislativo 4 marzo 2014, n.</w:t>
      </w:r>
      <w:r>
        <w:rPr>
          <w:rFonts w:cs="Arial"/>
          <w:szCs w:val="22"/>
        </w:rPr>
        <w:t xml:space="preserve"> </w:t>
      </w:r>
      <w:r w:rsidRPr="00785568">
        <w:rPr>
          <w:rFonts w:cs="Arial"/>
          <w:szCs w:val="22"/>
        </w:rPr>
        <w:t>44</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172" w:name="S01a10"/>
      <w:r>
        <w:rPr>
          <w:rFonts w:cs="Arial"/>
          <w:szCs w:val="22"/>
        </w:rPr>
        <w:t xml:space="preserve">10 </w:t>
      </w:r>
      <w:r w:rsidRPr="00B91F58">
        <w:rPr>
          <w:rFonts w:cs="Arial"/>
          <w:szCs w:val="22"/>
        </w:rPr>
        <w:t xml:space="preserve">– </w:t>
      </w:r>
      <w:bookmarkEnd w:id="172"/>
      <w:r>
        <w:fldChar w:fldCharType="begin"/>
      </w:r>
      <w:r>
        <w:instrText>HYPERLINK  \l "premessa01"</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785568">
        <w:rPr>
          <w:rFonts w:cs="Arial"/>
          <w:szCs w:val="22"/>
        </w:rPr>
        <w:t>altre disposizioni intervengono poi a prorogare il termine per l'adozione di provvedimenti attuativi o applicativi di norme preesistenti che, conseguentemente, pur vigendo da tempo, non hanno mai trovato attuazione. In proposito: l'articolo 7, comma 3, proroga il termine, inizialmente fissato al 1</w:t>
      </w:r>
      <w:r w:rsidRPr="00785568">
        <w:rPr>
          <w:rFonts w:cs="Arial"/>
          <w:szCs w:val="22"/>
          <w:vertAlign w:val="superscript"/>
        </w:rPr>
        <w:t>o</w:t>
      </w:r>
      <w:r w:rsidRPr="00785568">
        <w:rPr>
          <w:rFonts w:cs="Arial"/>
          <w:szCs w:val="22"/>
        </w:rPr>
        <w:t xml:space="preserve"> gennaio 2013, entro il quale il sistema di remunerazione della filiera distributiva del farmaco dovrà essere sostituito da un nuovo metodo, definito con decreto del Ministro della salute; l'articolo 8, al comma 1, differisce il termine per l'emanazione del decreto del Ministro delle infrastrutture e dei trasporti con il quale avrebbero dovuto essere adottate – entro il 26 maggio 2010 – «urgenti disposizioni attuative, tese ad impedire pratiche di esercizio abusivo del servizio di taxi e del servizio di noleggio con conducente o, comunque, non rispondenti ai principi ordinamentali che regolano la materia»; il medesimo articolo, al comma 4, proroga il termine per l'emanazione del decreto ministeriale relativo alla determinazione delle modalità e dei criteri con i quali vanno corrisposte le somme per le richieste di accesso alle strade gestite dall'ANAS e, al comma 7, amplia il termine entro il quale sono approvati, con decreto ministeriale i contratti di programma sottoscritti dall'ENAC con i gestori degli scali aeroportuali di interesse </w:t>
      </w:r>
      <w:r w:rsidRPr="00785568">
        <w:rPr>
          <w:rFonts w:cs="Arial"/>
          <w:szCs w:val="22"/>
        </w:rPr>
        <w:lastRenderedPageBreak/>
        <w:t>nazionale; l'articolo 10, comma 2, proroga a tutto il 2015 l'applicazione del regime della tassazione della produzione combinata di energia elettrica e calore definito con deliberazione n.</w:t>
      </w:r>
      <w:r>
        <w:rPr>
          <w:rFonts w:cs="Arial"/>
          <w:szCs w:val="22"/>
        </w:rPr>
        <w:t xml:space="preserve"> </w:t>
      </w:r>
      <w:r w:rsidRPr="00785568">
        <w:rPr>
          <w:rFonts w:cs="Arial"/>
          <w:szCs w:val="22"/>
        </w:rPr>
        <w:t>16/98 dell'Autorità per l'energia elettrica e il gas, nelle more dell'adozione di un decreto ministeriale</w:t>
      </w:r>
      <w:r>
        <w:rPr>
          <w:rFonts w:cs="Arial"/>
          <w:szCs w:val="22"/>
        </w:rPr>
        <w:t xml:space="preserve"> </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173" w:name="S01a11"/>
      <w:r>
        <w:rPr>
          <w:rFonts w:cs="Arial"/>
          <w:szCs w:val="22"/>
        </w:rPr>
        <w:t xml:space="preserve">11 </w:t>
      </w:r>
      <w:r w:rsidRPr="00B91F58">
        <w:rPr>
          <w:rFonts w:cs="Arial"/>
          <w:szCs w:val="22"/>
        </w:rPr>
        <w:t>–</w:t>
      </w:r>
      <w:bookmarkEnd w:id="173"/>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85568">
        <w:rPr>
          <w:rFonts w:cs="Arial"/>
          <w:szCs w:val="22"/>
        </w:rPr>
        <w:t xml:space="preserve">alcune disposizioni intervengono inoltre a </w:t>
      </w:r>
      <w:r w:rsidRPr="00785568">
        <w:rPr>
          <w:rFonts w:cs="Arial"/>
          <w:b/>
          <w:szCs w:val="22"/>
        </w:rPr>
        <w:t>prorogare disposizioni aventi carattere derogatorio</w:t>
      </w:r>
      <w:r w:rsidRPr="00785568">
        <w:rPr>
          <w:rFonts w:cs="Arial"/>
          <w:szCs w:val="22"/>
        </w:rPr>
        <w:t>. A titolo esemplificativo, l'articolo 1, ai commi 9 e 10, proroga per l'anno 2015 alcuni regimi derogatori in materia di assunzioni e contratti nel pubblico impiego; l'articolo 4, comma 4, proroga al 30 giugno 2015 il termine (originariamente fissato al 31 dicembre 2012) entro il quale è ammesso l'impiego di guardie giurate a bordo delle navi mercantili battenti bandiera italiana che transitino in acque internazionali, a difesa delle stesse da atti di pirateria, ancorché non abbiano frequentato i corsi previsti dal decreto del Ministro dell'interno n.</w:t>
      </w:r>
      <w:r>
        <w:rPr>
          <w:rFonts w:cs="Arial"/>
          <w:szCs w:val="22"/>
        </w:rPr>
        <w:t xml:space="preserve"> </w:t>
      </w:r>
      <w:r w:rsidRPr="00785568">
        <w:rPr>
          <w:rFonts w:cs="Arial"/>
          <w:szCs w:val="22"/>
        </w:rPr>
        <w:t>154 del 2009; l'articolo 8, comma 3, proroga fino al 31 dicembre 2015 la disciplina che prevede la corresponsione all'appaltatore di lavori di un'anticipazione pari al 10 per cento dell'importo contrattuale, in deroga ai divieti vigenti di anticipazione del prezzo; l'articolo 10, al comma 3, proroga per il 2015, in maniera non testuale, la disciplina derogatoria concernente il regime di opponibilità della cessione del credito, quale garanzia da fornire alla Banca d'Italia per finanziamenti alle banche: lo stesso articolo, al comma 7, proroga il blocco, originariamente previsto per il triennio 2012-2014, dell'adeguamento automatico dei canoni di locazione per gli immobili condotti da amministrazioni pubbliche e utilizzati a fini istituzionali, e, ai commi 10 e 11, proroga la possibilità di variazioni e rimodulazioni che derogano alle disposizioni in materia di contabilità pubblica di cui alla legge n.</w:t>
      </w:r>
      <w:r>
        <w:rPr>
          <w:rFonts w:cs="Arial"/>
          <w:szCs w:val="22"/>
        </w:rPr>
        <w:t xml:space="preserve"> </w:t>
      </w:r>
      <w:r w:rsidRPr="00785568">
        <w:rPr>
          <w:rFonts w:cs="Arial"/>
          <w:szCs w:val="22"/>
        </w:rPr>
        <w:t>196 del 2009</w:t>
      </w:r>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174" w:name="S01a11bis"/>
      <w:r>
        <w:rPr>
          <w:rFonts w:cs="Arial"/>
          <w:szCs w:val="22"/>
        </w:rPr>
        <w:t>11-</w:t>
      </w:r>
      <w:r>
        <w:rPr>
          <w:rFonts w:cs="Arial"/>
          <w:i/>
          <w:szCs w:val="22"/>
        </w:rPr>
        <w:t>bis</w:t>
      </w:r>
      <w:r>
        <w:rPr>
          <w:rFonts w:cs="Arial"/>
          <w:szCs w:val="22"/>
        </w:rPr>
        <w:t xml:space="preserve"> </w:t>
      </w:r>
      <w:bookmarkEnd w:id="174"/>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85568">
        <w:rPr>
          <w:rFonts w:cs="Arial"/>
          <w:szCs w:val="22"/>
        </w:rPr>
        <w:t>l'articolo 13 differisce ulteriormente, peraltro in modo non testuale, dal 1</w:t>
      </w:r>
      <w:r w:rsidRPr="00785568">
        <w:rPr>
          <w:rFonts w:cs="Arial"/>
          <w:szCs w:val="22"/>
          <w:vertAlign w:val="superscript"/>
        </w:rPr>
        <w:t>o</w:t>
      </w:r>
      <w:r w:rsidRPr="00785568">
        <w:rPr>
          <w:rFonts w:cs="Arial"/>
          <w:szCs w:val="22"/>
        </w:rPr>
        <w:t xml:space="preserve"> gennaio 2015 al 1</w:t>
      </w:r>
      <w:r w:rsidRPr="00785568">
        <w:rPr>
          <w:rFonts w:cs="Arial"/>
          <w:szCs w:val="22"/>
          <w:vertAlign w:val="superscript"/>
        </w:rPr>
        <w:t>o</w:t>
      </w:r>
      <w:r w:rsidRPr="00785568">
        <w:rPr>
          <w:rFonts w:cs="Arial"/>
          <w:szCs w:val="22"/>
        </w:rPr>
        <w:t xml:space="preserve"> gennaio 2016, l'applicazione alle federazioni sportive nazionali riconosciute dal CONI delle norme in materia di contenimento della spesa a carico d</w:t>
      </w:r>
      <w:r>
        <w:rPr>
          <w:rFonts w:cs="Arial"/>
          <w:szCs w:val="22"/>
        </w:rPr>
        <w:t>elle amministrazioni pubbliche</w:t>
      </w:r>
      <w:r w:rsidRPr="00B91F58">
        <w:rPr>
          <w:rFonts w:cs="Arial"/>
          <w:szCs w:val="22"/>
        </w:rPr>
        <w:t>»</w:t>
      </w:r>
      <w:r>
        <w:rPr>
          <w:rFonts w:cs="Arial"/>
          <w:szCs w:val="22"/>
        </w:rPr>
        <w:t xml:space="preserve"> </w:t>
      </w:r>
      <w:r w:rsidRPr="00B91F58">
        <w:rPr>
          <w:rFonts w:cs="Arial"/>
          <w:szCs w:val="22"/>
        </w:rPr>
        <w:t>(</w:t>
      </w:r>
      <w:hyperlink w:anchor="S01c04" w:history="1">
        <w:r w:rsidRPr="00B91F58">
          <w:rPr>
            <w:rStyle w:val="Collegamentoipertestuale"/>
            <w:rFonts w:cs="Arial"/>
            <w:b/>
            <w:szCs w:val="22"/>
          </w:rPr>
          <w:t>conseguente condizione</w:t>
        </w:r>
      </w:hyperlink>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175" w:name="S01a12"/>
      <w:r>
        <w:rPr>
          <w:rFonts w:cs="Arial"/>
          <w:szCs w:val="22"/>
        </w:rPr>
        <w:t xml:space="preserve">12 </w:t>
      </w:r>
      <w:bookmarkEnd w:id="175"/>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1B2A36">
        <w:rPr>
          <w:rFonts w:cs="Arial"/>
          <w:szCs w:val="22"/>
        </w:rPr>
        <w:t>il decreto-legge, all'articolo 6, comma 5 (che proroga in maniera non testuale un termine in materia di interventi di edilizia scolastica originariamente fissato nella delibera CIPE n.</w:t>
      </w:r>
      <w:r>
        <w:rPr>
          <w:rFonts w:cs="Arial"/>
          <w:szCs w:val="22"/>
        </w:rPr>
        <w:t xml:space="preserve"> </w:t>
      </w:r>
      <w:r w:rsidRPr="001B2A36">
        <w:rPr>
          <w:rFonts w:cs="Arial"/>
          <w:szCs w:val="22"/>
        </w:rPr>
        <w:t xml:space="preserve">22 del 30 giugno 2014), e all'articolo 8, comma 9 (che proroga una disposizione in materia di attestazioni SOA per i contratti pubblici recata dall'articolo 357 del regolamento di esecuzione ed attuazione del Codice dei contratti pubblici), incide – peraltro in via non testuale – su discipline oggetto di fonte normativa di rango subordinato; tale </w:t>
      </w:r>
      <w:r w:rsidRPr="001B2A36">
        <w:rPr>
          <w:rFonts w:cs="Arial"/>
          <w:szCs w:val="22"/>
        </w:rPr>
        <w:lastRenderedPageBreak/>
        <w:t>circostanza non appare coerente con le esigenze di semplificazione dell'ordinamento vigente: si integra infatti una modalità di produzione legislativa che, secondo i costanti indirizzi del Comitato,</w:t>
      </w:r>
      <w:r>
        <w:rPr>
          <w:rFonts w:cs="Arial"/>
          <w:szCs w:val="22"/>
        </w:rPr>
        <w:t xml:space="preserve"> </w:t>
      </w:r>
      <w:r w:rsidRPr="001B2A36">
        <w:rPr>
          <w:rFonts w:cs="Arial"/>
          <w:szCs w:val="22"/>
        </w:rPr>
        <w:t xml:space="preserve">non appare funzionale alle esigenze di coerente utilizzo delle fonti, in quanto può derivarne l'effetto secondo cui atti non aventi forza di legge presentano «un diverso grado di «resistenza» ad interventi modificativi successivi» [si veda il punto 3, lettera </w:t>
      </w:r>
      <w:r w:rsidRPr="001B2A36">
        <w:rPr>
          <w:rFonts w:cs="Arial"/>
          <w:i/>
          <w:iCs/>
          <w:szCs w:val="22"/>
        </w:rPr>
        <w:t>e</w:t>
      </w:r>
      <w:r w:rsidRPr="001B2A36">
        <w:rPr>
          <w:rFonts w:cs="Arial"/>
          <w:szCs w:val="22"/>
        </w:rPr>
        <w:t>), della circolare congiunta dei Presidenti di Camera e Senato del 20 aprile 2001]</w:t>
      </w:r>
      <w:r w:rsidRPr="00B91F58">
        <w:rPr>
          <w:rFonts w:cs="Arial"/>
          <w:szCs w:val="22"/>
        </w:rPr>
        <w:t>»</w:t>
      </w:r>
      <w:r>
        <w:rPr>
          <w:rFonts w:cs="Arial"/>
          <w:szCs w:val="22"/>
        </w:rPr>
        <w:t xml:space="preserve"> </w:t>
      </w:r>
      <w:r w:rsidRPr="00B91F58">
        <w:rPr>
          <w:rFonts w:cs="Arial"/>
          <w:szCs w:val="22"/>
        </w:rPr>
        <w:t>(</w:t>
      </w:r>
      <w:hyperlink w:anchor="S01c02" w:history="1">
        <w:r w:rsidRPr="00B91F58">
          <w:rPr>
            <w:rStyle w:val="Collegamentoipertestuale"/>
            <w:rFonts w:cs="Arial"/>
            <w:b/>
            <w:szCs w:val="22"/>
          </w:rPr>
          <w:t>conseguente condizione</w:t>
        </w:r>
      </w:hyperlink>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176" w:name="S01a13"/>
      <w:r>
        <w:rPr>
          <w:rFonts w:cs="Arial"/>
          <w:szCs w:val="22"/>
        </w:rPr>
        <w:t xml:space="preserve">13 </w:t>
      </w:r>
      <w:bookmarkEnd w:id="176"/>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275658">
        <w:rPr>
          <w:rFonts w:cs="Arial"/>
          <w:szCs w:val="22"/>
        </w:rPr>
        <w:t>l'articolo 10, comma 9, in base alla procedura prevista dall'articolo 17, comma 12, della legge 31 dicembre 2009, n.</w:t>
      </w:r>
      <w:r>
        <w:rPr>
          <w:rFonts w:cs="Arial"/>
          <w:szCs w:val="22"/>
        </w:rPr>
        <w:t xml:space="preserve"> </w:t>
      </w:r>
      <w:r w:rsidRPr="00275658">
        <w:rPr>
          <w:rFonts w:cs="Arial"/>
          <w:szCs w:val="22"/>
        </w:rPr>
        <w:t xml:space="preserve">196, demanda ad un decreto del Ministro dell'economia e delle finanze la potestà di stabilire </w:t>
      </w:r>
      <w:r>
        <w:rPr>
          <w:rFonts w:cs="Arial"/>
          <w:szCs w:val="22"/>
        </w:rPr>
        <w:t>“</w:t>
      </w:r>
      <w:r w:rsidRPr="00275658">
        <w:rPr>
          <w:rFonts w:cs="Arial"/>
          <w:szCs w:val="22"/>
        </w:rPr>
        <w:t>l'aumento della misura degli acconti ai fini dell'IRES e dell'IRAP, dovuti per il periodo d'imposta 2015, e l'aumento, a decorrere dal 1</w:t>
      </w:r>
      <w:r w:rsidRPr="00275658">
        <w:rPr>
          <w:rFonts w:cs="Arial"/>
          <w:szCs w:val="22"/>
          <w:vertAlign w:val="superscript"/>
        </w:rPr>
        <w:t>o</w:t>
      </w:r>
      <w:r w:rsidRPr="00275658">
        <w:rPr>
          <w:rFonts w:cs="Arial"/>
          <w:szCs w:val="22"/>
        </w:rPr>
        <w:t xml:space="preserve"> gennaio 2016, delle accise di cui alla Direttiva del Consiglio 2008/118/CE del 16 dicembre 2008</w:t>
      </w:r>
      <w:r>
        <w:rPr>
          <w:rFonts w:cs="Arial"/>
          <w:szCs w:val="22"/>
        </w:rPr>
        <w:t>”</w:t>
      </w:r>
      <w:r w:rsidRPr="00275658">
        <w:rPr>
          <w:rFonts w:cs="Arial"/>
          <w:szCs w:val="22"/>
        </w:rPr>
        <w:t xml:space="preserve"> in misura tale da assicurare la copertura dei maggiori oneri risultanti dalle attività di monitoraggio della spesa: </w:t>
      </w:r>
      <w:r w:rsidRPr="00275658">
        <w:rPr>
          <w:rFonts w:cs="Arial"/>
          <w:b/>
          <w:szCs w:val="22"/>
        </w:rPr>
        <w:t>si attribuisce così ad una fonte subordinata il compito di modificare disposizioni di rango legislativo</w:t>
      </w:r>
      <w:r w:rsidRPr="00275658">
        <w:rPr>
          <w:rFonts w:cs="Arial"/>
          <w:szCs w:val="22"/>
        </w:rPr>
        <w:t xml:space="preserve"> secondo una procedura difforme rispetto a quella prevista dall'</w:t>
      </w:r>
      <w:r w:rsidRPr="00275658">
        <w:rPr>
          <w:rFonts w:cs="Arial"/>
          <w:b/>
          <w:szCs w:val="22"/>
        </w:rPr>
        <w:t>articolo 17, comma 2, della legge n. 400 del 1988</w:t>
      </w:r>
      <w:r w:rsidRPr="00275658">
        <w:rPr>
          <w:rFonts w:cs="Arial"/>
          <w:szCs w:val="22"/>
        </w:rPr>
        <w:t>, che non offre le medesime garanzie individuate da tale ultima procedura, e della quale, come rilevato in altre circostanze dal Comitato, andrebbe altresì valutata la compatibilità con la riserva di legge prevista dall'articolo 23 della Costituzione, in assenza di qualsiasi indicazione relativa alla parametrazione dei profili quantitativi della prestazione</w:t>
      </w:r>
      <w:r w:rsidRPr="00B91F58">
        <w:rPr>
          <w:rFonts w:cs="Arial"/>
          <w:szCs w:val="22"/>
        </w:rPr>
        <w:t>»</w:t>
      </w:r>
      <w:r>
        <w:rPr>
          <w:rFonts w:cs="Arial"/>
          <w:szCs w:val="22"/>
        </w:rPr>
        <w:t xml:space="preserve"> </w:t>
      </w:r>
      <w:r w:rsidRPr="00B91F58">
        <w:rPr>
          <w:rFonts w:cs="Arial"/>
          <w:szCs w:val="22"/>
        </w:rPr>
        <w:t>(</w:t>
      </w:r>
      <w:hyperlink w:anchor="S01c03" w:history="1">
        <w:r w:rsidRPr="00B91F58">
          <w:rPr>
            <w:rStyle w:val="Collegamentoipertestuale"/>
            <w:rFonts w:cs="Arial"/>
            <w:b/>
            <w:szCs w:val="22"/>
          </w:rPr>
          <w:t>conseguente condizione</w:t>
        </w:r>
      </w:hyperlink>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177" w:name="S01a14"/>
      <w:r>
        <w:rPr>
          <w:rFonts w:cs="Arial"/>
          <w:szCs w:val="22"/>
        </w:rPr>
        <w:t xml:space="preserve">14 </w:t>
      </w:r>
      <w:r w:rsidRPr="00B91F58">
        <w:rPr>
          <w:rFonts w:cs="Arial"/>
          <w:szCs w:val="22"/>
        </w:rPr>
        <w:t>–</w:t>
      </w:r>
      <w:bookmarkEnd w:id="177"/>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C22D2D">
        <w:rPr>
          <w:rFonts w:cs="Arial"/>
          <w:szCs w:val="22"/>
        </w:rPr>
        <w:t xml:space="preserve">la </w:t>
      </w:r>
      <w:r w:rsidRPr="00C22D2D">
        <w:rPr>
          <w:rFonts w:cs="Arial"/>
          <w:b/>
          <w:szCs w:val="22"/>
        </w:rPr>
        <w:t>rubrica</w:t>
      </w:r>
      <w:r w:rsidRPr="00C22D2D">
        <w:rPr>
          <w:rFonts w:cs="Arial"/>
          <w:szCs w:val="22"/>
        </w:rPr>
        <w:t xml:space="preserve"> dell'articolo 5 (</w:t>
      </w:r>
      <w:r>
        <w:rPr>
          <w:rFonts w:cs="Arial"/>
          <w:szCs w:val="22"/>
        </w:rPr>
        <w:t>“</w:t>
      </w:r>
      <w:r w:rsidRPr="00C22D2D">
        <w:rPr>
          <w:rFonts w:cs="Arial"/>
          <w:szCs w:val="22"/>
        </w:rPr>
        <w:t>proroga di termini in materia di beni culturali</w:t>
      </w:r>
      <w:r>
        <w:rPr>
          <w:rFonts w:cs="Arial"/>
          <w:szCs w:val="22"/>
        </w:rPr>
        <w:t>”</w:t>
      </w:r>
      <w:r w:rsidRPr="00C22D2D">
        <w:rPr>
          <w:rFonts w:cs="Arial"/>
          <w:szCs w:val="22"/>
        </w:rPr>
        <w:t>) dà conto solo parzialmente dell'effettivo contenuto dell'unico comma, il quale invece concerne, più in generale, progetti di accoglienza turistica, basati anche, ma non esclusivamente, sulla valorizzazione di beni culturali</w:t>
      </w:r>
      <w:r w:rsidRPr="00B91F58">
        <w:rPr>
          <w:rFonts w:cs="Arial"/>
          <w:szCs w:val="22"/>
        </w:rPr>
        <w:t>»</w:t>
      </w:r>
      <w:r>
        <w:rPr>
          <w:rFonts w:cs="Arial"/>
          <w:szCs w:val="22"/>
        </w:rPr>
        <w:t xml:space="preserve"> </w:t>
      </w:r>
      <w:r w:rsidRPr="00C22D2D">
        <w:rPr>
          <w:rFonts w:cs="Arial"/>
          <w:szCs w:val="22"/>
        </w:rPr>
        <w:t>(</w:t>
      </w:r>
      <w:hyperlink w:anchor="S01o05" w:history="1">
        <w:r w:rsidRPr="00C22D2D">
          <w:rPr>
            <w:rStyle w:val="Collegamentoipertestuale"/>
            <w:rFonts w:cs="Arial"/>
            <w:b/>
            <w:szCs w:val="22"/>
          </w:rPr>
          <w:t>conseguente osservazione</w:t>
        </w:r>
      </w:hyperlink>
      <w:r w:rsidRPr="00C22D2D">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178" w:name="S01a15"/>
      <w:r>
        <w:rPr>
          <w:rFonts w:cs="Arial"/>
          <w:szCs w:val="22"/>
        </w:rPr>
        <w:t xml:space="preserve">15 </w:t>
      </w:r>
      <w:r w:rsidRPr="00B91F58">
        <w:rPr>
          <w:rFonts w:cs="Arial"/>
          <w:szCs w:val="22"/>
        </w:rPr>
        <w:t>–</w:t>
      </w:r>
      <w:bookmarkEnd w:id="178"/>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F0F7D">
        <w:rPr>
          <w:rFonts w:cs="Arial"/>
          <w:szCs w:val="22"/>
        </w:rPr>
        <w:t xml:space="preserve">l'articolo 1, comma 5, concerne </w:t>
      </w:r>
      <w:r>
        <w:rPr>
          <w:rFonts w:cs="Arial"/>
          <w:szCs w:val="22"/>
        </w:rPr>
        <w:t>“</w:t>
      </w:r>
      <w:r w:rsidRPr="009F0F7D">
        <w:rPr>
          <w:rFonts w:cs="Arial"/>
          <w:szCs w:val="22"/>
        </w:rPr>
        <w:t>percorsi di mobilità a favore del personale degli enti di area vasta</w:t>
      </w:r>
      <w:r>
        <w:rPr>
          <w:rFonts w:cs="Arial"/>
          <w:szCs w:val="22"/>
        </w:rPr>
        <w:t>”</w:t>
      </w:r>
      <w:r w:rsidRPr="009F0F7D">
        <w:rPr>
          <w:rFonts w:cs="Arial"/>
          <w:szCs w:val="22"/>
        </w:rPr>
        <w:t xml:space="preserve">: tale </w:t>
      </w:r>
      <w:r w:rsidRPr="009F0F7D">
        <w:rPr>
          <w:rFonts w:cs="Arial"/>
          <w:b/>
          <w:szCs w:val="22"/>
        </w:rPr>
        <w:t>definizione</w:t>
      </w:r>
      <w:r w:rsidRPr="009F0F7D">
        <w:rPr>
          <w:rFonts w:cs="Arial"/>
          <w:szCs w:val="22"/>
        </w:rPr>
        <w:t xml:space="preserve"> abbraccia, a norma dell'articolo 1, commi 2 e 3, della legge 7 aprile 2014, n.</w:t>
      </w:r>
      <w:r>
        <w:rPr>
          <w:rFonts w:cs="Arial"/>
          <w:szCs w:val="22"/>
        </w:rPr>
        <w:t xml:space="preserve"> </w:t>
      </w:r>
      <w:r w:rsidRPr="009F0F7D">
        <w:rPr>
          <w:rFonts w:cs="Arial"/>
          <w:szCs w:val="22"/>
        </w:rPr>
        <w:t>56, sia le città metropolitane, sia le province, mentre la relazione illustrativa specifica che il riferimento è esclusivamente a queste ultime</w:t>
      </w:r>
      <w:r w:rsidRPr="00B91F58">
        <w:rPr>
          <w:rFonts w:cs="Arial"/>
          <w:szCs w:val="22"/>
        </w:rPr>
        <w:t>»</w:t>
      </w:r>
      <w:r>
        <w:rPr>
          <w:rFonts w:cs="Arial"/>
          <w:szCs w:val="22"/>
        </w:rPr>
        <w:t xml:space="preserve"> </w:t>
      </w:r>
      <w:r w:rsidRPr="00B91F58">
        <w:rPr>
          <w:rFonts w:cs="Arial"/>
          <w:szCs w:val="22"/>
        </w:rPr>
        <w:t>(</w:t>
      </w:r>
      <w:hyperlink w:anchor="S01o04" w:history="1">
        <w:r>
          <w:rPr>
            <w:rStyle w:val="Collegamentoipertestuale"/>
            <w:rFonts w:cs="Arial"/>
            <w:b/>
            <w:szCs w:val="22"/>
          </w:rPr>
          <w:t>conseguente osservazione</w:t>
        </w:r>
      </w:hyperlink>
      <w:r w:rsidRPr="00B91F58">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179" w:name="S01a16"/>
      <w:r>
        <w:rPr>
          <w:rFonts w:cs="Arial"/>
          <w:szCs w:val="22"/>
        </w:rPr>
        <w:lastRenderedPageBreak/>
        <w:t xml:space="preserve">16 </w:t>
      </w:r>
      <w:r w:rsidRPr="00B91F58">
        <w:rPr>
          <w:rFonts w:cs="Arial"/>
          <w:szCs w:val="22"/>
        </w:rPr>
        <w:t>–</w:t>
      </w:r>
      <w:bookmarkEnd w:id="179"/>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F0F7D">
        <w:rPr>
          <w:rFonts w:cs="Arial"/>
          <w:szCs w:val="22"/>
        </w:rPr>
        <w:t xml:space="preserve">l'articolo 3, comma 2, e l'articolo 12, comma 1, lettera </w:t>
      </w:r>
      <w:r w:rsidRPr="009F0F7D">
        <w:rPr>
          <w:rFonts w:cs="Arial"/>
          <w:i/>
          <w:iCs/>
          <w:szCs w:val="22"/>
        </w:rPr>
        <w:t>a)</w:t>
      </w:r>
      <w:r w:rsidRPr="009F0F7D">
        <w:rPr>
          <w:rFonts w:cs="Arial"/>
          <w:szCs w:val="22"/>
        </w:rPr>
        <w:t xml:space="preserve">, </w:t>
      </w:r>
      <w:r w:rsidRPr="009F0F7D">
        <w:rPr>
          <w:rFonts w:cs="Arial"/>
          <w:b/>
          <w:szCs w:val="22"/>
        </w:rPr>
        <w:t>rinviano alle norme novellanti piuttosto che a quelle novellate</w:t>
      </w:r>
      <w:r w:rsidRPr="009F0F7D">
        <w:rPr>
          <w:rFonts w:cs="Arial"/>
          <w:szCs w:val="22"/>
        </w:rPr>
        <w:t xml:space="preserve">, mentre la </w:t>
      </w:r>
      <w:r w:rsidRPr="009F0F7D">
        <w:rPr>
          <w:rFonts w:cs="Arial"/>
          <w:b/>
          <w:szCs w:val="22"/>
        </w:rPr>
        <w:t xml:space="preserve">circolare sulla formulazione tecnica dei testi legislativi (paragrafo 12, lettera </w:t>
      </w:r>
      <w:r w:rsidRPr="009F0F7D">
        <w:rPr>
          <w:rFonts w:cs="Arial"/>
          <w:b/>
          <w:i/>
          <w:iCs/>
          <w:szCs w:val="22"/>
        </w:rPr>
        <w:t>e)</w:t>
      </w:r>
      <w:r w:rsidRPr="009F0F7D">
        <w:rPr>
          <w:rFonts w:cs="Arial"/>
          <w:szCs w:val="22"/>
        </w:rPr>
        <w:t xml:space="preserve"> ) dispone che </w:t>
      </w:r>
      <w:r>
        <w:rPr>
          <w:rFonts w:cs="Arial"/>
          <w:szCs w:val="22"/>
        </w:rPr>
        <w:t>“</w:t>
      </w:r>
      <w:r w:rsidRPr="009F0F7D">
        <w:rPr>
          <w:rFonts w:cs="Arial"/>
          <w:szCs w:val="22"/>
        </w:rPr>
        <w:t>quando si intende riferirsi a disposizioni modificate il riferimento è fatto sempre all'atto che ha subito le modifiche e non all'atto modificante</w:t>
      </w:r>
      <w:r>
        <w:rPr>
          <w:rFonts w:cs="Arial"/>
          <w:szCs w:val="22"/>
        </w:rPr>
        <w:t>”</w:t>
      </w:r>
      <w:r w:rsidRPr="009F0F7D">
        <w:rPr>
          <w:rFonts w:cs="Arial"/>
          <w:szCs w:val="22"/>
        </w:rPr>
        <w:t>; inoltre, l'articolo 8, comma 6, nel posticipare l'obbligo di adeguare il parco veicolare delle autoscuole, utilizza una formulazione tortuosa anche perché fa riferimento, anziché direttamente agli articoli 116 e 123 del codice della strada, agli articoli 10 e 3 del decreto legislativo n.</w:t>
      </w:r>
      <w:r>
        <w:rPr>
          <w:rFonts w:cs="Arial"/>
          <w:szCs w:val="22"/>
        </w:rPr>
        <w:t xml:space="preserve"> </w:t>
      </w:r>
      <w:r w:rsidRPr="009F0F7D">
        <w:rPr>
          <w:rFonts w:cs="Arial"/>
          <w:szCs w:val="22"/>
        </w:rPr>
        <w:t>59 del 2011, che li hanno – rispettivamente – novellati, nonché all'articolo 28 del medesimo decreto legislativo, concernente l'entrata in vigore delle sue disposizioni</w:t>
      </w:r>
      <w:r>
        <w:rPr>
          <w:rFonts w:cs="Arial"/>
          <w:szCs w:val="22"/>
        </w:rPr>
        <w:t xml:space="preserve"> </w:t>
      </w:r>
      <w:r w:rsidRPr="00B91F58">
        <w:rPr>
          <w:rFonts w:cs="Arial"/>
          <w:szCs w:val="22"/>
        </w:rPr>
        <w:t>»</w:t>
      </w:r>
      <w:r>
        <w:rPr>
          <w:rFonts w:cs="Arial"/>
          <w:szCs w:val="22"/>
        </w:rPr>
        <w:t xml:space="preserve"> </w:t>
      </w:r>
      <w:r w:rsidRPr="00B91F58">
        <w:rPr>
          <w:rFonts w:cs="Arial"/>
          <w:szCs w:val="22"/>
        </w:rPr>
        <w:t>(</w:t>
      </w:r>
      <w:hyperlink w:anchor="S01c01" w:history="1">
        <w:r w:rsidRPr="00B91F58">
          <w:rPr>
            <w:rStyle w:val="Collegamentoipertestuale"/>
            <w:rFonts w:cs="Arial"/>
            <w:b/>
            <w:szCs w:val="22"/>
          </w:rPr>
          <w:t>conseguente condizione</w:t>
        </w:r>
      </w:hyperlink>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180" w:name="S01a17"/>
      <w:r>
        <w:rPr>
          <w:rFonts w:cs="Arial"/>
          <w:szCs w:val="22"/>
        </w:rPr>
        <w:t xml:space="preserve">17 </w:t>
      </w:r>
      <w:r w:rsidRPr="00B91F58">
        <w:rPr>
          <w:rFonts w:cs="Arial"/>
          <w:szCs w:val="22"/>
        </w:rPr>
        <w:t>–</w:t>
      </w:r>
      <w:bookmarkEnd w:id="180"/>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C2754">
        <w:rPr>
          <w:rFonts w:cs="Arial"/>
          <w:szCs w:val="22"/>
        </w:rPr>
        <w:t xml:space="preserve">l'articolo 13 differisce, per le federazioni sportive nazionali, l'applicabilità </w:t>
      </w:r>
      <w:r>
        <w:rPr>
          <w:rFonts w:cs="Arial"/>
          <w:szCs w:val="22"/>
        </w:rPr>
        <w:t>“</w:t>
      </w:r>
      <w:r w:rsidRPr="009C2754">
        <w:rPr>
          <w:rFonts w:cs="Arial"/>
          <w:szCs w:val="22"/>
        </w:rPr>
        <w:t>delle norme di contenimento delle spese previste dalla legislazione vigente a carico dei soggetti inclusi nell'elenco dell'Istituto nazionale di statistica (ISTAT) delle amministrazioni pubbliche</w:t>
      </w:r>
      <w:r>
        <w:rPr>
          <w:rFonts w:cs="Arial"/>
          <w:szCs w:val="22"/>
        </w:rPr>
        <w:t>”</w:t>
      </w:r>
      <w:r w:rsidRPr="009C2754">
        <w:rPr>
          <w:rFonts w:cs="Arial"/>
          <w:szCs w:val="22"/>
        </w:rPr>
        <w:t xml:space="preserve">, con una </w:t>
      </w:r>
      <w:r w:rsidRPr="009C2754">
        <w:rPr>
          <w:rFonts w:cs="Arial"/>
          <w:b/>
          <w:szCs w:val="22"/>
        </w:rPr>
        <w:t>formulazione generica</w:t>
      </w:r>
      <w:r w:rsidRPr="009C2754">
        <w:rPr>
          <w:rFonts w:cs="Arial"/>
          <w:szCs w:val="22"/>
        </w:rPr>
        <w:t xml:space="preserve"> che è suscettibile di ingenerare dubbi nell'esatta individuazione delle norme che il legislatore intende differire per le fed</w:t>
      </w:r>
      <w:r>
        <w:rPr>
          <w:rFonts w:cs="Arial"/>
          <w:szCs w:val="22"/>
        </w:rPr>
        <w:t>erazioni</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181" w:name="S01a18"/>
      <w:r>
        <w:rPr>
          <w:rFonts w:cs="Arial"/>
          <w:szCs w:val="22"/>
        </w:rPr>
        <w:t xml:space="preserve">18 </w:t>
      </w:r>
      <w:r w:rsidRPr="00B91F58">
        <w:rPr>
          <w:rFonts w:cs="Arial"/>
          <w:szCs w:val="22"/>
        </w:rPr>
        <w:t>–</w:t>
      </w:r>
      <w:bookmarkEnd w:id="181"/>
      <w:r w:rsidRPr="00B91F58">
        <w:rPr>
          <w:rFonts w:cs="Arial"/>
          <w:szCs w:val="22"/>
        </w:rPr>
        <w:t xml:space="preserve"> </w:t>
      </w:r>
      <w:hyperlink w:anchor="premessa0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C2754">
        <w:rPr>
          <w:rFonts w:cs="Arial"/>
          <w:szCs w:val="22"/>
        </w:rPr>
        <w:t>il disegno di legge di conversione non è corredato né della relazione sull'analisi tecnico-normativa (</w:t>
      </w:r>
      <w:r w:rsidRPr="009C2754">
        <w:rPr>
          <w:rFonts w:cs="Arial"/>
          <w:b/>
          <w:szCs w:val="22"/>
        </w:rPr>
        <w:t>ATN</w:t>
      </w:r>
      <w:r w:rsidRPr="009C2754">
        <w:rPr>
          <w:rFonts w:cs="Arial"/>
          <w:szCs w:val="22"/>
        </w:rPr>
        <w:t>), né della relazione sull'analisi di impatto della regolamentazione (</w:t>
      </w:r>
      <w:r w:rsidRPr="009C2754">
        <w:rPr>
          <w:rFonts w:cs="Arial"/>
          <w:b/>
          <w:szCs w:val="22"/>
        </w:rPr>
        <w:t>AIR</w:t>
      </w:r>
      <w:r w:rsidRPr="009C2754">
        <w:rPr>
          <w:rFonts w:cs="Arial"/>
          <w:szCs w:val="22"/>
        </w:rPr>
        <w:t xml:space="preserve">). </w:t>
      </w:r>
      <w:r w:rsidRPr="009C2754">
        <w:rPr>
          <w:rFonts w:cs="Arial"/>
          <w:b/>
          <w:szCs w:val="22"/>
        </w:rPr>
        <w:t>L'esenzione dall'AIR</w:t>
      </w:r>
      <w:r w:rsidRPr="009C2754">
        <w:rPr>
          <w:rFonts w:cs="Arial"/>
          <w:szCs w:val="22"/>
        </w:rPr>
        <w:t xml:space="preserve"> è stata disposta dal Dipartimento per gli affari giuridici e legislativi della Presidenza del Consiglio, a norma dell'articolo 9, comma 1, del pertinente regolamento </w:t>
      </w:r>
      <w:r w:rsidRPr="009C2754">
        <w:rPr>
          <w:rFonts w:cs="Arial"/>
          <w:b/>
          <w:szCs w:val="22"/>
        </w:rPr>
        <w:t>motivandola, tautologicamente</w:t>
      </w:r>
      <w:r w:rsidRPr="009C2754">
        <w:rPr>
          <w:rFonts w:cs="Arial"/>
          <w:szCs w:val="22"/>
        </w:rPr>
        <w:t>, con la considerazione che lo schema di decreto-legge riveste carattere di necessità ed urgenza</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ind w:firstLine="0"/>
        <w:rPr>
          <w:rFonts w:cs="Arial"/>
          <w:szCs w:val="22"/>
        </w:rPr>
      </w:pPr>
    </w:p>
    <w:p w:rsidR="000B33A8" w:rsidRDefault="000B33A8" w:rsidP="000B33A8">
      <w:pPr>
        <w:keepNext/>
        <w:ind w:firstLine="0"/>
        <w:rPr>
          <w:rFonts w:cs="Arial"/>
          <w:szCs w:val="22"/>
        </w:rPr>
      </w:pPr>
      <w:bookmarkStart w:id="182" w:name="S01C"/>
      <w:r w:rsidRPr="00B91F58">
        <w:rPr>
          <w:rFonts w:cs="Arial"/>
          <w:b/>
          <w:szCs w:val="22"/>
        </w:rPr>
        <w:t>Condizioni</w:t>
      </w:r>
      <w:r w:rsidRPr="00B91F58">
        <w:rPr>
          <w:rFonts w:cs="Arial"/>
          <w:szCs w:val="22"/>
        </w:rPr>
        <w:t xml:space="preserve">: </w:t>
      </w:r>
    </w:p>
    <w:bookmarkEnd w:id="182"/>
    <w:p w:rsidR="000B33A8" w:rsidRDefault="000B33A8" w:rsidP="000B33A8">
      <w:pPr>
        <w:keepNext/>
        <w:ind w:firstLine="0"/>
        <w:rPr>
          <w:rFonts w:cs="Arial"/>
          <w:i/>
          <w:szCs w:val="22"/>
        </w:rPr>
      </w:pPr>
      <w:r w:rsidRPr="00D249C1">
        <w:rPr>
          <w:rFonts w:cs="Arial"/>
          <w:i/>
          <w:szCs w:val="22"/>
        </w:rPr>
        <w:t>sotto il profilo dell'efficacia del testo per la semplificazione e il riordino della legislazione vigente:</w:t>
      </w:r>
    </w:p>
    <w:p w:rsidR="000B33A8" w:rsidRDefault="000B33A8" w:rsidP="00B26E1F">
      <w:pPr>
        <w:keepNext/>
        <w:numPr>
          <w:ilvl w:val="0"/>
          <w:numId w:val="18"/>
        </w:numPr>
        <w:tabs>
          <w:tab w:val="num" w:pos="567"/>
        </w:tabs>
        <w:spacing w:before="60" w:after="60"/>
        <w:ind w:left="567" w:hanging="283"/>
        <w:contextualSpacing/>
        <w:rPr>
          <w:rFonts w:cs="Arial"/>
          <w:szCs w:val="22"/>
        </w:rPr>
      </w:pPr>
      <w:bookmarkStart w:id="183" w:name="S01c01"/>
      <w:r w:rsidRPr="00212F94">
        <w:rPr>
          <w:rFonts w:cs="Arial"/>
          <w:szCs w:val="22"/>
        </w:rPr>
        <w:t>all'articolo 3, comma 2</w:t>
      </w:r>
      <w:bookmarkEnd w:id="183"/>
      <w:r w:rsidRPr="00212F94">
        <w:rPr>
          <w:rFonts w:cs="Arial"/>
          <w:szCs w:val="22"/>
        </w:rPr>
        <w:t xml:space="preserve">, all'articolo 8, comma 6, e all'articolo 12, comma 1, lettera </w:t>
      </w:r>
      <w:r w:rsidRPr="00212F94">
        <w:rPr>
          <w:rFonts w:cs="Arial"/>
          <w:i/>
          <w:iCs/>
          <w:szCs w:val="22"/>
        </w:rPr>
        <w:t>a)</w:t>
      </w:r>
      <w:r w:rsidRPr="00212F94">
        <w:rPr>
          <w:rFonts w:cs="Arial"/>
          <w:szCs w:val="22"/>
        </w:rPr>
        <w:t>, si proceda a modificare direttamente le disposizioni novellate in luogo di quelle che le hanno successivamente modificate</w:t>
      </w:r>
      <w:r>
        <w:rPr>
          <w:rFonts w:cs="Arial"/>
          <w:szCs w:val="22"/>
        </w:rPr>
        <w:t xml:space="preserve">; </w:t>
      </w:r>
      <w:hyperlink w:anchor="premessa01" w:history="1">
        <w:r w:rsidRPr="00D249C1">
          <w:rPr>
            <w:rStyle w:val="Collegamentoipertestuale"/>
            <w:rFonts w:cs="Arial"/>
            <w:szCs w:val="22"/>
          </w:rPr>
          <w:t>[torna su]</w:t>
        </w:r>
      </w:hyperlink>
      <w:r>
        <w:rPr>
          <w:rFonts w:cs="Arial"/>
          <w:szCs w:val="22"/>
        </w:rPr>
        <w:t xml:space="preserve"> </w:t>
      </w:r>
    </w:p>
    <w:p w:rsidR="000B33A8" w:rsidRDefault="000B33A8" w:rsidP="00B26E1F">
      <w:pPr>
        <w:keepNext/>
        <w:numPr>
          <w:ilvl w:val="0"/>
          <w:numId w:val="18"/>
        </w:numPr>
        <w:tabs>
          <w:tab w:val="num" w:pos="567"/>
        </w:tabs>
        <w:spacing w:before="60" w:after="60"/>
        <w:ind w:left="567" w:hanging="283"/>
        <w:contextualSpacing/>
        <w:rPr>
          <w:rFonts w:cs="Arial"/>
          <w:szCs w:val="22"/>
        </w:rPr>
      </w:pPr>
      <w:bookmarkStart w:id="184" w:name="S01c02"/>
      <w:r w:rsidRPr="00212F94">
        <w:rPr>
          <w:rFonts w:cs="Arial"/>
          <w:szCs w:val="22"/>
        </w:rPr>
        <w:t>sia valutata la soppressione</w:t>
      </w:r>
      <w:bookmarkEnd w:id="184"/>
      <w:r w:rsidRPr="00212F94">
        <w:rPr>
          <w:rFonts w:cs="Arial"/>
          <w:szCs w:val="22"/>
        </w:rPr>
        <w:t xml:space="preserve">, nella parte in cui incidono su norme contenute in fonti subordinate, delle disposizioni contenute all'articolo 6, comma 5, e all'articolo 8, comma 9, oppure, subordinatamente – ove si intenda mantenerle – si valuti di riformularle nel senso di autorizzare il Governo ad </w:t>
      </w:r>
      <w:r w:rsidRPr="00212F94">
        <w:rPr>
          <w:rFonts w:cs="Arial"/>
          <w:szCs w:val="22"/>
        </w:rPr>
        <w:lastRenderedPageBreak/>
        <w:t>integrare la disciplina contenuta nelle fonti subordinate mediante</w:t>
      </w:r>
      <w:r>
        <w:rPr>
          <w:rFonts w:cs="Arial"/>
          <w:szCs w:val="22"/>
        </w:rPr>
        <w:t xml:space="preserve"> atti aventi la medesima forza; </w:t>
      </w:r>
      <w:hyperlink w:anchor="premessa01"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keepNext/>
        <w:numPr>
          <w:ilvl w:val="0"/>
          <w:numId w:val="18"/>
        </w:numPr>
        <w:spacing w:before="60" w:after="60"/>
        <w:contextualSpacing/>
        <w:rPr>
          <w:rFonts w:cs="Arial"/>
          <w:szCs w:val="22"/>
        </w:rPr>
      </w:pPr>
      <w:bookmarkStart w:id="185" w:name="S01c03"/>
      <w:r w:rsidRPr="00212F94">
        <w:rPr>
          <w:rFonts w:cs="Arial"/>
          <w:szCs w:val="22"/>
        </w:rPr>
        <w:t xml:space="preserve">con riferimento all'articolo </w:t>
      </w:r>
      <w:bookmarkEnd w:id="185"/>
      <w:r w:rsidRPr="00212F94">
        <w:rPr>
          <w:rFonts w:cs="Arial"/>
          <w:szCs w:val="22"/>
        </w:rPr>
        <w:t>10, comma 9 (che in base alla procedura prevista dall'articolo 17, comma 12, della legge 31 dicembre 2009, n.</w:t>
      </w:r>
      <w:r>
        <w:rPr>
          <w:rFonts w:cs="Arial"/>
          <w:szCs w:val="22"/>
        </w:rPr>
        <w:t xml:space="preserve"> </w:t>
      </w:r>
      <w:r w:rsidRPr="00212F94">
        <w:rPr>
          <w:rFonts w:cs="Arial"/>
          <w:szCs w:val="22"/>
        </w:rPr>
        <w:t>196, demanda ad un decreto ministeriale la possibilità di fissare aumenti tributari a copertura dei maggiori oneri risultanti dalle attività di monitoraggio della spesa), previa valutazione della rispondenza alle previsioni dell'articolo 23 della Costituzione, si riconduca tale disposizione alla procedura prevista dall'articolo 17, comma 2, della legge n.</w:t>
      </w:r>
      <w:r>
        <w:rPr>
          <w:rFonts w:cs="Arial"/>
          <w:szCs w:val="22"/>
        </w:rPr>
        <w:t xml:space="preserve"> </w:t>
      </w:r>
      <w:r w:rsidRPr="00212F94">
        <w:rPr>
          <w:rFonts w:cs="Arial"/>
          <w:szCs w:val="22"/>
        </w:rPr>
        <w:t xml:space="preserve">400 del 1988 per i </w:t>
      </w:r>
      <w:r>
        <w:rPr>
          <w:rFonts w:cs="Arial"/>
          <w:szCs w:val="22"/>
        </w:rPr>
        <w:t xml:space="preserve">regolamenti di delegificazione; </w:t>
      </w:r>
      <w:hyperlink w:anchor="premessa01"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keepNext/>
        <w:ind w:firstLine="0"/>
        <w:rPr>
          <w:rFonts w:cs="Arial"/>
          <w:szCs w:val="22"/>
        </w:rPr>
      </w:pPr>
      <w:r w:rsidRPr="00D249C1">
        <w:rPr>
          <w:rFonts w:cs="Arial"/>
          <w:i/>
          <w:szCs w:val="22"/>
        </w:rPr>
        <w:t xml:space="preserve">sotto il profilo </w:t>
      </w:r>
      <w:r>
        <w:rPr>
          <w:rFonts w:cs="Arial"/>
          <w:i/>
          <w:szCs w:val="22"/>
        </w:rPr>
        <w:t>della chiarezza e della proprietà della formulazione</w:t>
      </w:r>
      <w:r w:rsidRPr="00D249C1">
        <w:rPr>
          <w:rFonts w:cs="Arial"/>
          <w:i/>
          <w:szCs w:val="22"/>
        </w:rPr>
        <w:t>:</w:t>
      </w:r>
    </w:p>
    <w:p w:rsidR="000B33A8" w:rsidRDefault="000B33A8" w:rsidP="00B26E1F">
      <w:pPr>
        <w:keepNext/>
        <w:numPr>
          <w:ilvl w:val="0"/>
          <w:numId w:val="18"/>
        </w:numPr>
        <w:tabs>
          <w:tab w:val="num" w:pos="567"/>
        </w:tabs>
        <w:spacing w:before="60" w:after="60"/>
        <w:ind w:left="567" w:hanging="283"/>
        <w:contextualSpacing/>
        <w:rPr>
          <w:rFonts w:cs="Arial"/>
          <w:szCs w:val="22"/>
        </w:rPr>
      </w:pPr>
      <w:bookmarkStart w:id="186" w:name="S01c04"/>
      <w:r w:rsidRPr="00212F94">
        <w:t xml:space="preserve">all'articolo 13, comma </w:t>
      </w:r>
      <w:bookmarkEnd w:id="186"/>
      <w:r w:rsidRPr="00212F94">
        <w:t>1, siano individuate puntualmente, o comunque in modo univoco, le norme per le quali è prorogata la possibilità di deroga</w:t>
      </w:r>
      <w:r>
        <w:t xml:space="preserve"> </w:t>
      </w:r>
      <w:hyperlink w:anchor="premessa01" w:history="1">
        <w:r w:rsidRPr="00D249C1">
          <w:rPr>
            <w:rStyle w:val="Collegamentoipertestuale"/>
            <w:rFonts w:cs="Arial"/>
            <w:szCs w:val="22"/>
          </w:rPr>
          <w:t>[torna su]</w:t>
        </w:r>
      </w:hyperlink>
      <w:r>
        <w:rPr>
          <w:rStyle w:val="Collegamentoipertestuale"/>
          <w:rFonts w:cs="Arial"/>
          <w:szCs w:val="22"/>
        </w:rPr>
        <w:t xml:space="preserve"> </w:t>
      </w:r>
      <w:r>
        <w:rPr>
          <w:rFonts w:cs="Arial"/>
          <w:szCs w:val="22"/>
        </w:rPr>
        <w:br/>
      </w:r>
    </w:p>
    <w:p w:rsidR="000B33A8" w:rsidRPr="00B91F58" w:rsidRDefault="000B33A8" w:rsidP="000B33A8">
      <w:pPr>
        <w:keepNext/>
        <w:tabs>
          <w:tab w:val="num" w:pos="567"/>
        </w:tabs>
        <w:ind w:left="567" w:firstLine="0"/>
        <w:rPr>
          <w:rFonts w:cs="Arial"/>
          <w:szCs w:val="22"/>
        </w:rPr>
      </w:pP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187" w:name="S01O"/>
      <w:r>
        <w:rPr>
          <w:rFonts w:cs="Arial"/>
          <w:b/>
          <w:szCs w:val="22"/>
        </w:rPr>
        <w:t>Osservazioni</w:t>
      </w:r>
      <w:r w:rsidRPr="00B91F58">
        <w:rPr>
          <w:rFonts w:cs="Arial"/>
          <w:szCs w:val="22"/>
        </w:rPr>
        <w:t xml:space="preserve">: </w:t>
      </w:r>
    </w:p>
    <w:bookmarkEnd w:id="187"/>
    <w:p w:rsidR="000B33A8" w:rsidRDefault="000B33A8" w:rsidP="000B33A8">
      <w:pPr>
        <w:keepNext/>
        <w:ind w:firstLine="0"/>
        <w:rPr>
          <w:rFonts w:cs="Arial"/>
          <w:i/>
          <w:szCs w:val="22"/>
        </w:rPr>
      </w:pPr>
      <w:r w:rsidRPr="00D249C1">
        <w:rPr>
          <w:rFonts w:cs="Arial"/>
          <w:i/>
          <w:szCs w:val="22"/>
        </w:rPr>
        <w:t>sotto il profilo dell'efficacia del testo per la semplificazione e il riordino della legislazione vigente:</w:t>
      </w:r>
    </w:p>
    <w:p w:rsidR="000B33A8" w:rsidRPr="00A732FE" w:rsidRDefault="000B33A8" w:rsidP="00B26E1F">
      <w:pPr>
        <w:pStyle w:val="Paragrafoelenco"/>
        <w:numPr>
          <w:ilvl w:val="0"/>
          <w:numId w:val="19"/>
        </w:numPr>
        <w:ind w:left="567" w:hanging="283"/>
        <w:rPr>
          <w:rStyle w:val="Collegamentoipertestuale"/>
          <w:rFonts w:cs="Arial"/>
          <w:szCs w:val="22"/>
        </w:rPr>
      </w:pPr>
      <w:bookmarkStart w:id="188" w:name="S01o01"/>
      <w:r w:rsidRPr="00E93216">
        <w:rPr>
          <w:rFonts w:cs="Arial"/>
          <w:szCs w:val="22"/>
        </w:rPr>
        <w:t xml:space="preserve">si dovrebbero riformulare in termini </w:t>
      </w:r>
      <w:bookmarkEnd w:id="188"/>
      <w:r w:rsidRPr="00E93216">
        <w:rPr>
          <w:rFonts w:cs="Arial"/>
          <w:szCs w:val="22"/>
        </w:rPr>
        <w:t>di novella le disposizioni indicate in premessa che incidono in via non testuale su previgenti disposizioni legislative al fine di prorogare o dif</w:t>
      </w:r>
      <w:r>
        <w:rPr>
          <w:rFonts w:cs="Arial"/>
          <w:szCs w:val="22"/>
        </w:rPr>
        <w:t xml:space="preserve">ferire termini da esse previsti; </w:t>
      </w:r>
      <w:hyperlink w:anchor="premessa01"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B26E1F">
      <w:pPr>
        <w:pStyle w:val="Paragrafoelenco"/>
        <w:numPr>
          <w:ilvl w:val="0"/>
          <w:numId w:val="19"/>
        </w:numPr>
        <w:ind w:left="567" w:hanging="283"/>
        <w:rPr>
          <w:rStyle w:val="Collegamentoipertestuale"/>
          <w:rFonts w:cs="Arial"/>
          <w:szCs w:val="22"/>
        </w:rPr>
      </w:pPr>
      <w:bookmarkStart w:id="189" w:name="S01o02"/>
      <w:r w:rsidRPr="00E93216">
        <w:t xml:space="preserve">si dovrebbe curare, nel </w:t>
      </w:r>
      <w:bookmarkEnd w:id="189"/>
      <w:r w:rsidRPr="00E93216">
        <w:t xml:space="preserve">senso indicato in premessa, il coordinamento con la normativa vigente delle disposizioni introdotte dall'articolo 6, comma 3, e dall'articolo 7, comma 3; </w:t>
      </w:r>
      <w:hyperlink w:anchor="premessa01" w:history="1">
        <w:r w:rsidRPr="00D249C1">
          <w:rPr>
            <w:rStyle w:val="Collegamentoipertestuale"/>
            <w:rFonts w:cs="Arial"/>
            <w:szCs w:val="22"/>
          </w:rPr>
          <w:t>[torna su]</w:t>
        </w:r>
      </w:hyperlink>
      <w:r>
        <w:rPr>
          <w:rStyle w:val="Collegamentoipertestuale"/>
          <w:rFonts w:cs="Arial"/>
          <w:szCs w:val="22"/>
        </w:rPr>
        <w:t xml:space="preserve"> </w:t>
      </w:r>
    </w:p>
    <w:p w:rsidR="000B33A8" w:rsidRPr="00C733BB" w:rsidRDefault="000B33A8" w:rsidP="00B26E1F">
      <w:pPr>
        <w:pStyle w:val="Paragrafoelenco"/>
        <w:numPr>
          <w:ilvl w:val="0"/>
          <w:numId w:val="19"/>
        </w:numPr>
        <w:ind w:left="567" w:hanging="283"/>
        <w:rPr>
          <w:rStyle w:val="Collegamentoipertestuale"/>
          <w:rFonts w:cs="Arial"/>
          <w:szCs w:val="22"/>
        </w:rPr>
      </w:pPr>
      <w:bookmarkStart w:id="190" w:name="S01o03"/>
      <w:r w:rsidRPr="00E93216">
        <w:t>per quanto detto in premessa</w:t>
      </w:r>
      <w:bookmarkEnd w:id="190"/>
      <w:r w:rsidRPr="00E93216">
        <w:t xml:space="preserve">, si dovrebbe verificare se le disposizioni contenute all'articolo 3, comma 3, all'articolo 4, commi 1 e 3, all'articolo 7, comma 4, all'articolo 10, commi 5 e 6 nonché all'articolo 12, comma 1, debbano mantenere natura temporanea, con l'eventualità di essere soggette a successive proroghe, ovvero possano essere trasformate in previsioni a regime; </w:t>
      </w:r>
      <w:hyperlink w:anchor="premessa01"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0B33A8">
      <w:pPr>
        <w:pStyle w:val="Paragrafoelenco"/>
        <w:ind w:left="0" w:firstLine="0"/>
        <w:rPr>
          <w:rStyle w:val="Collegamentoipertestuale"/>
          <w:rFonts w:cs="Arial"/>
          <w:szCs w:val="22"/>
        </w:rPr>
      </w:pPr>
      <w:r>
        <w:rPr>
          <w:rStyle w:val="Collegamentoipertestuale"/>
          <w:rFonts w:cs="Arial"/>
          <w:szCs w:val="22"/>
        </w:rPr>
        <w:br/>
      </w:r>
      <w:r w:rsidRPr="00C733BB">
        <w:rPr>
          <w:rFonts w:cs="Arial"/>
          <w:i/>
          <w:szCs w:val="22"/>
        </w:rPr>
        <w:t>sotto il profilo della chiarezza e della proprietà della formulazione</w:t>
      </w:r>
    </w:p>
    <w:p w:rsidR="000B33A8" w:rsidRPr="00A732FE" w:rsidRDefault="000B33A8" w:rsidP="00B26E1F">
      <w:pPr>
        <w:pStyle w:val="Paragrafoelenco"/>
        <w:numPr>
          <w:ilvl w:val="0"/>
          <w:numId w:val="19"/>
        </w:numPr>
        <w:ind w:left="567" w:hanging="283"/>
        <w:rPr>
          <w:rStyle w:val="Collegamentoipertestuale"/>
          <w:rFonts w:cs="Arial"/>
          <w:szCs w:val="22"/>
        </w:rPr>
      </w:pPr>
      <w:bookmarkStart w:id="191" w:name="S01o04"/>
      <w:r w:rsidRPr="00E93216">
        <w:t xml:space="preserve">all'articolo 1, comma </w:t>
      </w:r>
      <w:bookmarkEnd w:id="191"/>
      <w:r w:rsidRPr="00E93216">
        <w:t xml:space="preserve">5, si dovrebbe valutare se sia necessario modificare il riferimento agli enti di area vasta, il quale appare parzialmente disallineato rispetto all'intento esplicitato dalla relazione illustrativa; </w:t>
      </w:r>
      <w:hyperlink w:anchor="premessa01"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B26E1F">
      <w:pPr>
        <w:pStyle w:val="Paragrafoelenco"/>
        <w:numPr>
          <w:ilvl w:val="0"/>
          <w:numId w:val="19"/>
        </w:numPr>
        <w:ind w:left="567" w:hanging="283"/>
        <w:rPr>
          <w:rStyle w:val="Collegamentoipertestuale"/>
          <w:rFonts w:cs="Arial"/>
          <w:szCs w:val="22"/>
        </w:rPr>
      </w:pPr>
      <w:r w:rsidRPr="00E93216">
        <w:rPr>
          <w:rStyle w:val="Collegamentoipertestuale"/>
          <w:rFonts w:cs="Arial"/>
          <w:szCs w:val="22"/>
        </w:rPr>
        <w:t xml:space="preserve"> </w:t>
      </w:r>
      <w:bookmarkStart w:id="192" w:name="S01o05"/>
      <w:r w:rsidRPr="00E93216">
        <w:rPr>
          <w:rFonts w:cs="Arial"/>
          <w:szCs w:val="22"/>
        </w:rPr>
        <w:t xml:space="preserve">la rubrica dell'articolo </w:t>
      </w:r>
      <w:bookmarkEnd w:id="192"/>
      <w:r w:rsidRPr="00E93216">
        <w:rPr>
          <w:rFonts w:cs="Arial"/>
          <w:szCs w:val="22"/>
        </w:rPr>
        <w:t>5 dovrebbe essere riformulata per dare pienamente conto del suo effettivo contenuto</w:t>
      </w:r>
      <w:r w:rsidRPr="00E93216">
        <w:rPr>
          <w:rStyle w:val="Collegamentoipertestuale"/>
          <w:rFonts w:cs="Arial"/>
          <w:szCs w:val="22"/>
        </w:rPr>
        <w:t xml:space="preserve"> </w:t>
      </w:r>
      <w:hyperlink w:anchor="premessa01"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rPr>
          <w:rFonts w:cs="Arial"/>
          <w:szCs w:val="22"/>
        </w:rPr>
      </w:pPr>
    </w:p>
    <w:p w:rsidR="000B33A8" w:rsidRDefault="000B33A8" w:rsidP="000B33A8">
      <w:pPr>
        <w:ind w:left="284" w:firstLine="0"/>
        <w:rPr>
          <w:rFonts w:cs="Arial"/>
          <w:szCs w:val="22"/>
        </w:rPr>
        <w:sectPr w:rsidR="000B33A8" w:rsidSect="00E5358D">
          <w:headerReference w:type="even" r:id="rId281"/>
          <w:headerReference w:type="default" r:id="rId282"/>
          <w:footerReference w:type="even" r:id="rId283"/>
          <w:footerReference w:type="default" r:id="rId284"/>
          <w:type w:val="oddPage"/>
          <w:pgSz w:w="11906" w:h="16838" w:code="9"/>
          <w:pgMar w:top="1985" w:right="1985" w:bottom="1985" w:left="1985" w:header="1134" w:footer="1134" w:gutter="0"/>
          <w:cols w:space="720"/>
          <w:formProt w:val="0"/>
        </w:sectPr>
      </w:pPr>
    </w:p>
    <w:p w:rsidR="000B33A8" w:rsidRPr="00B91F58" w:rsidRDefault="000B33A8" w:rsidP="000B33A8">
      <w:pPr>
        <w:ind w:left="284" w:firstLine="0"/>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0002</w:t>
            </w:r>
          </w:p>
        </w:tc>
        <w:tc>
          <w:tcPr>
            <w:tcW w:w="750" w:type="pct"/>
            <w:shd w:val="clear" w:color="auto" w:fill="auto"/>
          </w:tcPr>
          <w:p w:rsidR="000B33A8" w:rsidRPr="00B26E1F" w:rsidRDefault="000B33A8" w:rsidP="000B33A8">
            <w:pPr>
              <w:pStyle w:val="Collegamento"/>
              <w:rPr>
                <w:rFonts w:cs="Arial"/>
              </w:rPr>
            </w:pPr>
            <w:r w:rsidRPr="00B26E1F">
              <w:rPr>
                <w:rFonts w:cs="Arial"/>
              </w:rPr>
              <w:t>2844</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285" w:history="1">
              <w:r w:rsidR="000B33A8" w:rsidRPr="00B26E1F">
                <w:rPr>
                  <w:rStyle w:val="Collegamentoipertestuale"/>
                  <w:rFonts w:cs="Arial"/>
                </w:rPr>
                <w:t>DL 3/2015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Sistema bancario</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286" w:anchor="data.20150210.com48.bollettino.sede00010.tit00010" w:history="1">
              <w:r w:rsidR="000B33A8">
                <w:rPr>
                  <w:rStyle w:val="Collegamentoipertestuale"/>
                </w:rPr>
                <w:t>10/02/2015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193" w:name="premessa02"/>
            <w:r w:rsidRPr="00B26E1F">
              <w:rPr>
                <w:rFonts w:cs="Arial"/>
                <w:b/>
                <w:color w:val="0000FF"/>
                <w:sz w:val="24"/>
                <w:szCs w:val="24"/>
              </w:rPr>
              <w:t>Premessa</w:t>
            </w:r>
            <w:bookmarkEnd w:id="193"/>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4 Condizioni, 9 Osservazioni</w:t>
            </w:r>
          </w:p>
        </w:tc>
      </w:tr>
      <w:tr w:rsidR="000B33A8" w:rsidRPr="008B2DCE" w:rsidTr="00B26E1F">
        <w:trPr>
          <w:trHeight w:val="98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01" w:history="1">
              <w:r w:rsidR="000B33A8" w:rsidRPr="00812559">
                <w:rPr>
                  <w:rStyle w:val="Collegamentoipertestuale"/>
                </w:rPr>
                <w:t>1</w:t>
              </w:r>
            </w:hyperlink>
            <w:r w:rsidR="000B33A8" w:rsidRPr="00B26E1F">
              <w:rPr>
                <w:rFonts w:cs="Arial"/>
              </w:rPr>
              <w:t xml:space="preserve"> – Contenuto sostanzialmente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highlight w:val="yellow"/>
              </w:rPr>
            </w:pPr>
          </w:p>
        </w:tc>
      </w:tr>
      <w:tr w:rsidR="000B33A8" w:rsidRPr="008B2DCE" w:rsidTr="00B26E1F">
        <w:trPr>
          <w:trHeight w:val="114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02" w:history="1">
              <w:r w:rsidR="000B33A8" w:rsidRPr="00812559">
                <w:rPr>
                  <w:rStyle w:val="Collegamentoipertestuale"/>
                </w:rPr>
                <w:t>2</w:t>
              </w:r>
            </w:hyperlink>
            <w:r w:rsidR="000B33A8" w:rsidRPr="00B26E1F">
              <w:rPr>
                <w:rFonts w:cs="Arial"/>
              </w:rPr>
              <w:t xml:space="preserve"> – Immediata applicazione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Richiamo all’articolo 15, c. 3, della L. n. 400/1988.</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132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03" w:history="1">
              <w:r w:rsidR="000B33A8" w:rsidRPr="00812559">
                <w:rPr>
                  <w:rStyle w:val="Collegamentoipertestuale"/>
                </w:rPr>
                <w:t>3</w:t>
              </w:r>
            </w:hyperlink>
            <w:r w:rsidR="000B33A8" w:rsidRPr="00B26E1F">
              <w:rPr>
                <w:rFonts w:cs="Arial"/>
              </w:rPr>
              <w:t xml:space="preserve"> – Disposizioni derogatorie della normativa vigente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Si consente alla Banca d’Italia di derogare, in modo generico, alle previsioni di fonti legislative di rango primario e si deroga implicitamente ad una disposizione del codice civile.</w:t>
            </w:r>
          </w:p>
          <w:p w:rsidR="000B33A8" w:rsidRPr="00B26E1F" w:rsidRDefault="000B33A8" w:rsidP="00B26E1F">
            <w:pPr>
              <w:spacing w:before="100" w:beforeAutospacing="1" w:after="100" w:afterAutospacing="1"/>
              <w:ind w:firstLine="0"/>
              <w:rPr>
                <w:rFonts w:cs="Arial"/>
              </w:rPr>
            </w:pPr>
            <w:r w:rsidRPr="00B26E1F">
              <w:rPr>
                <w:rFonts w:cs="Arial"/>
              </w:rPr>
              <w:t>Condizione 2</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02a04" w:history="1">
              <w:r w:rsidR="000B33A8" w:rsidRPr="00812559">
                <w:rPr>
                  <w:rStyle w:val="Collegamentoipertestuale"/>
                </w:rPr>
                <w:t>4</w:t>
              </w:r>
            </w:hyperlink>
            <w:r w:rsidR="000B33A8" w:rsidRPr="00B26E1F">
              <w:rPr>
                <w:rFonts w:cs="Arial"/>
              </w:rPr>
              <w:t xml:space="preserve"> – Coerente utilizzo delle fonti normative: previsione di DPCM a contenuto normativo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Previsione di DPCM a contenuto normativo, in luogo di regolamenti emanati ai sensi dell’articolo 17 della L. n. 400/1988.</w:t>
            </w:r>
          </w:p>
          <w:p w:rsidR="000B33A8" w:rsidRPr="00B26E1F" w:rsidRDefault="000B33A8" w:rsidP="00B26E1F">
            <w:pPr>
              <w:spacing w:before="100" w:beforeAutospacing="1" w:after="100" w:afterAutospacing="1"/>
              <w:ind w:firstLine="0"/>
              <w:rPr>
                <w:rFonts w:cs="Arial"/>
              </w:rPr>
            </w:pPr>
            <w:r w:rsidRPr="00B26E1F">
              <w:rPr>
                <w:rFonts w:cs="Arial"/>
              </w:rPr>
              <w:t>Condizione 3</w:t>
            </w:r>
          </w:p>
        </w:tc>
      </w:tr>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05" w:history="1">
              <w:r w:rsidR="000B33A8" w:rsidRPr="00812559">
                <w:rPr>
                  <w:rStyle w:val="Collegamentoipertestuale"/>
                </w:rPr>
                <w:t>5</w:t>
              </w:r>
            </w:hyperlink>
            <w:r w:rsidR="000B33A8" w:rsidRPr="00B26E1F">
              <w:rPr>
                <w:rFonts w:cs="Arial"/>
              </w:rPr>
              <w:t xml:space="preserve"> – Coordinamento con le fonti normative vigenti: modifiche a norme di recente approvazione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bl>
    <w:p w:rsidR="00C91B98" w:rsidRDefault="00C91B98"/>
    <w:tbl>
      <w:tblPr>
        <w:tblW w:w="5000" w:type="pct"/>
        <w:jc w:val="center"/>
        <w:tblLook w:val="01E0" w:firstRow="1" w:lastRow="1" w:firstColumn="1" w:lastColumn="1" w:noHBand="0" w:noVBand="0"/>
      </w:tblPr>
      <w:tblGrid>
        <w:gridCol w:w="4076"/>
        <w:gridCol w:w="4076"/>
      </w:tblGrid>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2a06" w:history="1">
              <w:r w:rsidR="000B33A8" w:rsidRPr="00B26E1F">
                <w:rPr>
                  <w:rStyle w:val="Collegamentoipertestuale"/>
                  <w:rFonts w:cs="Arial"/>
                </w:rPr>
                <w:t>6</w:t>
              </w:r>
            </w:hyperlink>
            <w:r w:rsidR="000B33A8" w:rsidRPr="00B26E1F">
              <w:rPr>
                <w:rStyle w:val="Collegamentoipertestuale"/>
                <w:rFonts w:cs="Arial"/>
              </w:rPr>
              <w:t xml:space="preserve"> </w:t>
            </w:r>
            <w:r w:rsidR="000B33A8">
              <w:t xml:space="preserve">- </w:t>
            </w:r>
            <w:r w:rsidR="000B33A8" w:rsidRPr="00B26E1F">
              <w:rPr>
                <w:rFonts w:cs="Arial"/>
              </w:rPr>
              <w:t>Coordinamento con le fonti normative vigenti: modifiche non testuali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Modifiche implicite di disposizioni vigenti e sovrapposizione di disposizioni di contenuto analogo.</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C91B98">
            <w:pPr>
              <w:spacing w:before="100" w:beforeAutospacing="1" w:after="100" w:afterAutospacing="1"/>
              <w:ind w:firstLine="0"/>
              <w:rPr>
                <w:rFonts w:cs="Arial"/>
              </w:rPr>
            </w:pPr>
            <w:hyperlink w:anchor="S02a07" w:history="1">
              <w:r w:rsidR="000B33A8" w:rsidRPr="00B26E1F">
                <w:rPr>
                  <w:rStyle w:val="Collegamentoipertestuale"/>
                  <w:rFonts w:cs="Arial"/>
                </w:rPr>
                <w:t>7</w:t>
              </w:r>
            </w:hyperlink>
            <w:r w:rsidR="000B33A8" w:rsidRPr="00B26E1F">
              <w:rPr>
                <w:rFonts w:cs="Arial"/>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Disposizioni che andrebbero collocate in un idoneo contesto normativo.</w:t>
            </w:r>
          </w:p>
          <w:p w:rsidR="000B33A8" w:rsidRPr="00B26E1F" w:rsidRDefault="000B33A8" w:rsidP="00B26E1F">
            <w:pPr>
              <w:spacing w:before="100" w:beforeAutospacing="1" w:after="100" w:afterAutospacing="1"/>
              <w:ind w:firstLine="0"/>
              <w:rPr>
                <w:rFonts w:cs="Arial"/>
              </w:rPr>
            </w:pPr>
            <w:r>
              <w:t>Osservazione 2</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08" w:history="1">
              <w:r w:rsidR="000B33A8" w:rsidRPr="00B26E1F">
                <w:rPr>
                  <w:rStyle w:val="Collegamentoipertestuale"/>
                  <w:rFonts w:cs="Arial"/>
                </w:rPr>
                <w:t>8</w:t>
              </w:r>
            </w:hyperlink>
            <w:r w:rsidR="000B33A8" w:rsidRPr="00B26E1F">
              <w:rPr>
                <w:rFonts w:cs="Arial"/>
              </w:rPr>
              <w:t xml:space="preserve"> – Coordinamento con le fonti normative vigenti: modifiche non testuali ad un testo unico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Modifiche non testuali al testo unico bancario (decreto legislativo n. 385/1993).</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09" w:history="1">
              <w:r w:rsidR="000B33A8" w:rsidRPr="00B26E1F">
                <w:rPr>
                  <w:rStyle w:val="Collegamentoipertestuale"/>
                  <w:rFonts w:cs="Arial"/>
                </w:rPr>
                <w:t>9</w:t>
              </w:r>
            </w:hyperlink>
            <w:r w:rsidR="000B33A8" w:rsidRPr="00B26E1F">
              <w:rPr>
                <w:rFonts w:cs="Arial"/>
              </w:rPr>
              <w:t xml:space="preserve"> – Riferimenti mancanti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Manca l’indicazione della fonte normativa dalla quale desumere in maniera univoca gli indicatori citati nel testo.</w:t>
            </w:r>
          </w:p>
          <w:p w:rsidR="000B33A8" w:rsidRPr="00B26E1F" w:rsidRDefault="000B33A8" w:rsidP="00B26E1F">
            <w:pPr>
              <w:spacing w:before="100" w:beforeAutospacing="1" w:after="100" w:afterAutospacing="1"/>
              <w:ind w:firstLine="0"/>
              <w:rPr>
                <w:rFonts w:cs="Arial"/>
              </w:rPr>
            </w:pPr>
            <w:r w:rsidRPr="00B26E1F">
              <w:rPr>
                <w:rFonts w:cs="Arial"/>
              </w:rPr>
              <w:t>Osservazione 3</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10" w:history="1">
              <w:r w:rsidR="000B33A8" w:rsidRPr="00B26E1F">
                <w:rPr>
                  <w:rStyle w:val="Collegamentoipertestuale"/>
                  <w:rFonts w:cs="Arial"/>
                </w:rPr>
                <w:t>10</w:t>
              </w:r>
            </w:hyperlink>
            <w:r w:rsidR="000B33A8" w:rsidRPr="00B26E1F">
              <w:rPr>
                <w:rFonts w:cs="Arial"/>
              </w:rPr>
              <w:t xml:space="preserve"> – 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Disposizioni meramente ricognitive di norme di rango primario o che esplicitano la propria finalità o che invitano ad applicare disposizioni “secondo le modalità operative più idonee.</w:t>
            </w:r>
          </w:p>
          <w:p w:rsidR="000B33A8" w:rsidRPr="00B26E1F" w:rsidRDefault="000B33A8" w:rsidP="00B26E1F">
            <w:pPr>
              <w:spacing w:before="100" w:beforeAutospacing="1" w:after="100" w:afterAutospacing="1"/>
              <w:ind w:firstLine="0"/>
              <w:rPr>
                <w:rFonts w:cs="Arial"/>
              </w:rPr>
            </w:pPr>
            <w:r w:rsidRPr="00B26E1F">
              <w:rPr>
                <w:rFonts w:cs="Arial"/>
              </w:rPr>
              <w:t>Osservazione 4</w:t>
            </w:r>
          </w:p>
        </w:tc>
      </w:tr>
      <w:tr w:rsidR="000B33A8" w:rsidRPr="008B2DCE" w:rsidTr="00B26E1F">
        <w:trPr>
          <w:trHeight w:val="72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11" w:history="1">
              <w:r w:rsidR="000B33A8" w:rsidRPr="00B26E1F">
                <w:rPr>
                  <w:rStyle w:val="Collegamentoipertestuale"/>
                  <w:rFonts w:cs="Arial"/>
                </w:rPr>
                <w:t>11</w:t>
              </w:r>
            </w:hyperlink>
            <w:r w:rsidR="000B33A8" w:rsidRPr="00B26E1F">
              <w:rPr>
                <w:rFonts w:cs="Arial"/>
              </w:rPr>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Condizione 4</w:t>
            </w:r>
          </w:p>
        </w:tc>
      </w:tr>
      <w:tr w:rsidR="000B33A8" w:rsidRPr="008B2DCE" w:rsidTr="00B26E1F">
        <w:trPr>
          <w:trHeight w:val="70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12" w:history="1">
              <w:r w:rsidR="000B33A8" w:rsidRPr="00B26E1F">
                <w:rPr>
                  <w:rStyle w:val="Collegamentoipertestuale"/>
                  <w:rFonts w:cs="Arial"/>
                </w:rPr>
                <w:t>12</w:t>
              </w:r>
            </w:hyperlink>
            <w:r w:rsidR="000B33A8" w:rsidRPr="00B26E1F">
              <w:rPr>
                <w:rFonts w:cs="Arial"/>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5</w:t>
            </w:r>
          </w:p>
        </w:tc>
      </w:tr>
      <w:tr w:rsidR="000B33A8" w:rsidRPr="008B2DCE" w:rsidTr="00B26E1F">
        <w:trPr>
          <w:trHeight w:val="69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13" w:history="1">
              <w:r w:rsidR="000B33A8" w:rsidRPr="00B26E1F">
                <w:rPr>
                  <w:rStyle w:val="Collegamentoipertestuale"/>
                  <w:rFonts w:cs="Arial"/>
                </w:rPr>
                <w:t>13</w:t>
              </w:r>
            </w:hyperlink>
            <w:r w:rsidR="000B33A8" w:rsidRPr="00B26E1F">
              <w:rPr>
                <w:rFonts w:cs="Arial"/>
              </w:rPr>
              <w:t xml:space="preserve"> – Formulazione del testo: rubriche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6</w:t>
            </w:r>
          </w:p>
        </w:tc>
      </w:tr>
      <w:tr w:rsidR="000B33A8" w:rsidRPr="008B2DCE" w:rsidTr="00C91B98">
        <w:trPr>
          <w:trHeight w:val="55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14" w:history="1">
              <w:r w:rsidR="000B33A8" w:rsidRPr="00B26E1F">
                <w:rPr>
                  <w:rStyle w:val="Collegamentoipertestuale"/>
                  <w:rFonts w:cs="Arial"/>
                </w:rPr>
                <w:t>14</w:t>
              </w:r>
            </w:hyperlink>
            <w:r w:rsidR="000B33A8" w:rsidRPr="00B26E1F">
              <w:rPr>
                <w:rFonts w:cs="Arial"/>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Espressioni mutuate dalla lingua inglese, da specificare nel corretto significato riferito al diritto privato italiano.</w:t>
            </w:r>
          </w:p>
          <w:p w:rsidR="000B33A8" w:rsidRPr="00B26E1F" w:rsidRDefault="000B33A8" w:rsidP="00B26E1F">
            <w:pPr>
              <w:spacing w:before="100" w:beforeAutospacing="1" w:after="100" w:afterAutospacing="1"/>
              <w:ind w:firstLine="0"/>
              <w:rPr>
                <w:rFonts w:cs="Arial"/>
              </w:rPr>
            </w:pPr>
            <w:r w:rsidRPr="00B26E1F">
              <w:rPr>
                <w:rFonts w:cs="Arial"/>
              </w:rPr>
              <w:t>Osservazione 7</w:t>
            </w:r>
          </w:p>
        </w:tc>
      </w:tr>
    </w:tbl>
    <w:p w:rsidR="00C91B98" w:rsidRDefault="00C91B98"/>
    <w:tbl>
      <w:tblPr>
        <w:tblW w:w="5000" w:type="pct"/>
        <w:jc w:val="center"/>
        <w:tblLook w:val="01E0" w:firstRow="1" w:lastRow="1" w:firstColumn="1" w:lastColumn="1" w:noHBand="0" w:noVBand="0"/>
      </w:tblPr>
      <w:tblGrid>
        <w:gridCol w:w="4076"/>
        <w:gridCol w:w="4076"/>
      </w:tblGrid>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2a15" w:history="1">
              <w:r w:rsidR="000B33A8" w:rsidRPr="00B26E1F">
                <w:rPr>
                  <w:rStyle w:val="Collegamentoipertestuale"/>
                  <w:rFonts w:cs="Arial"/>
                </w:rPr>
                <w:t>15</w:t>
              </w:r>
            </w:hyperlink>
            <w:r w:rsidR="000B33A8" w:rsidRPr="00B26E1F">
              <w:rPr>
                <w:rFonts w:cs="Arial"/>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Espressioni imprecise o dal significato tecnico-giuridico di non immediata comprensione.</w:t>
            </w:r>
          </w:p>
          <w:p w:rsidR="000B33A8" w:rsidRPr="00B26E1F" w:rsidRDefault="000B33A8" w:rsidP="00B26E1F">
            <w:pPr>
              <w:spacing w:before="100" w:beforeAutospacing="1" w:after="100" w:afterAutospacing="1"/>
              <w:ind w:firstLine="0"/>
              <w:rPr>
                <w:rFonts w:cs="Arial"/>
              </w:rPr>
            </w:pPr>
            <w:r w:rsidRPr="00B26E1F">
              <w:rPr>
                <w:rFonts w:cs="Arial"/>
              </w:rPr>
              <w:t>Osservazione 8</w:t>
            </w:r>
          </w:p>
          <w:p w:rsidR="000B33A8" w:rsidRPr="00B26E1F" w:rsidRDefault="000B33A8" w:rsidP="00B26E1F">
            <w:pPr>
              <w:spacing w:before="100" w:beforeAutospacing="1" w:after="100" w:afterAutospacing="1"/>
              <w:ind w:firstLine="0"/>
              <w:rPr>
                <w:rFonts w:cs="Arial"/>
              </w:rPr>
            </w:pPr>
            <w:r w:rsidRPr="00B26E1F">
              <w:rPr>
                <w:rFonts w:cs="Arial"/>
              </w:rPr>
              <w:t>Espressioni da riformulare in modo esplicito e più preciso.</w:t>
            </w:r>
          </w:p>
          <w:p w:rsidR="000B33A8" w:rsidRPr="00B26E1F" w:rsidRDefault="000B33A8" w:rsidP="00B26E1F">
            <w:pPr>
              <w:spacing w:before="100" w:beforeAutospacing="1" w:after="100" w:afterAutospacing="1"/>
              <w:ind w:firstLine="0"/>
              <w:rPr>
                <w:rFonts w:cs="Arial"/>
              </w:rPr>
            </w:pPr>
            <w:r w:rsidRPr="00B26E1F">
              <w:rPr>
                <w:rFonts w:cs="Arial"/>
              </w:rPr>
              <w:t>Osservazione 9</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C91B98">
            <w:pPr>
              <w:spacing w:before="100" w:beforeAutospacing="1" w:after="100" w:afterAutospacing="1"/>
              <w:ind w:firstLine="0"/>
              <w:rPr>
                <w:rFonts w:cs="Arial"/>
              </w:rPr>
            </w:pPr>
            <w:hyperlink w:anchor="S02a16" w:history="1">
              <w:r w:rsidR="000B33A8" w:rsidRPr="00B26E1F">
                <w:rPr>
                  <w:rStyle w:val="Collegamentoipertestuale"/>
                  <w:rFonts w:cs="Arial"/>
                </w:rPr>
                <w:t>16</w:t>
              </w:r>
            </w:hyperlink>
            <w:r w:rsidR="000B33A8" w:rsidRPr="00B26E1F">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Assenti. Assente anche il riferimento all’esenzione dall’obbligo di redigere l’AIR. Richiamo all’articolo 9 del DPCM n. 170/2008.</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2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2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bl>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Articolo 15, c. 3 e articolo 17 della legge n. 400/1988; articolo 9 del DPCM n. 170/2008.</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194" w:name="S02a01"/>
      <w:r w:rsidRPr="00B91F58">
        <w:rPr>
          <w:rFonts w:cs="Arial"/>
          <w:szCs w:val="22"/>
        </w:rPr>
        <w:t>1</w:t>
      </w:r>
      <w:bookmarkEnd w:id="194"/>
      <w:r w:rsidRPr="00B91F58">
        <w:rPr>
          <w:rFonts w:cs="Arial"/>
          <w:szCs w:val="22"/>
        </w:rPr>
        <w:t xml:space="preserve"> –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B41A0">
        <w:rPr>
          <w:rFonts w:cs="Arial"/>
          <w:szCs w:val="22"/>
        </w:rPr>
        <w:t xml:space="preserve">il decreto reca un </w:t>
      </w:r>
      <w:r w:rsidRPr="006B41A0">
        <w:rPr>
          <w:rFonts w:cs="Arial"/>
          <w:b/>
          <w:szCs w:val="22"/>
        </w:rPr>
        <w:t>contenuto sostanzialmente omogeneo</w:t>
      </w:r>
      <w:r w:rsidRPr="006B41A0">
        <w:rPr>
          <w:rFonts w:cs="Arial"/>
          <w:szCs w:val="22"/>
        </w:rPr>
        <w:t xml:space="preserve"> per oggetto in quanto prevede misure concernenti la materia delle attività produttive e imprenditoriali, con riferimento tanto alle imprese private (e, in particolare, alla raccolta dei loro mezzi di finanziamento, mediante capitale proprio e di terzi, nonché a finanziamenti e agevolazioni pubbliche) quanto all'attività creditizia (in particolare, mediante una riforma delle banche popolari, la portabilità e confrontabilità dei conti correnti e la possibilità per la SACE di esercitare il credito diretto): tali elementi sono riscontrabili sia nel titolo sia nel preambolo dell'atto</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Default="000B33A8" w:rsidP="000B33A8">
      <w:pPr>
        <w:rPr>
          <w:rFonts w:cs="Arial"/>
          <w:szCs w:val="22"/>
        </w:rPr>
      </w:pPr>
      <w:bookmarkStart w:id="195" w:name="S02a02"/>
      <w:r w:rsidRPr="00B91F58">
        <w:rPr>
          <w:rFonts w:cs="Arial"/>
          <w:szCs w:val="22"/>
        </w:rPr>
        <w:t>2</w:t>
      </w:r>
      <w:bookmarkEnd w:id="195"/>
      <w:r w:rsidRPr="00B91F58">
        <w:rPr>
          <w:rFonts w:cs="Arial"/>
          <w:szCs w:val="22"/>
        </w:rPr>
        <w:t xml:space="preserve"> –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B41A0">
        <w:t xml:space="preserve"> </w:t>
      </w:r>
      <w:r w:rsidRPr="006B41A0">
        <w:rPr>
          <w:rFonts w:cs="Arial"/>
          <w:szCs w:val="22"/>
        </w:rPr>
        <w:t>il decreto reca, in generale, misure di immediata applicabilità; tuttavia in relazione alla disciplina transitoria della riforma delle banche popolari l'articolo 1:</w:t>
      </w:r>
    </w:p>
    <w:p w:rsidR="000B33A8" w:rsidRDefault="000B33A8" w:rsidP="000B33A8">
      <w:pPr>
        <w:rPr>
          <w:rFonts w:cs="Arial"/>
          <w:szCs w:val="22"/>
        </w:rPr>
      </w:pPr>
      <w:r w:rsidRPr="006B41A0">
        <w:rPr>
          <w:rFonts w:cs="Arial"/>
          <w:i/>
          <w:iCs/>
          <w:szCs w:val="22"/>
        </w:rPr>
        <w:t>a)</w:t>
      </w:r>
      <w:r w:rsidRPr="006B41A0">
        <w:rPr>
          <w:rFonts w:cs="Arial"/>
          <w:szCs w:val="22"/>
        </w:rPr>
        <w:t xml:space="preserve"> al comma 1 subordina implicitamente l'efficacia delle limitazioni al diritto al rimborso delle azioni e di altri strumenti finanziari all'entrata in vigore di disposizioni dettate dalla Banca d'Italia;</w:t>
      </w:r>
    </w:p>
    <w:p w:rsidR="000B33A8" w:rsidRPr="00B91F58" w:rsidRDefault="000B33A8" w:rsidP="000B33A8">
      <w:pPr>
        <w:rPr>
          <w:rFonts w:cs="Arial"/>
          <w:szCs w:val="22"/>
        </w:rPr>
      </w:pPr>
      <w:r w:rsidRPr="006B41A0">
        <w:rPr>
          <w:rFonts w:cs="Arial"/>
          <w:i/>
          <w:iCs/>
          <w:szCs w:val="22"/>
        </w:rPr>
        <w:t>b)</w:t>
      </w:r>
      <w:r w:rsidRPr="006B41A0">
        <w:rPr>
          <w:rFonts w:cs="Arial"/>
          <w:szCs w:val="22"/>
        </w:rPr>
        <w:t xml:space="preserve"> al comma 2 prevede che, in fase di prima applicazione, le banche popolari si adeguino ai nuovi limiti dimensionali entro diciotto mesi dalla data di entrata in vigore di disposizioni attuative dettate dalla Banca d'Italia</w:t>
      </w:r>
      <w:r>
        <w:rPr>
          <w:rFonts w:cs="Arial"/>
          <w:szCs w:val="22"/>
        </w:rPr>
        <w:t xml:space="preserve">; </w:t>
      </w:r>
      <w:r w:rsidRPr="006B41A0">
        <w:rPr>
          <w:rFonts w:cs="Arial"/>
          <w:szCs w:val="22"/>
        </w:rPr>
        <w:t>in entrambi i casi non vengono fissati i termini per l'entrata in vigore delle disposizioni della Banca d'Italia, sicché non risulta desumibile il termine iniziale di effettiva applicabilità delle predette disposizioni: tale circostanza suscita perplessità in ordine al rispetto del canone di immediata applicabilità delle misure contenute nei decreti legge, previsto dall'</w:t>
      </w:r>
      <w:r w:rsidRPr="000E04F3">
        <w:rPr>
          <w:rFonts w:cs="Arial"/>
          <w:b/>
          <w:szCs w:val="22"/>
        </w:rPr>
        <w:t>articolo 15, comma 3, della legge n. 400 del 1988</w:t>
      </w:r>
      <w:r w:rsidRPr="006B41A0">
        <w:rPr>
          <w:rFonts w:cs="Arial"/>
          <w:szCs w:val="22"/>
        </w:rPr>
        <w:t>, talché parrebbe opportuna l'individuazione dei predetti termini da parte delle Commissioni di merito</w:t>
      </w:r>
      <w:r w:rsidRPr="00B91F58">
        <w:rPr>
          <w:rFonts w:cs="Arial"/>
          <w:szCs w:val="22"/>
        </w:rPr>
        <w:t>»</w:t>
      </w:r>
      <w:r>
        <w:rPr>
          <w:rFonts w:cs="Arial"/>
          <w:szCs w:val="22"/>
        </w:rPr>
        <w:t xml:space="preserve"> </w:t>
      </w:r>
      <w:r w:rsidRPr="00B91F58">
        <w:rPr>
          <w:rFonts w:cs="Arial"/>
          <w:szCs w:val="22"/>
        </w:rPr>
        <w:t>(</w:t>
      </w:r>
      <w:hyperlink w:anchor="S02c01" w:history="1">
        <w:r>
          <w:rPr>
            <w:rStyle w:val="Collegamentoipertestuale"/>
            <w:rFonts w:cs="Arial"/>
            <w:b/>
            <w:szCs w:val="22"/>
          </w:rPr>
          <w:t>conseguente condizione</w:t>
        </w:r>
      </w:hyperlink>
      <w:r w:rsidRPr="00B91F58">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Default="000B33A8" w:rsidP="000B33A8">
      <w:pPr>
        <w:rPr>
          <w:rFonts w:cs="Arial"/>
          <w:szCs w:val="22"/>
        </w:rPr>
      </w:pPr>
      <w:bookmarkStart w:id="196" w:name="S02a03"/>
      <w:r w:rsidRPr="00B91F58">
        <w:rPr>
          <w:rFonts w:cs="Arial"/>
          <w:szCs w:val="22"/>
        </w:rPr>
        <w:t>3</w:t>
      </w:r>
      <w:bookmarkEnd w:id="196"/>
      <w:r w:rsidRPr="00B91F58">
        <w:rPr>
          <w:rFonts w:cs="Arial"/>
          <w:szCs w:val="22"/>
        </w:rPr>
        <w:t xml:space="preserve"> –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0E04F3">
        <w:rPr>
          <w:rFonts w:cs="Arial"/>
          <w:szCs w:val="22"/>
        </w:rPr>
        <w:t xml:space="preserve">l'articolo 1, comma 1, lettera </w:t>
      </w:r>
      <w:r w:rsidRPr="000E04F3">
        <w:rPr>
          <w:rFonts w:cs="Arial"/>
          <w:i/>
          <w:iCs/>
          <w:szCs w:val="22"/>
        </w:rPr>
        <w:t>a)</w:t>
      </w:r>
      <w:r w:rsidRPr="000E04F3">
        <w:rPr>
          <w:rFonts w:cs="Arial"/>
          <w:szCs w:val="22"/>
        </w:rPr>
        <w:t xml:space="preserve">, già trattato sotto il profilo dell'immediata applicabilità, novella il testo unico bancario prevedendo che, in taluni casi, nelle banche popolari il diritto al rimborso delle azioni e di altri strumenti di capitale “è limitato secondo quanto previsto dalla Banca d'Italia, </w:t>
      </w:r>
      <w:r w:rsidRPr="000E04F3">
        <w:rPr>
          <w:rFonts w:cs="Arial"/>
          <w:b/>
          <w:i/>
          <w:iCs/>
          <w:szCs w:val="22"/>
        </w:rPr>
        <w:t>anche in deroga a norme di legge</w:t>
      </w:r>
      <w:r w:rsidRPr="000E04F3">
        <w:rPr>
          <w:rFonts w:cs="Arial"/>
          <w:szCs w:val="22"/>
        </w:rPr>
        <w:t>, laddove ciò è necessario ad assicurare la computabilità delle azioni nel patrimonio di vigilanza di qualità primaria della banca”. Con ciò il decreto-legge in esame:</w:t>
      </w:r>
    </w:p>
    <w:p w:rsidR="000B33A8" w:rsidRDefault="000B33A8" w:rsidP="000B33A8">
      <w:pPr>
        <w:rPr>
          <w:rFonts w:cs="Arial"/>
          <w:szCs w:val="22"/>
        </w:rPr>
      </w:pPr>
      <w:r w:rsidRPr="000E04F3">
        <w:rPr>
          <w:rFonts w:cs="Arial"/>
          <w:i/>
          <w:iCs/>
          <w:szCs w:val="22"/>
        </w:rPr>
        <w:t>a)</w:t>
      </w:r>
      <w:r w:rsidRPr="000E04F3">
        <w:rPr>
          <w:rFonts w:cs="Arial"/>
          <w:szCs w:val="22"/>
        </w:rPr>
        <w:t xml:space="preserve"> </w:t>
      </w:r>
      <w:r w:rsidRPr="000E04F3">
        <w:rPr>
          <w:rFonts w:cs="Arial"/>
          <w:b/>
          <w:szCs w:val="22"/>
        </w:rPr>
        <w:t>consente a una fonte del diritto subordinata di derogare alle previsioni di fonti legislative di rango primario senza che il legislatore individui puntualmente quali siano le disposizioni derogabili</w:t>
      </w:r>
      <w:r w:rsidRPr="000E04F3">
        <w:rPr>
          <w:rFonts w:cs="Arial"/>
          <w:szCs w:val="22"/>
        </w:rPr>
        <w:t>, bensì solamente la finalità per cui tale potere regolamentare è attribuito e l'oggetto;</w:t>
      </w:r>
    </w:p>
    <w:p w:rsidR="000B33A8" w:rsidRPr="00B91F58" w:rsidRDefault="000B33A8" w:rsidP="000B33A8">
      <w:pPr>
        <w:rPr>
          <w:rFonts w:cs="Arial"/>
          <w:szCs w:val="22"/>
        </w:rPr>
      </w:pPr>
      <w:r w:rsidRPr="000E04F3">
        <w:rPr>
          <w:rFonts w:cs="Arial"/>
          <w:i/>
          <w:iCs/>
          <w:szCs w:val="22"/>
        </w:rPr>
        <w:t>b)</w:t>
      </w:r>
      <w:r w:rsidRPr="000E04F3">
        <w:rPr>
          <w:rFonts w:cs="Arial"/>
          <w:szCs w:val="22"/>
        </w:rPr>
        <w:t xml:space="preserve"> </w:t>
      </w:r>
      <w:r w:rsidRPr="000E04F3">
        <w:rPr>
          <w:rFonts w:cs="Arial"/>
          <w:b/>
          <w:szCs w:val="22"/>
        </w:rPr>
        <w:t>deroga, inoltre, implicitamente alla disciplina dell'articolo 2535 del codice civile</w:t>
      </w:r>
      <w:r w:rsidRPr="000E04F3">
        <w:rPr>
          <w:rFonts w:cs="Arial"/>
          <w:szCs w:val="22"/>
        </w:rPr>
        <w:t xml:space="preserve"> (circa il rimborso delle azioni del socio uscente nelle società cooperative) senza esplicitare tale carattere derogatorio: ciò ha luogo senza che il predetto articolo 2535 sia incluso fra quelli che il decreto stesso (articolo 1, comma 1) prevede come inapplicabili alle banche popolari</w:t>
      </w:r>
      <w:r w:rsidRPr="00B91F58">
        <w:rPr>
          <w:rFonts w:cs="Arial"/>
          <w:szCs w:val="22"/>
        </w:rPr>
        <w:t>»</w:t>
      </w:r>
      <w:r>
        <w:rPr>
          <w:rFonts w:cs="Arial"/>
          <w:szCs w:val="22"/>
        </w:rPr>
        <w:t xml:space="preserve"> </w:t>
      </w:r>
      <w:r w:rsidRPr="00B91F58">
        <w:rPr>
          <w:rFonts w:cs="Arial"/>
          <w:szCs w:val="22"/>
        </w:rPr>
        <w:t>(</w:t>
      </w:r>
      <w:hyperlink w:anchor="S02c02" w:history="1">
        <w:r>
          <w:rPr>
            <w:rStyle w:val="Collegamentoipertestuale"/>
            <w:rFonts w:cs="Arial"/>
            <w:b/>
            <w:szCs w:val="22"/>
          </w:rPr>
          <w:t>conseguente condizione</w:t>
        </w:r>
      </w:hyperlink>
      <w:r w:rsidRPr="00B91F58">
        <w:rPr>
          <w:rFonts w:cs="Arial"/>
          <w:szCs w:val="22"/>
        </w:rPr>
        <w:t>);</w:t>
      </w:r>
    </w:p>
    <w:p w:rsidR="000B33A8" w:rsidRPr="00B91F58" w:rsidRDefault="000B33A8" w:rsidP="000B33A8">
      <w:pPr>
        <w:spacing w:before="100" w:beforeAutospacing="1" w:after="100" w:afterAutospacing="1" w:line="240" w:lineRule="auto"/>
        <w:ind w:firstLine="0"/>
        <w:rPr>
          <w:rFonts w:cs="Arial"/>
          <w:szCs w:val="22"/>
        </w:rPr>
      </w:pPr>
    </w:p>
    <w:p w:rsidR="000B33A8" w:rsidRPr="00B91F58" w:rsidRDefault="000B33A8" w:rsidP="000B33A8">
      <w:pPr>
        <w:spacing w:before="100" w:beforeAutospacing="1" w:after="100" w:afterAutospacing="1" w:line="240" w:lineRule="auto"/>
        <w:ind w:firstLine="0"/>
        <w:rPr>
          <w:rFonts w:cs="Arial"/>
          <w:szCs w:val="22"/>
        </w:rPr>
      </w:pPr>
    </w:p>
    <w:p w:rsidR="000B33A8" w:rsidRPr="00B91F58" w:rsidRDefault="000B33A8" w:rsidP="000B33A8">
      <w:pPr>
        <w:rPr>
          <w:rFonts w:cs="Arial"/>
          <w:szCs w:val="22"/>
        </w:rPr>
      </w:pPr>
      <w:bookmarkStart w:id="197" w:name="S02a04"/>
      <w:r w:rsidRPr="00B91F58">
        <w:rPr>
          <w:rFonts w:cs="Arial"/>
          <w:szCs w:val="22"/>
        </w:rPr>
        <w:t>4</w:t>
      </w:r>
      <w:bookmarkEnd w:id="197"/>
      <w:r w:rsidRPr="00B91F58">
        <w:rPr>
          <w:rFonts w:cs="Arial"/>
          <w:szCs w:val="22"/>
        </w:rPr>
        <w:t xml:space="preserve"> –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F82FD1">
        <w:rPr>
          <w:rFonts w:cs="Arial"/>
          <w:szCs w:val="22"/>
        </w:rPr>
        <w:t xml:space="preserve">l'articolo 7, capoverso articolo 15, comma 7, rinvia ad un </w:t>
      </w:r>
      <w:r w:rsidRPr="00F82FD1">
        <w:rPr>
          <w:rFonts w:cs="Arial"/>
          <w:b/>
          <w:szCs w:val="22"/>
        </w:rPr>
        <w:t>decreto del Presidente del Consiglio dei ministri</w:t>
      </w:r>
      <w:r w:rsidRPr="00F82FD1">
        <w:rPr>
          <w:rFonts w:cs="Arial"/>
          <w:szCs w:val="22"/>
        </w:rPr>
        <w:t xml:space="preserve"> la definizione delle caratteristiche e della quota massima di coperture della garanzia dello Stato, dei criteri e delle modalità di concessione ed escussione della garanzia stessa e degli obblighi verso lo Stato dei soggetti che se ne avvalgono: per costante indirizzo del Comitato per la legislazione, tale circostanza non appare coerente con le esigenze di un appropriato utilizzo delle fonti normative, in quanto si demanda ad un tale atto, ordinariamente a contenuto politico, la definizione di una disciplina che dovrebbe essere oggetto di una fonte secondaria del diritto e, segnatamente, di regolamenti emanati a norma dell'</w:t>
      </w:r>
      <w:r w:rsidRPr="00F82FD1">
        <w:rPr>
          <w:rFonts w:cs="Arial"/>
          <w:b/>
          <w:szCs w:val="22"/>
        </w:rPr>
        <w:t xml:space="preserve">articolo 17 della legge 23 agosto 1988, n. 400 </w:t>
      </w:r>
      <w:r w:rsidRPr="00F82FD1">
        <w:rPr>
          <w:rFonts w:cs="Arial"/>
          <w:szCs w:val="22"/>
        </w:rPr>
        <w:t>(regolamenti governativi nella forma di decreti del Presidente della Repubblica ovvero decreti ministeriali o interministeriali)</w:t>
      </w:r>
      <w:r w:rsidRPr="00B91F58">
        <w:rPr>
          <w:rFonts w:cs="Arial"/>
          <w:szCs w:val="22"/>
        </w:rPr>
        <w:t>»</w:t>
      </w:r>
      <w:r>
        <w:rPr>
          <w:rFonts w:cs="Arial"/>
          <w:szCs w:val="22"/>
        </w:rPr>
        <w:t xml:space="preserve"> </w:t>
      </w:r>
      <w:r w:rsidRPr="00B91F58">
        <w:rPr>
          <w:rFonts w:cs="Arial"/>
          <w:szCs w:val="22"/>
        </w:rPr>
        <w:t>(</w:t>
      </w:r>
      <w:hyperlink w:anchor="S02c03" w:history="1">
        <w:r>
          <w:rPr>
            <w:rStyle w:val="Collegamentoipertestuale"/>
            <w:rFonts w:cs="Arial"/>
            <w:b/>
            <w:szCs w:val="22"/>
          </w:rPr>
          <w:t>conseguente condizione</w:t>
        </w:r>
      </w:hyperlink>
      <w:r w:rsidRPr="00B91F58">
        <w:rPr>
          <w:rFonts w:cs="Arial"/>
          <w:szCs w:val="22"/>
        </w:rPr>
        <w:t xml:space="preserve">); </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198" w:name="S02a05"/>
      <w:r w:rsidRPr="00B91F58">
        <w:rPr>
          <w:rFonts w:cs="Arial"/>
          <w:szCs w:val="22"/>
        </w:rPr>
        <w:t>5</w:t>
      </w:r>
      <w:bookmarkEnd w:id="198"/>
      <w:r w:rsidRPr="00B91F58">
        <w:rPr>
          <w:rFonts w:cs="Arial"/>
          <w:szCs w:val="22"/>
        </w:rPr>
        <w:t xml:space="preserve"> –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A442C">
        <w:rPr>
          <w:rFonts w:cs="Arial"/>
          <w:szCs w:val="22"/>
        </w:rPr>
        <w:t xml:space="preserve">il decreto interviene in più punti su </w:t>
      </w:r>
      <w:r w:rsidRPr="003A442C">
        <w:rPr>
          <w:rFonts w:cs="Arial"/>
          <w:b/>
          <w:szCs w:val="22"/>
        </w:rPr>
        <w:t>norme di recente e recentissima approvazione</w:t>
      </w:r>
      <w:r w:rsidRPr="003A442C">
        <w:rPr>
          <w:rFonts w:cs="Arial"/>
          <w:szCs w:val="22"/>
        </w:rPr>
        <w:t>, circostanza che, come rilevato già in altre occasioni analoghe, costituisce una modalità di produzione legislativa non conforme alle esigenze di stabilità, certezza e semplificazione della legislazione; ciò si riscontra all'articolo 6 (che, all'articolo 26 del decreto del Presidente della Repubblica n.</w:t>
      </w:r>
      <w:r>
        <w:rPr>
          <w:rFonts w:cs="Arial"/>
          <w:szCs w:val="22"/>
        </w:rPr>
        <w:t xml:space="preserve"> </w:t>
      </w:r>
      <w:r w:rsidRPr="003A442C">
        <w:rPr>
          <w:rFonts w:cs="Arial"/>
          <w:szCs w:val="22"/>
        </w:rPr>
        <w:t>600 del 1973, modifica il comma 5-</w:t>
      </w:r>
      <w:r w:rsidRPr="003A442C">
        <w:rPr>
          <w:rFonts w:cs="Arial"/>
          <w:i/>
          <w:iCs/>
          <w:szCs w:val="22"/>
        </w:rPr>
        <w:t>bis</w:t>
      </w:r>
      <w:r w:rsidRPr="003A442C">
        <w:rPr>
          <w:rFonts w:cs="Arial"/>
          <w:szCs w:val="22"/>
        </w:rPr>
        <w:t>, inserito dal decreto-legge n.</w:t>
      </w:r>
      <w:r>
        <w:rPr>
          <w:rFonts w:cs="Arial"/>
          <w:szCs w:val="22"/>
        </w:rPr>
        <w:t xml:space="preserve"> </w:t>
      </w:r>
      <w:r w:rsidRPr="003A442C">
        <w:rPr>
          <w:rFonts w:cs="Arial"/>
          <w:szCs w:val="22"/>
        </w:rPr>
        <w:t>91 del 24 giugno 2014 e già modificato dal decreto-legge n.</w:t>
      </w:r>
      <w:r>
        <w:rPr>
          <w:rFonts w:cs="Arial"/>
          <w:szCs w:val="22"/>
        </w:rPr>
        <w:t xml:space="preserve"> </w:t>
      </w:r>
      <w:r w:rsidRPr="003A442C">
        <w:rPr>
          <w:rFonts w:cs="Arial"/>
          <w:szCs w:val="22"/>
        </w:rPr>
        <w:t>133 del 12 settembre 2014), all'articolo 7 (che modifica il decreto-legge n.</w:t>
      </w:r>
      <w:r>
        <w:rPr>
          <w:rFonts w:cs="Arial"/>
          <w:szCs w:val="22"/>
        </w:rPr>
        <w:t xml:space="preserve"> </w:t>
      </w:r>
      <w:r w:rsidRPr="003A442C">
        <w:rPr>
          <w:rFonts w:cs="Arial"/>
          <w:szCs w:val="22"/>
        </w:rPr>
        <w:t>133 del 12 settembre 2014), nonché, in misura del tutto particolare, all'articolo 5 (il quale incide sulla legge di stabilità per il 2015, modificandola appena 24 giorni dopo la sua entrata in vigore)</w:t>
      </w:r>
      <w:r w:rsidRPr="00B91F58">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199" w:name="S02a06"/>
      <w:r w:rsidRPr="00B91F58">
        <w:rPr>
          <w:rFonts w:cs="Arial"/>
          <w:szCs w:val="22"/>
        </w:rPr>
        <w:t>6</w:t>
      </w:r>
      <w:bookmarkEnd w:id="199"/>
      <w:r w:rsidRPr="00B91F58">
        <w:rPr>
          <w:rFonts w:cs="Arial"/>
          <w:szCs w:val="22"/>
        </w:rPr>
        <w:t xml:space="preserve"> –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DD441B">
        <w:rPr>
          <w:rFonts w:cs="Arial"/>
          <w:szCs w:val="22"/>
        </w:rPr>
        <w:t xml:space="preserve">il decreto </w:t>
      </w:r>
      <w:r w:rsidRPr="00DD441B">
        <w:rPr>
          <w:rFonts w:cs="Arial"/>
          <w:b/>
          <w:szCs w:val="22"/>
        </w:rPr>
        <w:t>incide in maniera implicita su altre disposizioni vigenti</w:t>
      </w:r>
      <w:r w:rsidRPr="00DD441B">
        <w:rPr>
          <w:rFonts w:cs="Arial"/>
          <w:szCs w:val="22"/>
        </w:rPr>
        <w:t>; in particolare, all'articolo 8:</w:t>
      </w:r>
    </w:p>
    <w:p w:rsidR="000B33A8" w:rsidRDefault="000B33A8" w:rsidP="000B33A8">
      <w:pPr>
        <w:rPr>
          <w:rFonts w:cs="Arial"/>
          <w:szCs w:val="22"/>
        </w:rPr>
      </w:pPr>
      <w:r w:rsidRPr="00DD441B">
        <w:rPr>
          <w:rFonts w:cs="Arial"/>
          <w:i/>
          <w:iCs/>
          <w:szCs w:val="22"/>
        </w:rPr>
        <w:t>a)</w:t>
      </w:r>
      <w:r w:rsidRPr="00DD441B">
        <w:rPr>
          <w:rFonts w:cs="Arial"/>
          <w:szCs w:val="22"/>
        </w:rPr>
        <w:t xml:space="preserve"> il comma 1 – che modifica la cosiddetta “nuova legge Sabatini” rendendo facoltativo e non più obbligatorio il ricorso all'apposito </w:t>
      </w:r>
      <w:r w:rsidRPr="00DD441B">
        <w:rPr>
          <w:rFonts w:cs="Arial"/>
          <w:i/>
          <w:iCs/>
          <w:szCs w:val="22"/>
        </w:rPr>
        <w:t>plafond</w:t>
      </w:r>
      <w:r w:rsidRPr="00DD441B">
        <w:rPr>
          <w:rFonts w:cs="Arial"/>
          <w:szCs w:val="22"/>
        </w:rPr>
        <w:t xml:space="preserve"> costituito presso la Cassa depositi e prestiti – integra in maniera non testuale i contenuti dell'articolo 2, commi 2 e 4 del decreto-legge n.</w:t>
      </w:r>
      <w:r>
        <w:rPr>
          <w:rFonts w:cs="Arial"/>
          <w:szCs w:val="22"/>
        </w:rPr>
        <w:t xml:space="preserve"> </w:t>
      </w:r>
      <w:r w:rsidRPr="00DD441B">
        <w:rPr>
          <w:rFonts w:cs="Arial"/>
          <w:szCs w:val="22"/>
        </w:rPr>
        <w:t>69 del 2013</w:t>
      </w:r>
      <w:r>
        <w:rPr>
          <w:rFonts w:cs="Arial"/>
          <w:szCs w:val="22"/>
        </w:rPr>
        <w:t>;</w:t>
      </w:r>
    </w:p>
    <w:p w:rsidR="000B33A8" w:rsidRPr="00B91F58" w:rsidRDefault="000B33A8" w:rsidP="000B33A8">
      <w:pPr>
        <w:rPr>
          <w:rFonts w:cs="Arial"/>
          <w:szCs w:val="22"/>
        </w:rPr>
      </w:pPr>
      <w:r w:rsidRPr="00DD441B">
        <w:rPr>
          <w:rFonts w:cs="Arial"/>
          <w:i/>
          <w:iCs/>
          <w:szCs w:val="22"/>
        </w:rPr>
        <w:t>b)</w:t>
      </w:r>
      <w:r w:rsidRPr="00DD441B">
        <w:rPr>
          <w:rFonts w:cs="Arial"/>
          <w:szCs w:val="22"/>
        </w:rPr>
        <w:t xml:space="preserve"> il comma 2, che demanda l'attuazione dei predetti contributi a un decreto interministeriale, si sovrappone all'analoga previsione contenuta al medesimo articolo 2, comma 5, del decreto-legge n.</w:t>
      </w:r>
      <w:r>
        <w:rPr>
          <w:rFonts w:cs="Arial"/>
          <w:szCs w:val="22"/>
        </w:rPr>
        <w:t xml:space="preserve"> </w:t>
      </w:r>
      <w:r w:rsidRPr="00DD441B">
        <w:rPr>
          <w:rFonts w:cs="Arial"/>
          <w:szCs w:val="22"/>
        </w:rPr>
        <w:t>69 del 2013</w:t>
      </w:r>
      <w:r w:rsidRPr="00B91F58">
        <w:rPr>
          <w:rFonts w:cs="Arial"/>
          <w:szCs w:val="22"/>
        </w:rPr>
        <w:t>»</w:t>
      </w:r>
      <w:r>
        <w:rPr>
          <w:rFonts w:cs="Arial"/>
          <w:szCs w:val="22"/>
        </w:rPr>
        <w:t xml:space="preserve"> </w:t>
      </w:r>
      <w:r w:rsidRPr="00B91F58">
        <w:rPr>
          <w:rFonts w:cs="Arial"/>
          <w:szCs w:val="22"/>
        </w:rPr>
        <w:t>(</w:t>
      </w:r>
      <w:hyperlink w:anchor="S02o01" w:history="1">
        <w:r>
          <w:rPr>
            <w:rStyle w:val="Collegamentoipertestuale"/>
            <w:rFonts w:cs="Arial"/>
            <w:b/>
            <w:szCs w:val="22"/>
          </w:rPr>
          <w:t>conseguente osservazione</w:t>
        </w:r>
      </w:hyperlink>
      <w:r w:rsidRPr="00B91F58">
        <w:rPr>
          <w:rFonts w:cs="Arial"/>
          <w:szCs w:val="22"/>
        </w:rPr>
        <w:t xml:space="preserve">) </w:t>
      </w:r>
    </w:p>
    <w:p w:rsidR="000B33A8" w:rsidRPr="00B91F58" w:rsidRDefault="000B33A8" w:rsidP="000B33A8">
      <w:pPr>
        <w:rPr>
          <w:rFonts w:cs="Arial"/>
          <w:szCs w:val="22"/>
        </w:rPr>
      </w:pPr>
    </w:p>
    <w:p w:rsidR="000B33A8" w:rsidRPr="00B91F58" w:rsidRDefault="000B33A8" w:rsidP="000B33A8">
      <w:pPr>
        <w:rPr>
          <w:rFonts w:cs="Arial"/>
          <w:szCs w:val="22"/>
        </w:rPr>
      </w:pPr>
      <w:bookmarkStart w:id="200" w:name="S02a07"/>
      <w:r w:rsidRPr="00B91F58">
        <w:rPr>
          <w:rFonts w:cs="Arial"/>
          <w:szCs w:val="22"/>
        </w:rPr>
        <w:t>7</w:t>
      </w:r>
      <w:bookmarkEnd w:id="200"/>
      <w:r w:rsidRPr="00B91F58">
        <w:rPr>
          <w:rFonts w:cs="Arial"/>
          <w:szCs w:val="22"/>
        </w:rPr>
        <w:t xml:space="preserve"> –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4D6140">
        <w:rPr>
          <w:rFonts w:cs="Arial"/>
          <w:szCs w:val="22"/>
        </w:rPr>
        <w:t xml:space="preserve">talune disposizioni del provvedimento andrebbero </w:t>
      </w:r>
      <w:r w:rsidRPr="004D6140">
        <w:rPr>
          <w:rFonts w:cs="Arial"/>
          <w:b/>
          <w:szCs w:val="22"/>
        </w:rPr>
        <w:t>collocate in un idoneo contesto normativo</w:t>
      </w:r>
      <w:r w:rsidRPr="004D6140">
        <w:rPr>
          <w:rFonts w:cs="Arial"/>
          <w:szCs w:val="22"/>
        </w:rPr>
        <w:t xml:space="preserve">; a titolo esemplificativo: l'articolo 3, sulle </w:t>
      </w:r>
      <w:r w:rsidRPr="004D6140">
        <w:rPr>
          <w:rFonts w:cs="Arial"/>
          <w:szCs w:val="22"/>
        </w:rPr>
        <w:lastRenderedPageBreak/>
        <w:t>funzioni di SACE Spa; all'articolo 4, i commi da 2 a 9, sull'istituzione di un'apposita sezione speciale del registro delle imprese dedicata alle piccole e medie imprese innovative; all'articolo 5, i commi 2 e 3, sulle funzioni della Fondazione Istituto Italiano di tecnologia e i suoi rapporti con gli enti pubblici di ricerca</w:t>
      </w:r>
      <w:r w:rsidRPr="00B91F58">
        <w:rPr>
          <w:rFonts w:cs="Arial"/>
          <w:szCs w:val="22"/>
        </w:rPr>
        <w:t>»</w:t>
      </w:r>
      <w:r>
        <w:rPr>
          <w:rFonts w:cs="Arial"/>
          <w:szCs w:val="22"/>
        </w:rPr>
        <w:t xml:space="preserve"> </w:t>
      </w:r>
      <w:r w:rsidRPr="00B91F58">
        <w:rPr>
          <w:rFonts w:cs="Arial"/>
          <w:szCs w:val="22"/>
        </w:rPr>
        <w:t>(</w:t>
      </w:r>
      <w:hyperlink w:anchor="S02o02"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201" w:name="S02a08"/>
      <w:r>
        <w:rPr>
          <w:rFonts w:cs="Arial"/>
          <w:szCs w:val="22"/>
        </w:rPr>
        <w:t>8</w:t>
      </w:r>
      <w:bookmarkEnd w:id="201"/>
      <w:r>
        <w:rPr>
          <w:rFonts w:cs="Arial"/>
          <w:szCs w:val="22"/>
        </w:rPr>
        <w:t xml:space="preserve"> -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Pr>
          <w:rStyle w:val="Collegamentoipertestuale"/>
          <w:rFonts w:cs="Arial"/>
          <w:szCs w:val="22"/>
        </w:rPr>
        <w:t xml:space="preserve"> </w:t>
      </w:r>
      <w:r w:rsidRPr="00B91F58">
        <w:rPr>
          <w:rFonts w:cs="Arial"/>
          <w:szCs w:val="22"/>
        </w:rPr>
        <w:t>«</w:t>
      </w:r>
      <w:r w:rsidRPr="004D6140">
        <w:rPr>
          <w:rFonts w:cs="Arial"/>
          <w:szCs w:val="22"/>
        </w:rPr>
        <w:t xml:space="preserve">l'articolo 2, sulla portabilità dei conti correnti, </w:t>
      </w:r>
      <w:r w:rsidRPr="004D6140">
        <w:rPr>
          <w:rFonts w:cs="Arial"/>
          <w:b/>
          <w:szCs w:val="22"/>
        </w:rPr>
        <w:t>incide non testualmente su materie disciplinate dal testo unico bancario</w:t>
      </w:r>
      <w:r w:rsidRPr="004D6140">
        <w:rPr>
          <w:rFonts w:cs="Arial"/>
          <w:szCs w:val="22"/>
        </w:rPr>
        <w:t xml:space="preserve"> (decreto legislativo n.</w:t>
      </w:r>
      <w:r>
        <w:rPr>
          <w:rFonts w:cs="Arial"/>
          <w:szCs w:val="22"/>
        </w:rPr>
        <w:t xml:space="preserve"> </w:t>
      </w:r>
      <w:r w:rsidRPr="004D6140">
        <w:rPr>
          <w:rFonts w:cs="Arial"/>
          <w:szCs w:val="22"/>
        </w:rPr>
        <w:t>385 del 1993) compromettendone così i caratteri di unitarietà ed onnicomprensività, propri di un “codice” riferito ad un determinato settore disciplinare: nel quadro del citato testo unico la portabilità dei conti correnti potrebbe idoneamente essere disciplinata in un nuovo articolo 120-</w:t>
      </w:r>
      <w:r w:rsidRPr="004D6140">
        <w:rPr>
          <w:rFonts w:cs="Arial"/>
          <w:i/>
          <w:iCs/>
          <w:szCs w:val="22"/>
        </w:rPr>
        <w:t>quinquies</w:t>
      </w:r>
      <w:r w:rsidRPr="004D6140">
        <w:rPr>
          <w:rFonts w:cs="Arial"/>
          <w:szCs w:val="22"/>
        </w:rPr>
        <w:t xml:space="preserve"> (dopo l'articolo 120-</w:t>
      </w:r>
      <w:r w:rsidRPr="004D6140">
        <w:rPr>
          <w:rFonts w:cs="Arial"/>
          <w:i/>
          <w:iCs/>
          <w:szCs w:val="22"/>
        </w:rPr>
        <w:t>quater</w:t>
      </w:r>
      <w:r w:rsidRPr="004D6140">
        <w:rPr>
          <w:rFonts w:cs="Arial"/>
          <w:szCs w:val="22"/>
        </w:rPr>
        <w:t xml:space="preserve"> che appunto disciplina la correlata fattispecie della surrogazione e della portabilità nei contratti di finanziamento), da collocare nel Capo I (Operazioni e servizi bancari e finanziari) del Titolo VI (Trasparenza delle condizioni contrattual</w:t>
      </w:r>
      <w:r>
        <w:rPr>
          <w:rFonts w:cs="Arial"/>
          <w:szCs w:val="22"/>
        </w:rPr>
        <w:t>i e dei rapporti con i clienti)</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202" w:name="S02a09"/>
      <w:r>
        <w:rPr>
          <w:rFonts w:cs="Arial"/>
          <w:szCs w:val="22"/>
        </w:rPr>
        <w:t>9</w:t>
      </w:r>
      <w:bookmarkEnd w:id="202"/>
      <w:r>
        <w:rPr>
          <w:rFonts w:cs="Arial"/>
          <w:szCs w:val="22"/>
        </w:rPr>
        <w:t xml:space="preserve"> </w:t>
      </w:r>
      <w:r w:rsidRPr="00B91F58">
        <w:rPr>
          <w:rFonts w:cs="Arial"/>
          <w:szCs w:val="22"/>
        </w:rPr>
        <w:t xml:space="preserve">–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8562F">
        <w:rPr>
          <w:rFonts w:cs="Arial"/>
          <w:szCs w:val="22"/>
        </w:rPr>
        <w:t xml:space="preserve">l'articolo 2, comma 4, nel novellare l'articolo 116 del testo unico bancario, prevede l'uso di bancomat e siti internet per rendere noti “gli indicatori che assicurano la trasparenza informativa alla clientela, quali l'indicatore sintetico di costo e il profilo dell'utente”: riguardo a tale formulazione, andrebbe valutata l'opportunità di </w:t>
      </w:r>
      <w:r w:rsidRPr="0098562F">
        <w:rPr>
          <w:rFonts w:cs="Arial"/>
          <w:b/>
          <w:szCs w:val="22"/>
        </w:rPr>
        <w:t>indicare la fonte normativa</w:t>
      </w:r>
      <w:r w:rsidRPr="0098562F">
        <w:rPr>
          <w:rFonts w:cs="Arial"/>
          <w:szCs w:val="22"/>
        </w:rPr>
        <w:t xml:space="preserve"> da cui tali indicatori siano desumibili in maniera univoca, tenendo conto che la direttiva UE n.</w:t>
      </w:r>
      <w:r>
        <w:rPr>
          <w:rFonts w:cs="Arial"/>
          <w:szCs w:val="22"/>
        </w:rPr>
        <w:t xml:space="preserve"> </w:t>
      </w:r>
      <w:r w:rsidRPr="0098562F">
        <w:rPr>
          <w:rFonts w:cs="Arial"/>
          <w:szCs w:val="22"/>
        </w:rPr>
        <w:t>92 del 2014 prevede che la comparabilità delle spese bancarie (propedeutica alla trasparenza delle informazioni sulle spese e alla possibilità di trasferimento del conto) sia meglio assicurata da una “terminologia standardizzata” e da un “formato uniforme” delle informazioni rese ai consumatori (si vedano i considerando 15 e seguenti delle premesse e gli articoli 3 e 4 della direttiva stessa)</w:t>
      </w:r>
      <w:r w:rsidRPr="00B91F58">
        <w:rPr>
          <w:rFonts w:cs="Arial"/>
          <w:szCs w:val="22"/>
        </w:rPr>
        <w:t>»</w:t>
      </w:r>
      <w:r>
        <w:rPr>
          <w:rFonts w:cs="Arial"/>
          <w:szCs w:val="22"/>
        </w:rPr>
        <w:t xml:space="preserve"> </w:t>
      </w:r>
      <w:r w:rsidRPr="00B91F58">
        <w:rPr>
          <w:rFonts w:cs="Arial"/>
          <w:szCs w:val="22"/>
        </w:rPr>
        <w:t>(</w:t>
      </w:r>
      <w:hyperlink w:anchor="S02o03" w:history="1">
        <w:r>
          <w:rPr>
            <w:rStyle w:val="Collegamentoipertestuale"/>
            <w:rFonts w:cs="Arial"/>
            <w:b/>
            <w:szCs w:val="22"/>
          </w:rPr>
          <w:t>conseguente osservazione</w:t>
        </w:r>
      </w:hyperlink>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203" w:name="S02a10"/>
      <w:r>
        <w:rPr>
          <w:rFonts w:cs="Arial"/>
          <w:szCs w:val="22"/>
        </w:rPr>
        <w:t>10</w:t>
      </w:r>
      <w:bookmarkEnd w:id="203"/>
      <w:r>
        <w:rPr>
          <w:rFonts w:cs="Arial"/>
          <w:szCs w:val="22"/>
        </w:rPr>
        <w:t xml:space="preserve"> </w:t>
      </w:r>
      <w:r w:rsidRPr="00B91F58">
        <w:rPr>
          <w:rFonts w:cs="Arial"/>
          <w:szCs w:val="22"/>
        </w:rPr>
        <w:t xml:space="preserve">–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AD0746">
        <w:rPr>
          <w:rFonts w:cs="Arial"/>
          <w:szCs w:val="22"/>
        </w:rPr>
        <w:t xml:space="preserve">l'articolo 3, che consente alla SACE di esercitare l'attività creditizia, reca numerose previsioni prive ovvero di </w:t>
      </w:r>
      <w:r w:rsidRPr="00AD0746">
        <w:rPr>
          <w:rFonts w:cs="Arial"/>
          <w:b/>
          <w:szCs w:val="22"/>
        </w:rPr>
        <w:t>dubbia portata normativa</w:t>
      </w:r>
      <w:r w:rsidRPr="00AD0746">
        <w:rPr>
          <w:rFonts w:cs="Arial"/>
          <w:szCs w:val="22"/>
        </w:rPr>
        <w:t>, in quanto dichiarative di finalità, volte a richiamare l'osservanza della normativa vigente, o a disporre, piuttosto pleonasticamente, che la società applichi le disposizioni secondo “le modalità operative più idonee”</w:t>
      </w:r>
      <w:r w:rsidRPr="00B91F58">
        <w:rPr>
          <w:rFonts w:cs="Arial"/>
          <w:szCs w:val="22"/>
        </w:rPr>
        <w:t>»</w:t>
      </w:r>
      <w:r>
        <w:rPr>
          <w:rFonts w:cs="Arial"/>
          <w:szCs w:val="22"/>
        </w:rPr>
        <w:t xml:space="preserve"> </w:t>
      </w:r>
      <w:r w:rsidRPr="00B91F58">
        <w:rPr>
          <w:rFonts w:cs="Arial"/>
          <w:szCs w:val="22"/>
        </w:rPr>
        <w:t>(</w:t>
      </w:r>
      <w:hyperlink w:anchor="S02o04" w:history="1">
        <w:r>
          <w:rPr>
            <w:rStyle w:val="Collegamentoipertestuale"/>
            <w:rFonts w:cs="Arial"/>
            <w:b/>
            <w:szCs w:val="22"/>
          </w:rPr>
          <w:t>conseguente osservazione</w:t>
        </w:r>
      </w:hyperlink>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204" w:name="S02a11"/>
      <w:r>
        <w:rPr>
          <w:rFonts w:cs="Arial"/>
          <w:szCs w:val="22"/>
        </w:rPr>
        <w:lastRenderedPageBreak/>
        <w:t>11</w:t>
      </w:r>
      <w:bookmarkEnd w:id="204"/>
      <w:r>
        <w:rPr>
          <w:rFonts w:cs="Arial"/>
          <w:szCs w:val="22"/>
        </w:rPr>
        <w:t xml:space="preserve"> </w:t>
      </w:r>
      <w:r w:rsidRPr="00B91F58">
        <w:rPr>
          <w:rFonts w:cs="Arial"/>
          <w:szCs w:val="22"/>
        </w:rPr>
        <w:t xml:space="preserve">–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w:t>
      </w:r>
      <w:r w:rsidRPr="00696BFE">
        <w:t xml:space="preserve"> </w:t>
      </w:r>
      <w:r w:rsidRPr="00696BFE">
        <w:rPr>
          <w:rFonts w:cs="Arial"/>
          <w:szCs w:val="22"/>
        </w:rPr>
        <w:t>all'articolo 4, il comma 4 richiama il regime di pubblicità di cui al comma 3; si dovrebbe invece fare riferimento al comma 2</w:t>
      </w:r>
      <w:r w:rsidRPr="00B91F58">
        <w:rPr>
          <w:rFonts w:cs="Arial"/>
          <w:szCs w:val="22"/>
        </w:rPr>
        <w:t>»</w:t>
      </w:r>
      <w:r>
        <w:rPr>
          <w:rFonts w:cs="Arial"/>
          <w:szCs w:val="22"/>
        </w:rPr>
        <w:t xml:space="preserve"> </w:t>
      </w:r>
      <w:r w:rsidRPr="00B91F58">
        <w:rPr>
          <w:rFonts w:cs="Arial"/>
          <w:szCs w:val="22"/>
        </w:rPr>
        <w:t>(</w:t>
      </w:r>
      <w:hyperlink w:anchor="S02c04" w:history="1">
        <w:r w:rsidRPr="00B91F58">
          <w:rPr>
            <w:rStyle w:val="Collegamentoipertestuale"/>
            <w:rFonts w:cs="Arial"/>
            <w:b/>
            <w:szCs w:val="22"/>
          </w:rPr>
          <w:t>conseguente condizione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205" w:name="S02a12"/>
      <w:r>
        <w:rPr>
          <w:rFonts w:cs="Arial"/>
          <w:szCs w:val="22"/>
        </w:rPr>
        <w:t>12</w:t>
      </w:r>
      <w:bookmarkEnd w:id="205"/>
      <w:r>
        <w:rPr>
          <w:rFonts w:cs="Arial"/>
          <w:szCs w:val="22"/>
        </w:rPr>
        <w:t xml:space="preserve"> </w:t>
      </w:r>
      <w:r w:rsidRPr="00B91F58">
        <w:rPr>
          <w:rFonts w:cs="Arial"/>
          <w:szCs w:val="22"/>
        </w:rPr>
        <w:t xml:space="preserve">–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35F63">
        <w:rPr>
          <w:rFonts w:cs="Arial"/>
          <w:szCs w:val="22"/>
        </w:rPr>
        <w:t xml:space="preserve">l'articolo 4, che definisce e promuove le PMI innovative, è finalizzato, come spiega la relazione illustrativa, ad estendere loro le misure già previste a favore delle </w:t>
      </w:r>
      <w:r w:rsidRPr="00635F63">
        <w:rPr>
          <w:rFonts w:cs="Arial"/>
          <w:i/>
          <w:iCs/>
          <w:szCs w:val="22"/>
        </w:rPr>
        <w:t>start-up</w:t>
      </w:r>
      <w:r w:rsidRPr="00635F63">
        <w:rPr>
          <w:rFonts w:cs="Arial"/>
          <w:szCs w:val="22"/>
        </w:rPr>
        <w:t xml:space="preserve"> innovative; il comma 10, in particolare, modifica il comma 1 dell'articolo 100-</w:t>
      </w:r>
      <w:r w:rsidRPr="00635F63">
        <w:rPr>
          <w:rFonts w:cs="Arial"/>
          <w:i/>
          <w:iCs/>
          <w:szCs w:val="22"/>
        </w:rPr>
        <w:t>ter</w:t>
      </w:r>
      <w:r w:rsidRPr="00635F63">
        <w:rPr>
          <w:rFonts w:cs="Arial"/>
          <w:szCs w:val="22"/>
        </w:rPr>
        <w:t xml:space="preserve"> del testo unico della finanza per estendere alle PMI innovative la possibilità, già prevista per le </w:t>
      </w:r>
      <w:r w:rsidRPr="00635F63">
        <w:rPr>
          <w:rFonts w:cs="Arial"/>
          <w:i/>
          <w:iCs/>
          <w:szCs w:val="22"/>
        </w:rPr>
        <w:t>startup</w:t>
      </w:r>
      <w:r w:rsidRPr="00635F63">
        <w:rPr>
          <w:rFonts w:cs="Arial"/>
          <w:szCs w:val="22"/>
        </w:rPr>
        <w:t xml:space="preserve"> innovative, di raccogliere fondi attraverso portali internet, senza tuttavia intervenire sul comma 2 del medesimo articolo 100-</w:t>
      </w:r>
      <w:r w:rsidRPr="00635F63">
        <w:rPr>
          <w:rFonts w:cs="Arial"/>
          <w:i/>
          <w:iCs/>
          <w:szCs w:val="22"/>
        </w:rPr>
        <w:t>ter</w:t>
      </w:r>
      <w:r w:rsidRPr="00635F63">
        <w:rPr>
          <w:rFonts w:cs="Arial"/>
          <w:szCs w:val="22"/>
        </w:rPr>
        <w:t xml:space="preserve">, che concerne i poteri regolamentari della Consob e che continua a fare riferimento solo alle </w:t>
      </w:r>
      <w:r w:rsidRPr="00635F63">
        <w:rPr>
          <w:rFonts w:cs="Arial"/>
          <w:i/>
          <w:iCs/>
          <w:szCs w:val="22"/>
        </w:rPr>
        <w:t>startup</w:t>
      </w:r>
      <w:r w:rsidRPr="00635F63">
        <w:rPr>
          <w:rFonts w:cs="Arial"/>
          <w:szCs w:val="22"/>
        </w:rPr>
        <w:t xml:space="preserve"> innovative e non anche alle PMI innovative: al riguardo le Commissioni dovrebbero valutare se la mancata equiparazione nel comma 2 abbia un fondamento in una voluta differenziazione della disciplina ovvero se sia necessario modificare anche il comma 2</w:t>
      </w:r>
      <w:r w:rsidRPr="00B91F58">
        <w:rPr>
          <w:rFonts w:cs="Arial"/>
          <w:szCs w:val="22"/>
        </w:rPr>
        <w:t>»</w:t>
      </w:r>
      <w:r>
        <w:rPr>
          <w:rFonts w:cs="Arial"/>
          <w:szCs w:val="22"/>
        </w:rPr>
        <w:t xml:space="preserve"> </w:t>
      </w:r>
      <w:r w:rsidRPr="00B91F58">
        <w:rPr>
          <w:rFonts w:cs="Arial"/>
          <w:szCs w:val="22"/>
        </w:rPr>
        <w:t>(</w:t>
      </w:r>
      <w:hyperlink w:anchor="S02o05"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206" w:name="S02a13"/>
      <w:r>
        <w:rPr>
          <w:rFonts w:cs="Arial"/>
          <w:szCs w:val="22"/>
        </w:rPr>
        <w:t>13</w:t>
      </w:r>
      <w:bookmarkEnd w:id="206"/>
      <w:r>
        <w:rPr>
          <w:rFonts w:cs="Arial"/>
          <w:szCs w:val="22"/>
        </w:rPr>
        <w:t xml:space="preserve"> </w:t>
      </w:r>
      <w:r w:rsidRPr="00B91F58">
        <w:rPr>
          <w:rFonts w:cs="Arial"/>
          <w:szCs w:val="22"/>
        </w:rPr>
        <w:t xml:space="preserve">–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F56878">
        <w:rPr>
          <w:rFonts w:cs="Arial"/>
          <w:szCs w:val="22"/>
        </w:rPr>
        <w:t xml:space="preserve">la rubrica dell'articolo 5, che recita: “Modifiche alla tassazione dei redditi derivanti dai beni immateriali e credito d'imposta per acquisto beni strumentali nuovi”, non rappresenta correttamente i contenuti dell'articolo stesso, il quale: </w:t>
      </w:r>
      <w:r w:rsidRPr="00F56878">
        <w:rPr>
          <w:rFonts w:cs="Arial"/>
          <w:i/>
          <w:iCs/>
          <w:szCs w:val="22"/>
        </w:rPr>
        <w:t>a)</w:t>
      </w:r>
      <w:r w:rsidRPr="00F56878">
        <w:rPr>
          <w:rFonts w:cs="Arial"/>
          <w:szCs w:val="22"/>
        </w:rPr>
        <w:t xml:space="preserve"> non contiene misure di credito d'imposta, </w:t>
      </w:r>
      <w:r w:rsidRPr="00F56878">
        <w:rPr>
          <w:rFonts w:cs="Arial"/>
          <w:i/>
          <w:iCs/>
          <w:szCs w:val="22"/>
        </w:rPr>
        <w:t>b)</w:t>
      </w:r>
      <w:r w:rsidRPr="00F56878">
        <w:rPr>
          <w:rFonts w:cs="Arial"/>
          <w:szCs w:val="22"/>
        </w:rPr>
        <w:t xml:space="preserve"> tratta, invece, diffusamente della Fondazione Istituto Italiano di Tecnologia</w:t>
      </w:r>
      <w:r w:rsidRPr="00B91F58">
        <w:rPr>
          <w:rFonts w:cs="Arial"/>
          <w:szCs w:val="22"/>
        </w:rPr>
        <w:t>»</w:t>
      </w:r>
      <w:r>
        <w:rPr>
          <w:rFonts w:cs="Arial"/>
          <w:szCs w:val="22"/>
        </w:rPr>
        <w:t xml:space="preserve"> </w:t>
      </w:r>
      <w:r w:rsidRPr="00B91F58">
        <w:rPr>
          <w:rFonts w:cs="Arial"/>
          <w:szCs w:val="22"/>
        </w:rPr>
        <w:t>(</w:t>
      </w:r>
      <w:hyperlink w:anchor="S02o06"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207" w:name="S02a14"/>
      <w:r>
        <w:rPr>
          <w:rFonts w:cs="Arial"/>
          <w:szCs w:val="22"/>
        </w:rPr>
        <w:t>14</w:t>
      </w:r>
      <w:bookmarkEnd w:id="207"/>
      <w:r>
        <w:rPr>
          <w:rFonts w:cs="Arial"/>
          <w:szCs w:val="22"/>
        </w:rPr>
        <w:t xml:space="preserve"> </w:t>
      </w:r>
      <w:r w:rsidRPr="00B91F58">
        <w:rPr>
          <w:rFonts w:cs="Arial"/>
          <w:szCs w:val="22"/>
        </w:rPr>
        <w:t xml:space="preserve">–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F56878">
        <w:rPr>
          <w:rFonts w:cs="Arial"/>
          <w:szCs w:val="22"/>
        </w:rPr>
        <w:t>l'articolo 7, comma 1, sostituisce l'articolo 15 del decreto-legge n.</w:t>
      </w:r>
      <w:r>
        <w:rPr>
          <w:rFonts w:cs="Arial"/>
          <w:szCs w:val="22"/>
        </w:rPr>
        <w:t xml:space="preserve"> </w:t>
      </w:r>
      <w:r w:rsidRPr="00F56878">
        <w:rPr>
          <w:rFonts w:cs="Arial"/>
          <w:szCs w:val="22"/>
        </w:rPr>
        <w:t xml:space="preserve">133 del 2014, per disciplinare la “Società di servizio per la patrimonializzazione e la ristrutturazione delle imprese”; la nuova società può, in particolare (comma 2 del nuovo articolo 15), subentrare in rapporti giuridici esistenti “anche ridefinendone </w:t>
      </w:r>
      <w:r w:rsidRPr="00F56878">
        <w:rPr>
          <w:rFonts w:cs="Arial"/>
          <w:i/>
          <w:iCs/>
          <w:szCs w:val="22"/>
        </w:rPr>
        <w:t>le condizioni e i termini</w:t>
      </w:r>
      <w:r w:rsidRPr="00F56878">
        <w:rPr>
          <w:rFonts w:cs="Arial"/>
          <w:szCs w:val="22"/>
        </w:rPr>
        <w:t xml:space="preserve">”; ora, </w:t>
      </w:r>
      <w:r w:rsidRPr="00F56878">
        <w:rPr>
          <w:rFonts w:cs="Arial"/>
          <w:b/>
          <w:szCs w:val="22"/>
        </w:rPr>
        <w:t>le espressioni</w:t>
      </w:r>
      <w:r w:rsidRPr="00F56878">
        <w:rPr>
          <w:rFonts w:cs="Arial"/>
          <w:szCs w:val="22"/>
        </w:rPr>
        <w:t xml:space="preserve"> “condizioni e termini”, “termini e condizioni” e simili, abbastanza frequenti nella legislazione più recente, sono un calco fonetico dell'espressione giuridica inglese </w:t>
      </w:r>
      <w:r w:rsidRPr="00F56878">
        <w:rPr>
          <w:rFonts w:cs="Arial"/>
          <w:i/>
          <w:iCs/>
          <w:szCs w:val="22"/>
        </w:rPr>
        <w:t>“terms and conditions</w:t>
      </w:r>
      <w:r w:rsidRPr="00F56878">
        <w:rPr>
          <w:rFonts w:cs="Arial"/>
          <w:szCs w:val="22"/>
        </w:rPr>
        <w:t xml:space="preserve">” la quale indica il complesso delle previsioni o clausole contrattuali, sia nei diritti nazionali inglese, statunitense ecc. sia nel diritto dei contratti internazionali, ove è molto usata; nel diritto privato italiano, tuttavia, le “condizioni” e i “termini” indicano tradizionalmente nozioni diverse, più delimitate, elementi accidentali del negozio giuridico che non includono l'intera gamma del contenuto contrattuale (ad es. non concernono la trasformazione dei tassi d'interesse, le modalità di pagamento diverse dai termini veri e propri, la prestazione di garanzie patrimoniali e personali ecc.); pertanto, appare opportuno </w:t>
      </w:r>
      <w:r w:rsidRPr="00F56878">
        <w:rPr>
          <w:rFonts w:cs="Arial"/>
          <w:szCs w:val="22"/>
        </w:rPr>
        <w:lastRenderedPageBreak/>
        <w:t>evitare l'uso di traduzioni che nonostante l'assonanza fonetica rinviano a nozioni diverse nonché di formulazioni che si prestano ad equivoci, per quanto sopra esposto, circa l'effettiva intenzione del legislatore, ed uniformare la terminologia del provvedimento in esame a quella del codice civile</w:t>
      </w:r>
      <w:r w:rsidRPr="00B91F58">
        <w:rPr>
          <w:rFonts w:cs="Arial"/>
          <w:szCs w:val="22"/>
        </w:rPr>
        <w:t>»</w:t>
      </w:r>
      <w:r>
        <w:rPr>
          <w:rFonts w:cs="Arial"/>
          <w:szCs w:val="22"/>
        </w:rPr>
        <w:t xml:space="preserve"> </w:t>
      </w:r>
      <w:r w:rsidRPr="00B91F58">
        <w:rPr>
          <w:rFonts w:cs="Arial"/>
          <w:szCs w:val="22"/>
        </w:rPr>
        <w:t>(</w:t>
      </w:r>
      <w:hyperlink w:anchor="S02o07"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208" w:name="S02a15"/>
      <w:r>
        <w:rPr>
          <w:rFonts w:cs="Arial"/>
          <w:szCs w:val="22"/>
        </w:rPr>
        <w:t>15</w:t>
      </w:r>
      <w:bookmarkEnd w:id="208"/>
      <w:r>
        <w:rPr>
          <w:rFonts w:cs="Arial"/>
          <w:szCs w:val="22"/>
        </w:rPr>
        <w:t xml:space="preserve"> </w:t>
      </w:r>
      <w:r w:rsidRPr="00B91F58">
        <w:rPr>
          <w:rFonts w:cs="Arial"/>
          <w:szCs w:val="22"/>
        </w:rPr>
        <w:t xml:space="preserve">–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Pr>
          <w:rFonts w:cs="Arial"/>
          <w:szCs w:val="22"/>
        </w:rPr>
        <w:t xml:space="preserve"> </w:t>
      </w:r>
      <w:r w:rsidRPr="00B91F58">
        <w:rPr>
          <w:rFonts w:cs="Arial"/>
          <w:szCs w:val="22"/>
        </w:rPr>
        <w:t>«</w:t>
      </w:r>
      <w:r w:rsidRPr="00F56878">
        <w:rPr>
          <w:rFonts w:cs="Arial"/>
          <w:szCs w:val="22"/>
        </w:rPr>
        <w:t>in alcune ulteriori circostanze, il provvedimento impiega espressioni imprecise o dal significato tecnico-giuridico di non immediata comprensione, suscettibili di ingenerare incertezze sull'effettivo significato tecnico-normativo:</w:t>
      </w:r>
    </w:p>
    <w:p w:rsidR="000B33A8" w:rsidRDefault="000B33A8" w:rsidP="000B33A8">
      <w:pPr>
        <w:rPr>
          <w:rFonts w:cs="Arial"/>
          <w:szCs w:val="22"/>
        </w:rPr>
      </w:pPr>
      <w:r w:rsidRPr="00F56878">
        <w:rPr>
          <w:rFonts w:cs="Arial"/>
          <w:i/>
          <w:iCs/>
          <w:szCs w:val="22"/>
        </w:rPr>
        <w:t>a)</w:t>
      </w:r>
      <w:r w:rsidRPr="00F56878">
        <w:rPr>
          <w:rFonts w:cs="Arial"/>
          <w:szCs w:val="22"/>
        </w:rPr>
        <w:t xml:space="preserve"> all'articolo 4, il comma 3 richiede – fra le informazioni per l'iscrizione delle PMI innovative – l’“elenco dei soci con trasparenza rispetto a fiduciarie, holding, con autocertificazione di veridicità”, formulazione che, da un lato, parrebbe riferire l'autocertificazione a questo solo elemento informativo anziché a tutti quelli richiesti dal medesimo comma, dall'altro, parrebbe inidonea a individuare tutte le fattispecie in cui il socio effettivo non si identifica con il socio apparente, e ciò anche perché l'elencazione appare esaustiva anziché esemplificativa, mentre la circolare del 2001 sulla corretta formulazione dei testi normativi prevede che nell'uso di una enumerazione ne sia espresso chiaramente il carattere tassativo o esemplificativo (punto 4, lettera </w:t>
      </w:r>
      <w:r w:rsidRPr="00F56878">
        <w:rPr>
          <w:rFonts w:cs="Arial"/>
          <w:i/>
          <w:iCs/>
          <w:szCs w:val="22"/>
        </w:rPr>
        <w:t>g)</w:t>
      </w:r>
      <w:r w:rsidRPr="00F56878">
        <w:rPr>
          <w:rFonts w:cs="Arial"/>
          <w:szCs w:val="22"/>
        </w:rPr>
        <w:t xml:space="preserve">): a questo riguardo, ove si intenda attribuire alla disposizione una più ampia latitudine, si potrebbe valutare l'opportunità di fare altresì riferimento alla figura del “titolare effettivo” come definito all'articolo 1, comma 1, lettera </w:t>
      </w:r>
      <w:r w:rsidRPr="00F56878">
        <w:rPr>
          <w:rFonts w:cs="Arial"/>
          <w:i/>
          <w:iCs/>
          <w:szCs w:val="22"/>
        </w:rPr>
        <w:t>u)</w:t>
      </w:r>
      <w:r w:rsidRPr="00F56878">
        <w:rPr>
          <w:rFonts w:cs="Arial"/>
          <w:szCs w:val="22"/>
        </w:rPr>
        <w:t>, e nell'allegato tecnico del decreto legislativo n.</w:t>
      </w:r>
      <w:r w:rsidRPr="00F56878">
        <w:rPr>
          <w:rFonts w:cs="Arial"/>
          <w:szCs w:val="22"/>
        </w:rPr>
        <w:t> </w:t>
      </w:r>
      <w:r w:rsidRPr="00F56878">
        <w:rPr>
          <w:rFonts w:cs="Arial"/>
          <w:szCs w:val="22"/>
        </w:rPr>
        <w:t>231 del 2007 (normativa antiriclaggio) nonché a tutti i casi in cui il socio sia comunque controllato da altri</w:t>
      </w:r>
      <w:r>
        <w:rPr>
          <w:rFonts w:cs="Arial"/>
          <w:szCs w:val="22"/>
        </w:rPr>
        <w:t xml:space="preserve">; </w:t>
      </w:r>
      <w:r w:rsidRPr="00B91F58">
        <w:rPr>
          <w:rFonts w:cs="Arial"/>
          <w:szCs w:val="22"/>
        </w:rPr>
        <w:t>(</w:t>
      </w:r>
      <w:hyperlink w:anchor="S02o08" w:history="1">
        <w:r>
          <w:rPr>
            <w:rStyle w:val="Collegamentoipertestuale"/>
            <w:rFonts w:cs="Arial"/>
            <w:b/>
            <w:szCs w:val="22"/>
          </w:rPr>
          <w:t>conseguente osservazione</w:t>
        </w:r>
      </w:hyperlink>
      <w:r w:rsidRPr="00B91F58">
        <w:rPr>
          <w:rFonts w:cs="Arial"/>
          <w:szCs w:val="22"/>
        </w:rPr>
        <w:t>)</w:t>
      </w:r>
    </w:p>
    <w:p w:rsidR="000B33A8" w:rsidRDefault="000B33A8" w:rsidP="000B33A8">
      <w:pPr>
        <w:rPr>
          <w:rFonts w:cs="Arial"/>
          <w:szCs w:val="22"/>
        </w:rPr>
      </w:pPr>
      <w:r w:rsidRPr="00F56878">
        <w:rPr>
          <w:rFonts w:cs="Arial"/>
          <w:i/>
          <w:iCs/>
          <w:szCs w:val="22"/>
        </w:rPr>
        <w:t>b)</w:t>
      </w:r>
      <w:r w:rsidRPr="00F56878">
        <w:rPr>
          <w:rFonts w:cs="Arial"/>
          <w:szCs w:val="22"/>
        </w:rPr>
        <w:t xml:space="preserve"> all'articolo 4, il comma 2 reca l'espressione “rapporti con gli altri attori della filiera”, che appare non sufficientemente definita sul piano oggettivo;</w:t>
      </w:r>
    </w:p>
    <w:p w:rsidR="000B33A8" w:rsidRDefault="000B33A8" w:rsidP="000B33A8">
      <w:pPr>
        <w:rPr>
          <w:rFonts w:cs="Arial"/>
          <w:szCs w:val="22"/>
        </w:rPr>
      </w:pPr>
      <w:r w:rsidRPr="00F56878">
        <w:rPr>
          <w:rFonts w:cs="Arial"/>
          <w:i/>
          <w:iCs/>
          <w:szCs w:val="22"/>
        </w:rPr>
        <w:t>c)</w:t>
      </w:r>
      <w:r w:rsidRPr="00F56878">
        <w:rPr>
          <w:rFonts w:cs="Arial"/>
          <w:szCs w:val="22"/>
        </w:rPr>
        <w:t xml:space="preserve"> all'articolo 5, il comma 3 demanda alla Fondazione Istituto Italiano di Tecnologia la gestione della proprietà intellettuale degli enti pubblici di ricerca e delle università, senza che risulti chiaro (anche con riguardo all'autonomia costituzionalmente garantita agli enti di ricerca) se si tratti di una funzione attribuita in via esclusiva alla Fondazione ovvero se sia rimessa ai singoli enti la scelta se gestire direttamente la commercializzazione dei propri brevetti oppure di conferire mandato alla Fondazione;</w:t>
      </w:r>
    </w:p>
    <w:p w:rsidR="000B33A8" w:rsidRPr="00B91F58" w:rsidRDefault="000B33A8" w:rsidP="000B33A8">
      <w:pPr>
        <w:rPr>
          <w:rFonts w:cs="Arial"/>
          <w:szCs w:val="22"/>
        </w:rPr>
      </w:pPr>
      <w:r w:rsidRPr="00F56878">
        <w:rPr>
          <w:rFonts w:cs="Arial"/>
          <w:i/>
          <w:iCs/>
          <w:szCs w:val="22"/>
        </w:rPr>
        <w:t>d)</w:t>
      </w:r>
      <w:r w:rsidRPr="00F56878">
        <w:rPr>
          <w:rFonts w:cs="Arial"/>
          <w:szCs w:val="22"/>
        </w:rPr>
        <w:t xml:space="preserve"> all'articolo 7, capoverso articolo 15, comma 7, l'ultimo periodo – che reca la clausola di salvaguardia in materia di aiuti di Stato per l'operatività della “Società di servizio per la patrimonializzazione e la ristrutturazione delle imprese” – andrebbe riformulato esplicitando, più precisamente, che l'efficacia della disposizione è subordinata all'autorizzazione della Commissione europea ai sensi dell'articolo 108, paragrafo 3, del Trattato sul funzionamento dell'Unione europea</w:t>
      </w:r>
      <w:r w:rsidRPr="00B91F58">
        <w:rPr>
          <w:rFonts w:cs="Arial"/>
          <w:szCs w:val="22"/>
        </w:rPr>
        <w:t>»</w:t>
      </w:r>
      <w:r>
        <w:rPr>
          <w:rFonts w:cs="Arial"/>
          <w:szCs w:val="22"/>
        </w:rPr>
        <w:t xml:space="preserve"> </w:t>
      </w:r>
      <w:r w:rsidRPr="00B91F58">
        <w:rPr>
          <w:rFonts w:cs="Arial"/>
          <w:szCs w:val="22"/>
        </w:rPr>
        <w:t>(</w:t>
      </w:r>
      <w:hyperlink w:anchor="S02o09" w:history="1">
        <w:r>
          <w:rPr>
            <w:rStyle w:val="Collegamentoipertestuale"/>
            <w:rFonts w:cs="Arial"/>
            <w:b/>
            <w:szCs w:val="22"/>
          </w:rPr>
          <w:t>conseguente osservazione</w:t>
        </w:r>
      </w:hyperlink>
      <w:r>
        <w:rPr>
          <w:rFonts w:cs="Arial"/>
          <w:szCs w:val="22"/>
        </w:rPr>
        <w:t>)</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209" w:name="S02a16"/>
      <w:r>
        <w:rPr>
          <w:rFonts w:cs="Arial"/>
          <w:szCs w:val="22"/>
        </w:rPr>
        <w:t xml:space="preserve">16 </w:t>
      </w:r>
      <w:bookmarkEnd w:id="209"/>
      <w:r w:rsidRPr="00B91F58">
        <w:rPr>
          <w:rFonts w:cs="Arial"/>
          <w:szCs w:val="22"/>
        </w:rPr>
        <w:t xml:space="preserve">– </w:t>
      </w:r>
      <w:hyperlink w:anchor="premessa0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F56878">
        <w:rPr>
          <w:rFonts w:cs="Arial"/>
          <w:szCs w:val="22"/>
        </w:rPr>
        <w:t>il disegno di legge di conversione non è corredato della relazione sull'analisi tecnico-normativa (</w:t>
      </w:r>
      <w:r w:rsidRPr="00F56878">
        <w:rPr>
          <w:rFonts w:cs="Arial"/>
          <w:b/>
          <w:szCs w:val="22"/>
        </w:rPr>
        <w:t>ATN</w:t>
      </w:r>
      <w:r w:rsidRPr="00F56878">
        <w:rPr>
          <w:rFonts w:cs="Arial"/>
          <w:szCs w:val="22"/>
        </w:rPr>
        <w:t>), né della relazione sull'analisi di impatto della regolamentazione (</w:t>
      </w:r>
      <w:r w:rsidRPr="00F56878">
        <w:rPr>
          <w:rFonts w:cs="Arial"/>
          <w:b/>
          <w:szCs w:val="22"/>
        </w:rPr>
        <w:t>AIR</w:t>
      </w:r>
      <w:r w:rsidRPr="00F56878">
        <w:rPr>
          <w:rFonts w:cs="Arial"/>
          <w:szCs w:val="22"/>
        </w:rPr>
        <w:t>), senza che nella relazione di accompagnamento si riferisca in merito all'eventuale esenzione dall'obbligo di redigerla, in difformità dunque da quanto statuito dall'articolo 9 del decreto del Presidente del Consiglio dei ministri n.</w:t>
      </w:r>
      <w:r>
        <w:rPr>
          <w:rFonts w:cs="Arial"/>
          <w:szCs w:val="22"/>
        </w:rPr>
        <w:t xml:space="preserve"> </w:t>
      </w:r>
      <w:r w:rsidRPr="00F56878">
        <w:rPr>
          <w:rFonts w:cs="Arial"/>
          <w:szCs w:val="22"/>
        </w:rPr>
        <w:t>170 del 2008</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ind w:firstLine="0"/>
        <w:rPr>
          <w:rFonts w:cs="Arial"/>
          <w:szCs w:val="22"/>
        </w:rPr>
      </w:pPr>
    </w:p>
    <w:p w:rsidR="000B33A8" w:rsidRDefault="000B33A8" w:rsidP="000B33A8">
      <w:pPr>
        <w:keepNext/>
        <w:ind w:firstLine="0"/>
        <w:rPr>
          <w:rFonts w:cs="Arial"/>
          <w:szCs w:val="22"/>
        </w:rPr>
      </w:pPr>
      <w:bookmarkStart w:id="210" w:name="S02C"/>
      <w:r w:rsidRPr="00B91F58">
        <w:rPr>
          <w:rFonts w:cs="Arial"/>
          <w:b/>
          <w:szCs w:val="22"/>
        </w:rPr>
        <w:t>Condizioni</w:t>
      </w:r>
      <w:r w:rsidRPr="00B91F58">
        <w:rPr>
          <w:rFonts w:cs="Arial"/>
          <w:szCs w:val="22"/>
        </w:rPr>
        <w:t xml:space="preserve">: </w:t>
      </w:r>
    </w:p>
    <w:bookmarkEnd w:id="210"/>
    <w:p w:rsidR="000B33A8" w:rsidRDefault="000B33A8" w:rsidP="000B33A8">
      <w:pPr>
        <w:keepNext/>
        <w:ind w:firstLine="0"/>
        <w:rPr>
          <w:rFonts w:cs="Arial"/>
          <w:i/>
          <w:szCs w:val="22"/>
        </w:rPr>
      </w:pPr>
      <w:r w:rsidRPr="00D249C1">
        <w:rPr>
          <w:rFonts w:cs="Arial"/>
          <w:i/>
          <w:szCs w:val="22"/>
        </w:rPr>
        <w:t xml:space="preserve">sotto il profilo </w:t>
      </w:r>
      <w:r w:rsidRPr="0057717F">
        <w:rPr>
          <w:rFonts w:cs="Arial"/>
          <w:i/>
          <w:iCs/>
          <w:szCs w:val="22"/>
        </w:rPr>
        <w:t>dei limiti di contenuto del decreto-legge</w:t>
      </w:r>
      <w:r w:rsidRPr="00D249C1">
        <w:rPr>
          <w:rFonts w:cs="Arial"/>
          <w:i/>
          <w:szCs w:val="22"/>
        </w:rPr>
        <w:t>:</w:t>
      </w:r>
    </w:p>
    <w:p w:rsidR="000B33A8" w:rsidRDefault="000B33A8" w:rsidP="00B26E1F">
      <w:pPr>
        <w:keepNext/>
        <w:numPr>
          <w:ilvl w:val="0"/>
          <w:numId w:val="20"/>
        </w:numPr>
        <w:spacing w:before="60" w:after="60"/>
        <w:contextualSpacing/>
        <w:rPr>
          <w:rFonts w:cs="Arial"/>
          <w:szCs w:val="22"/>
        </w:rPr>
      </w:pPr>
      <w:bookmarkStart w:id="211" w:name="S02c01"/>
      <w:r w:rsidRPr="0057717F">
        <w:rPr>
          <w:rFonts w:cs="Arial"/>
          <w:szCs w:val="22"/>
        </w:rPr>
        <w:t>relativamente all'articolo 1</w:t>
      </w:r>
      <w:bookmarkEnd w:id="211"/>
      <w:r w:rsidRPr="0057717F">
        <w:rPr>
          <w:rFonts w:cs="Arial"/>
          <w:szCs w:val="22"/>
        </w:rPr>
        <w:t>, commi 1 e 2, le cui previsioni diverranno applicabili solo dopo l'emanazione di appositi provvedimenti della Banca d'Italia, si individuino – tenendo presente il requisito dell'immediata applicabilità (previsto dall'articolo 15, comma 3, della legge n.</w:t>
      </w:r>
      <w:r>
        <w:rPr>
          <w:rFonts w:cs="Arial"/>
          <w:szCs w:val="22"/>
        </w:rPr>
        <w:t xml:space="preserve"> </w:t>
      </w:r>
      <w:r w:rsidRPr="0057717F">
        <w:rPr>
          <w:rFonts w:cs="Arial"/>
          <w:szCs w:val="22"/>
        </w:rPr>
        <w:t>400 del 1988) – i termini temporali entro i quali detti provvedimenti debbono entrare in vigore</w:t>
      </w:r>
      <w:r>
        <w:rPr>
          <w:rFonts w:cs="Arial"/>
          <w:szCs w:val="22"/>
        </w:rPr>
        <w:t xml:space="preserve">; </w:t>
      </w:r>
      <w:hyperlink w:anchor="premessa02" w:history="1">
        <w:r w:rsidRPr="00D249C1">
          <w:rPr>
            <w:rStyle w:val="Collegamentoipertestuale"/>
            <w:rFonts w:cs="Arial"/>
            <w:szCs w:val="22"/>
          </w:rPr>
          <w:t>[torna su]</w:t>
        </w:r>
      </w:hyperlink>
      <w:r>
        <w:rPr>
          <w:rFonts w:cs="Arial"/>
          <w:szCs w:val="22"/>
        </w:rPr>
        <w:t xml:space="preserve"> </w:t>
      </w:r>
    </w:p>
    <w:p w:rsidR="000B33A8" w:rsidRDefault="000B33A8" w:rsidP="000B33A8">
      <w:pPr>
        <w:keepNext/>
        <w:ind w:firstLine="0"/>
        <w:rPr>
          <w:rFonts w:cs="Arial"/>
          <w:szCs w:val="22"/>
        </w:rPr>
      </w:pPr>
      <w:r w:rsidRPr="0057717F">
        <w:rPr>
          <w:rFonts w:cs="Arial"/>
          <w:i/>
          <w:szCs w:val="22"/>
        </w:rPr>
        <w:t>sotto il profilo dell'efficacia del testo per la semplificazione e il riordino della legislazione vigente</w:t>
      </w:r>
      <w:r>
        <w:rPr>
          <w:rFonts w:cs="Arial"/>
          <w:i/>
          <w:szCs w:val="22"/>
        </w:rPr>
        <w:t>:</w:t>
      </w:r>
    </w:p>
    <w:p w:rsidR="000B33A8" w:rsidRPr="0057717F" w:rsidRDefault="000B33A8" w:rsidP="00B26E1F">
      <w:pPr>
        <w:keepNext/>
        <w:numPr>
          <w:ilvl w:val="0"/>
          <w:numId w:val="20"/>
        </w:numPr>
        <w:spacing w:before="60" w:after="60"/>
        <w:contextualSpacing/>
        <w:rPr>
          <w:rStyle w:val="Collegamentoipertestuale"/>
          <w:rFonts w:cs="Arial"/>
          <w:szCs w:val="22"/>
        </w:rPr>
      </w:pPr>
      <w:bookmarkStart w:id="212" w:name="S02c02"/>
      <w:r w:rsidRPr="0057717F">
        <w:rPr>
          <w:rFonts w:cs="Arial"/>
          <w:szCs w:val="22"/>
        </w:rPr>
        <w:t xml:space="preserve">al già citato articolo </w:t>
      </w:r>
      <w:bookmarkEnd w:id="212"/>
      <w:r w:rsidRPr="0057717F">
        <w:rPr>
          <w:rFonts w:cs="Arial"/>
          <w:szCs w:val="22"/>
        </w:rPr>
        <w:t xml:space="preserve">1, comma 1, lettera </w:t>
      </w:r>
      <w:r w:rsidRPr="0057717F">
        <w:rPr>
          <w:rFonts w:cs="Arial"/>
          <w:i/>
          <w:iCs/>
          <w:szCs w:val="22"/>
        </w:rPr>
        <w:t>a)</w:t>
      </w:r>
      <w:r w:rsidRPr="0057717F">
        <w:rPr>
          <w:rFonts w:cs="Arial"/>
          <w:szCs w:val="22"/>
        </w:rPr>
        <w:t>, individuino le Commissioni le disposizioni di legge cui, per effetto del provvedimento in esame, la Banca d'Italia è abilitata a derogare mediante norme di rango secondario, e si espliciti il carattere derogatorio della disposizione rispetto all'articolo 2535 del codice civile</w:t>
      </w:r>
      <w:r>
        <w:rPr>
          <w:rFonts w:cs="Arial"/>
          <w:szCs w:val="22"/>
        </w:rPr>
        <w:t xml:space="preserve">; </w:t>
      </w:r>
      <w:hyperlink w:anchor="premessa02"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keepNext/>
        <w:numPr>
          <w:ilvl w:val="0"/>
          <w:numId w:val="20"/>
        </w:numPr>
        <w:spacing w:before="60" w:after="60"/>
        <w:contextualSpacing/>
        <w:rPr>
          <w:rFonts w:cs="Arial"/>
          <w:szCs w:val="22"/>
        </w:rPr>
      </w:pPr>
      <w:bookmarkStart w:id="213" w:name="S02c03"/>
      <w:r w:rsidRPr="0057717F">
        <w:rPr>
          <w:rFonts w:cs="Arial"/>
          <w:szCs w:val="22"/>
        </w:rPr>
        <w:t xml:space="preserve">all'articolo 7, capoverso </w:t>
      </w:r>
      <w:bookmarkEnd w:id="213"/>
      <w:r w:rsidRPr="0057717F">
        <w:rPr>
          <w:rFonts w:cs="Arial"/>
          <w:szCs w:val="22"/>
        </w:rPr>
        <w:t>articolo 15, comma 7, che prevede l'adozione di un decreto del Presidente del Consiglio dei ministri a contenuto normativo, si riformuli la disposizione nel senso di demandare l'adozione della disciplina ivi prevista a uno dei tipi di regolamento adottato ai sensi dell'articolo 17 della legge n.</w:t>
      </w:r>
      <w:r>
        <w:rPr>
          <w:rFonts w:cs="Arial"/>
          <w:szCs w:val="22"/>
        </w:rPr>
        <w:t xml:space="preserve"> </w:t>
      </w:r>
      <w:r w:rsidRPr="0057717F">
        <w:rPr>
          <w:rFonts w:cs="Arial"/>
          <w:szCs w:val="22"/>
        </w:rPr>
        <w:t>400 del 1988</w:t>
      </w:r>
      <w:r>
        <w:rPr>
          <w:rFonts w:cs="Arial"/>
          <w:szCs w:val="22"/>
        </w:rPr>
        <w:t xml:space="preserve">; </w:t>
      </w:r>
      <w:hyperlink w:anchor="premessa02" w:history="1">
        <w:r w:rsidRPr="00D249C1">
          <w:rPr>
            <w:rStyle w:val="Collegamentoipertestuale"/>
            <w:rFonts w:cs="Arial"/>
            <w:szCs w:val="22"/>
          </w:rPr>
          <w:t>[torna su]</w:t>
        </w:r>
      </w:hyperlink>
      <w:r>
        <w:rPr>
          <w:rStyle w:val="Collegamentoipertestuale"/>
          <w:rFonts w:cs="Arial"/>
          <w:szCs w:val="22"/>
        </w:rPr>
        <w:t xml:space="preserve"> </w:t>
      </w:r>
      <w:r>
        <w:rPr>
          <w:rFonts w:cs="Arial"/>
          <w:szCs w:val="22"/>
        </w:rPr>
        <w:br/>
      </w:r>
    </w:p>
    <w:p w:rsidR="000B33A8" w:rsidRDefault="000B33A8" w:rsidP="000B33A8">
      <w:pPr>
        <w:keepNext/>
        <w:ind w:firstLine="0"/>
        <w:rPr>
          <w:rFonts w:cs="Arial"/>
          <w:szCs w:val="22"/>
        </w:rPr>
      </w:pPr>
      <w:r w:rsidRPr="00D249C1">
        <w:rPr>
          <w:rFonts w:cs="Arial"/>
          <w:i/>
          <w:szCs w:val="22"/>
        </w:rPr>
        <w:t xml:space="preserve">sotto il profilo </w:t>
      </w:r>
      <w:r>
        <w:rPr>
          <w:rFonts w:cs="Arial"/>
          <w:i/>
          <w:szCs w:val="22"/>
        </w:rPr>
        <w:t>della chiarezza e della proprietà della formulazione</w:t>
      </w:r>
      <w:r w:rsidRPr="00D249C1">
        <w:rPr>
          <w:rFonts w:cs="Arial"/>
          <w:i/>
          <w:szCs w:val="22"/>
        </w:rPr>
        <w:t>:</w:t>
      </w:r>
    </w:p>
    <w:p w:rsidR="000B33A8" w:rsidRDefault="000B33A8" w:rsidP="00B26E1F">
      <w:pPr>
        <w:keepNext/>
        <w:numPr>
          <w:ilvl w:val="0"/>
          <w:numId w:val="20"/>
        </w:numPr>
        <w:tabs>
          <w:tab w:val="num" w:pos="567"/>
        </w:tabs>
        <w:spacing w:before="60" w:after="60"/>
        <w:ind w:left="567" w:hanging="283"/>
        <w:contextualSpacing/>
        <w:rPr>
          <w:rFonts w:cs="Arial"/>
          <w:szCs w:val="22"/>
        </w:rPr>
      </w:pPr>
      <w:bookmarkStart w:id="214" w:name="S02c04"/>
      <w:r w:rsidRPr="0057717F">
        <w:t xml:space="preserve">si corregga, nei </w:t>
      </w:r>
      <w:bookmarkEnd w:id="214"/>
      <w:r w:rsidRPr="0057717F">
        <w:t xml:space="preserve">termini indicati in premessa, il rinvio interno recato dall'articolo 4, comma 4 </w:t>
      </w:r>
      <w:hyperlink w:anchor="premessa02" w:history="1">
        <w:r w:rsidRPr="00D249C1">
          <w:rPr>
            <w:rStyle w:val="Collegamentoipertestuale"/>
            <w:rFonts w:cs="Arial"/>
            <w:szCs w:val="22"/>
          </w:rPr>
          <w:t>[torna su]</w:t>
        </w:r>
      </w:hyperlink>
      <w:r>
        <w:rPr>
          <w:rStyle w:val="Collegamentoipertestuale"/>
          <w:rFonts w:cs="Arial"/>
          <w:szCs w:val="22"/>
        </w:rPr>
        <w:t xml:space="preserve"> </w:t>
      </w:r>
      <w:r>
        <w:rPr>
          <w:rFonts w:cs="Arial"/>
          <w:szCs w:val="22"/>
        </w:rPr>
        <w:br/>
      </w:r>
    </w:p>
    <w:p w:rsidR="000B33A8" w:rsidRPr="00B91F58" w:rsidRDefault="000B33A8" w:rsidP="000B33A8">
      <w:pPr>
        <w:keepNext/>
        <w:tabs>
          <w:tab w:val="num" w:pos="567"/>
        </w:tabs>
        <w:ind w:left="567" w:firstLine="0"/>
        <w:rPr>
          <w:rFonts w:cs="Arial"/>
          <w:szCs w:val="22"/>
        </w:rPr>
      </w:pP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215" w:name="S02O"/>
      <w:r>
        <w:rPr>
          <w:rFonts w:cs="Arial"/>
          <w:b/>
          <w:szCs w:val="22"/>
        </w:rPr>
        <w:lastRenderedPageBreak/>
        <w:t>Osservazioni</w:t>
      </w:r>
      <w:r w:rsidRPr="00B91F58">
        <w:rPr>
          <w:rFonts w:cs="Arial"/>
          <w:szCs w:val="22"/>
        </w:rPr>
        <w:t xml:space="preserve">: </w:t>
      </w:r>
    </w:p>
    <w:bookmarkEnd w:id="215"/>
    <w:p w:rsidR="000B33A8" w:rsidRDefault="000B33A8" w:rsidP="000B33A8">
      <w:pPr>
        <w:keepNext/>
        <w:ind w:firstLine="0"/>
        <w:rPr>
          <w:rFonts w:cs="Arial"/>
          <w:i/>
          <w:szCs w:val="22"/>
        </w:rPr>
      </w:pPr>
      <w:r w:rsidRPr="00D249C1">
        <w:rPr>
          <w:rFonts w:cs="Arial"/>
          <w:i/>
          <w:szCs w:val="22"/>
        </w:rPr>
        <w:t>sotto il profilo dell'efficacia del testo per la semplificazione e il riordino della legislazione vigente:</w:t>
      </w:r>
    </w:p>
    <w:p w:rsidR="000B33A8" w:rsidRPr="00A732FE" w:rsidRDefault="000B33A8" w:rsidP="00B26E1F">
      <w:pPr>
        <w:pStyle w:val="Paragrafoelenco"/>
        <w:numPr>
          <w:ilvl w:val="0"/>
          <w:numId w:val="21"/>
        </w:numPr>
        <w:ind w:left="567" w:hanging="283"/>
        <w:rPr>
          <w:rStyle w:val="Collegamentoipertestuale"/>
          <w:rFonts w:cs="Arial"/>
          <w:szCs w:val="22"/>
        </w:rPr>
      </w:pPr>
      <w:bookmarkStart w:id="216" w:name="S02o01"/>
      <w:r w:rsidRPr="007746D7">
        <w:rPr>
          <w:rFonts w:cs="Arial"/>
          <w:szCs w:val="22"/>
        </w:rPr>
        <w:t>all'articolo 8</w:t>
      </w:r>
      <w:bookmarkEnd w:id="216"/>
      <w:r w:rsidRPr="007746D7">
        <w:rPr>
          <w:rFonts w:cs="Arial"/>
          <w:szCs w:val="22"/>
        </w:rPr>
        <w:t>, per quanto meglio esplicitato in premessa, si dovrebbe riformulare la disposizione di cui al comma 1 in termini di novella al decreto-legge n.</w:t>
      </w:r>
      <w:r>
        <w:rPr>
          <w:rFonts w:cs="Arial"/>
          <w:szCs w:val="22"/>
        </w:rPr>
        <w:t xml:space="preserve"> </w:t>
      </w:r>
      <w:r w:rsidRPr="007746D7">
        <w:rPr>
          <w:rFonts w:cs="Arial"/>
          <w:szCs w:val="22"/>
        </w:rPr>
        <w:t>69 del 2013, e coordinare la disposizione del comma 2 con le previsioni dell'articolo 2, comma 5, del medesimo decreto-legge n.</w:t>
      </w:r>
      <w:r>
        <w:rPr>
          <w:rFonts w:cs="Arial"/>
          <w:szCs w:val="22"/>
        </w:rPr>
        <w:t xml:space="preserve"> </w:t>
      </w:r>
      <w:r w:rsidRPr="007746D7">
        <w:rPr>
          <w:rFonts w:cs="Arial"/>
          <w:szCs w:val="22"/>
        </w:rPr>
        <w:t>69 del 2013</w:t>
      </w:r>
      <w:r>
        <w:rPr>
          <w:rFonts w:cs="Arial"/>
          <w:szCs w:val="22"/>
        </w:rPr>
        <w:t xml:space="preserve">; </w:t>
      </w:r>
      <w:hyperlink w:anchor="premessa02"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B26E1F">
      <w:pPr>
        <w:pStyle w:val="Paragrafoelenco"/>
        <w:numPr>
          <w:ilvl w:val="0"/>
          <w:numId w:val="21"/>
        </w:numPr>
        <w:ind w:left="567" w:hanging="283"/>
        <w:rPr>
          <w:rStyle w:val="Collegamentoipertestuale"/>
          <w:rFonts w:cs="Arial"/>
          <w:szCs w:val="22"/>
        </w:rPr>
      </w:pPr>
      <w:bookmarkStart w:id="217" w:name="S02o02"/>
      <w:r w:rsidRPr="007746D7">
        <w:t xml:space="preserve">si dovrebbero </w:t>
      </w:r>
      <w:bookmarkEnd w:id="217"/>
      <w:r w:rsidRPr="007746D7">
        <w:t>collocare in idonei contesti normativi, curando i relativi coordinamenti, le disposizioni di cui all'articolo 3; all'articolo 4, commi da 2 a 9; all'articolo 5, commi 2 e 3 e, in particolare, le disposizioni di cui all'articolo 2, che andrebbero inserite nel testo unico bancario per mantenerne il carattere di unitarietà, ad esempio inserendole in un nuovo articolo 120-</w:t>
      </w:r>
      <w:r w:rsidRPr="007746D7">
        <w:rPr>
          <w:i/>
          <w:iCs/>
        </w:rPr>
        <w:t>quinquies</w:t>
      </w:r>
      <w:r w:rsidRPr="00E93216">
        <w:t xml:space="preserve">; </w:t>
      </w:r>
      <w:hyperlink w:anchor="premessa02"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0B33A8">
      <w:pPr>
        <w:pStyle w:val="Paragrafoelenco"/>
        <w:ind w:left="0" w:firstLine="0"/>
        <w:rPr>
          <w:rStyle w:val="Collegamentoipertestuale"/>
          <w:rFonts w:cs="Arial"/>
          <w:szCs w:val="22"/>
        </w:rPr>
      </w:pPr>
      <w:r>
        <w:rPr>
          <w:rStyle w:val="Collegamentoipertestuale"/>
          <w:rFonts w:cs="Arial"/>
          <w:szCs w:val="22"/>
        </w:rPr>
        <w:br/>
      </w:r>
      <w:r w:rsidRPr="00C733BB">
        <w:rPr>
          <w:rFonts w:cs="Arial"/>
          <w:i/>
          <w:szCs w:val="22"/>
        </w:rPr>
        <w:t>sotto il profilo della chiarezza e della proprietà della formulazione</w:t>
      </w:r>
    </w:p>
    <w:p w:rsidR="000B33A8" w:rsidRPr="00A732FE" w:rsidRDefault="000B33A8" w:rsidP="00B26E1F">
      <w:pPr>
        <w:pStyle w:val="Paragrafoelenco"/>
        <w:numPr>
          <w:ilvl w:val="0"/>
          <w:numId w:val="21"/>
        </w:numPr>
        <w:ind w:left="567" w:hanging="283"/>
        <w:rPr>
          <w:rStyle w:val="Collegamentoipertestuale"/>
          <w:rFonts w:cs="Arial"/>
          <w:szCs w:val="22"/>
        </w:rPr>
      </w:pPr>
      <w:bookmarkStart w:id="218" w:name="S02o03"/>
      <w:r w:rsidRPr="007746D7">
        <w:t xml:space="preserve">all'articolo 2, </w:t>
      </w:r>
      <w:bookmarkEnd w:id="218"/>
      <w:r w:rsidRPr="007746D7">
        <w:t>comma 4, concernente “gli indicatori che assicurano la trasparenza informativa alla clientela, quali l'indicatore sintetico di costo e il profilo dell'utente”, le Commissioni di merito dovrebbero valutare l'opportunità di indicare la fonte da cui tali indicatori siano desumibili in maniera univoca</w:t>
      </w:r>
      <w:r w:rsidRPr="00E93216">
        <w:t xml:space="preserve">; </w:t>
      </w:r>
      <w:hyperlink w:anchor="premessa02"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21"/>
        </w:numPr>
        <w:ind w:left="567" w:hanging="283"/>
        <w:rPr>
          <w:rFonts w:cs="Arial"/>
          <w:szCs w:val="22"/>
        </w:rPr>
      </w:pPr>
      <w:bookmarkStart w:id="219" w:name="S02o04"/>
      <w:r w:rsidRPr="007746D7">
        <w:rPr>
          <w:rFonts w:cs="Arial"/>
          <w:szCs w:val="22"/>
        </w:rPr>
        <w:t xml:space="preserve">si dovrebbe </w:t>
      </w:r>
      <w:bookmarkEnd w:id="219"/>
      <w:r w:rsidRPr="007746D7">
        <w:rPr>
          <w:rFonts w:cs="Arial"/>
          <w:szCs w:val="22"/>
        </w:rPr>
        <w:t xml:space="preserve">valutare l'effettiva portata normativa di molte delle </w:t>
      </w:r>
      <w:r>
        <w:rPr>
          <w:rFonts w:cs="Arial"/>
          <w:szCs w:val="22"/>
        </w:rPr>
        <w:t xml:space="preserve">previsioni recate dall'articolo 3; </w:t>
      </w:r>
      <w:hyperlink w:anchor="premessa02" w:history="1">
        <w:r w:rsidRPr="007746D7">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21"/>
        </w:numPr>
        <w:ind w:left="567" w:hanging="283"/>
        <w:rPr>
          <w:rFonts w:cs="Arial"/>
          <w:szCs w:val="22"/>
        </w:rPr>
      </w:pPr>
      <w:bookmarkStart w:id="220" w:name="S02o05"/>
      <w:r w:rsidRPr="007746D7">
        <w:rPr>
          <w:rFonts w:cs="Arial"/>
          <w:szCs w:val="22"/>
        </w:rPr>
        <w:t xml:space="preserve">con riferimento alla </w:t>
      </w:r>
      <w:bookmarkEnd w:id="220"/>
      <w:r w:rsidRPr="007746D7">
        <w:rPr>
          <w:rFonts w:cs="Arial"/>
          <w:szCs w:val="22"/>
        </w:rPr>
        <w:t>novella che l'articolo 4 del decreto ha apportato all'articolo 100-</w:t>
      </w:r>
      <w:r w:rsidRPr="007746D7">
        <w:rPr>
          <w:rFonts w:cs="Arial"/>
          <w:i/>
          <w:iCs/>
          <w:szCs w:val="22"/>
        </w:rPr>
        <w:t>ter</w:t>
      </w:r>
      <w:r w:rsidRPr="007746D7">
        <w:rPr>
          <w:rFonts w:cs="Arial"/>
          <w:szCs w:val="22"/>
        </w:rPr>
        <w:t xml:space="preserve"> del testo unico della finanza, si dovrebbe valutare se sia necessario oppure no coordinare i commi 1 e 2 del citato articolo 100-</w:t>
      </w:r>
      <w:r w:rsidRPr="007746D7">
        <w:rPr>
          <w:rFonts w:cs="Arial"/>
          <w:i/>
          <w:iCs/>
          <w:szCs w:val="22"/>
        </w:rPr>
        <w:t>ter</w:t>
      </w:r>
      <w:r w:rsidRPr="007746D7">
        <w:rPr>
          <w:rFonts w:cs="Arial"/>
          <w:szCs w:val="22"/>
        </w:rPr>
        <w:t xml:space="preserve"> per uniformare anche al comma 2 la disciplina delle </w:t>
      </w:r>
      <w:r w:rsidRPr="007746D7">
        <w:rPr>
          <w:rFonts w:cs="Arial"/>
          <w:i/>
          <w:iCs/>
          <w:szCs w:val="22"/>
        </w:rPr>
        <w:t xml:space="preserve">startup </w:t>
      </w:r>
      <w:r w:rsidRPr="007746D7">
        <w:rPr>
          <w:rFonts w:cs="Arial"/>
          <w:szCs w:val="22"/>
        </w:rPr>
        <w:t>innovative e delle PMI innovative;</w:t>
      </w:r>
      <w:r>
        <w:rPr>
          <w:rFonts w:cs="Arial"/>
          <w:szCs w:val="22"/>
        </w:rPr>
        <w:t xml:space="preserve"> </w:t>
      </w:r>
      <w:hyperlink w:anchor="premessa02" w:history="1">
        <w:r w:rsidRPr="00D249C1">
          <w:rPr>
            <w:rStyle w:val="Collegamentoipertestuale"/>
            <w:rFonts w:cs="Arial"/>
            <w:szCs w:val="22"/>
          </w:rPr>
          <w:t>[torna su]</w:t>
        </w:r>
      </w:hyperlink>
      <w:r>
        <w:rPr>
          <w:rStyle w:val="Collegamentoipertestuale"/>
          <w:rFonts w:cs="Arial"/>
          <w:szCs w:val="22"/>
        </w:rPr>
        <w:t xml:space="preserve"> </w:t>
      </w:r>
    </w:p>
    <w:p w:rsidR="000B33A8" w:rsidRPr="007746D7" w:rsidRDefault="000B33A8" w:rsidP="00B26E1F">
      <w:pPr>
        <w:pStyle w:val="Paragrafoelenco"/>
        <w:numPr>
          <w:ilvl w:val="0"/>
          <w:numId w:val="21"/>
        </w:numPr>
        <w:ind w:left="567" w:hanging="283"/>
        <w:rPr>
          <w:rStyle w:val="Collegamentoipertestuale"/>
          <w:rFonts w:cs="Arial"/>
          <w:szCs w:val="22"/>
        </w:rPr>
      </w:pPr>
      <w:bookmarkStart w:id="221" w:name="S02o06"/>
      <w:r w:rsidRPr="007746D7">
        <w:rPr>
          <w:rFonts w:cs="Arial"/>
          <w:szCs w:val="22"/>
        </w:rPr>
        <w:t xml:space="preserve">si dovrebbe riformulare </w:t>
      </w:r>
      <w:bookmarkEnd w:id="221"/>
      <w:r w:rsidRPr="007746D7">
        <w:rPr>
          <w:rFonts w:cs="Arial"/>
          <w:szCs w:val="22"/>
        </w:rPr>
        <w:t>la rubrica dell'articolo 5 al fine di dare pienamente conto del suo effettivo contenuto</w:t>
      </w:r>
      <w:r>
        <w:rPr>
          <w:rFonts w:cs="Arial"/>
          <w:szCs w:val="22"/>
        </w:rPr>
        <w:t xml:space="preserve">; </w:t>
      </w:r>
      <w:hyperlink w:anchor="premessa02" w:history="1">
        <w:r w:rsidRPr="00D249C1">
          <w:rPr>
            <w:rStyle w:val="Collegamentoipertestuale"/>
            <w:rFonts w:cs="Arial"/>
            <w:szCs w:val="22"/>
          </w:rPr>
          <w:t>[torna su]</w:t>
        </w:r>
      </w:hyperlink>
      <w:r>
        <w:rPr>
          <w:rStyle w:val="Collegamentoipertestuale"/>
          <w:rFonts w:cs="Arial"/>
          <w:szCs w:val="22"/>
        </w:rPr>
        <w:t xml:space="preserve"> </w:t>
      </w:r>
    </w:p>
    <w:p w:rsidR="000B33A8" w:rsidRPr="007746D7" w:rsidRDefault="000B33A8" w:rsidP="00B26E1F">
      <w:pPr>
        <w:pStyle w:val="Paragrafoelenco"/>
        <w:numPr>
          <w:ilvl w:val="0"/>
          <w:numId w:val="21"/>
        </w:numPr>
        <w:ind w:left="567" w:hanging="283"/>
        <w:rPr>
          <w:rStyle w:val="Collegamentoipertestuale"/>
          <w:rFonts w:cs="Arial"/>
          <w:szCs w:val="22"/>
        </w:rPr>
      </w:pPr>
      <w:bookmarkStart w:id="222" w:name="S02o07"/>
      <w:r w:rsidRPr="007746D7">
        <w:rPr>
          <w:rFonts w:cs="Arial"/>
          <w:szCs w:val="22"/>
        </w:rPr>
        <w:t>per quanto detto in premessa</w:t>
      </w:r>
      <w:bookmarkEnd w:id="222"/>
      <w:r w:rsidRPr="007746D7">
        <w:rPr>
          <w:rFonts w:cs="Arial"/>
          <w:szCs w:val="22"/>
        </w:rPr>
        <w:t>, all'articolo 7, comma 1, capoverso articolo 15, comma 2, si dovrebbe valutare l'opportunità di sostituire l'espressione “le condizioni e i termini” con espressioni quali “il contenuto del contratto”, “le clausole contrattuali” o equivalenti</w:t>
      </w:r>
      <w:r>
        <w:rPr>
          <w:rFonts w:cs="Arial"/>
          <w:szCs w:val="22"/>
        </w:rPr>
        <w:t xml:space="preserve">; </w:t>
      </w:r>
      <w:hyperlink w:anchor="premessa02" w:history="1">
        <w:r w:rsidRPr="00D249C1">
          <w:rPr>
            <w:rStyle w:val="Collegamentoipertestuale"/>
            <w:rFonts w:cs="Arial"/>
            <w:szCs w:val="22"/>
          </w:rPr>
          <w:t>[torna su]</w:t>
        </w:r>
      </w:hyperlink>
      <w:r>
        <w:rPr>
          <w:rStyle w:val="Collegamentoipertestuale"/>
          <w:rFonts w:cs="Arial"/>
          <w:szCs w:val="22"/>
        </w:rPr>
        <w:t xml:space="preserve"> </w:t>
      </w:r>
    </w:p>
    <w:p w:rsidR="000B33A8" w:rsidRPr="007746D7" w:rsidRDefault="000B33A8" w:rsidP="00B26E1F">
      <w:pPr>
        <w:pStyle w:val="Paragrafoelenco"/>
        <w:numPr>
          <w:ilvl w:val="0"/>
          <w:numId w:val="21"/>
        </w:numPr>
        <w:ind w:left="567" w:hanging="283"/>
        <w:rPr>
          <w:rStyle w:val="Collegamentoipertestuale"/>
          <w:rFonts w:cs="Arial"/>
          <w:szCs w:val="22"/>
        </w:rPr>
      </w:pPr>
      <w:bookmarkStart w:id="223" w:name="S02o08"/>
      <w:r w:rsidRPr="007746D7">
        <w:rPr>
          <w:rFonts w:cs="Arial"/>
          <w:szCs w:val="22"/>
        </w:rPr>
        <w:t xml:space="preserve">all'articolo 4, comma </w:t>
      </w:r>
      <w:bookmarkEnd w:id="223"/>
      <w:r w:rsidRPr="007746D7">
        <w:rPr>
          <w:rFonts w:cs="Arial"/>
          <w:szCs w:val="22"/>
        </w:rPr>
        <w:t xml:space="preserve">3, lettera </w:t>
      </w:r>
      <w:r w:rsidRPr="007746D7">
        <w:rPr>
          <w:rFonts w:cs="Arial"/>
          <w:i/>
          <w:iCs/>
          <w:szCs w:val="22"/>
        </w:rPr>
        <w:t>e)</w:t>
      </w:r>
      <w:r w:rsidRPr="007746D7">
        <w:rPr>
          <w:rFonts w:cs="Arial"/>
          <w:szCs w:val="22"/>
        </w:rPr>
        <w:t xml:space="preserve"> si dovrebbe valutare il modo di individuare in modo più preciso e univoco tutte le fattispecie in cui il socio effettivo non si identifica con il socio apparente, per esempio facendo riferimento alla nozione di “titolare effettivo” come definito all'articolo 1, comma 1, lettera </w:t>
      </w:r>
      <w:r w:rsidRPr="007746D7">
        <w:rPr>
          <w:rFonts w:cs="Arial"/>
          <w:i/>
          <w:iCs/>
          <w:szCs w:val="22"/>
        </w:rPr>
        <w:t>u)</w:t>
      </w:r>
      <w:r w:rsidRPr="007746D7">
        <w:rPr>
          <w:rFonts w:cs="Arial"/>
          <w:szCs w:val="22"/>
        </w:rPr>
        <w:t>, e nell'allegato tecnico del decreto legislativo n.</w:t>
      </w:r>
      <w:r>
        <w:rPr>
          <w:rFonts w:cs="Arial"/>
          <w:szCs w:val="22"/>
        </w:rPr>
        <w:t xml:space="preserve"> </w:t>
      </w:r>
      <w:r w:rsidRPr="007746D7">
        <w:rPr>
          <w:rFonts w:cs="Arial"/>
          <w:szCs w:val="22"/>
        </w:rPr>
        <w:t>231 del 2007 (normativa antiriclaggio) o a tutti i casi in cui il socio sia comunque controllato da altri</w:t>
      </w:r>
      <w:r>
        <w:rPr>
          <w:rFonts w:cs="Arial"/>
          <w:szCs w:val="22"/>
        </w:rPr>
        <w:t xml:space="preserve">; </w:t>
      </w:r>
      <w:hyperlink w:anchor="premessa02"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B26E1F">
      <w:pPr>
        <w:pStyle w:val="Paragrafoelenco"/>
        <w:numPr>
          <w:ilvl w:val="0"/>
          <w:numId w:val="21"/>
        </w:numPr>
        <w:ind w:left="567" w:hanging="283"/>
        <w:rPr>
          <w:rStyle w:val="Collegamentoipertestuale"/>
          <w:rFonts w:cs="Arial"/>
          <w:szCs w:val="22"/>
        </w:rPr>
      </w:pPr>
      <w:bookmarkStart w:id="224" w:name="S02o09"/>
      <w:r w:rsidRPr="007746D7">
        <w:rPr>
          <w:rFonts w:cs="Arial"/>
          <w:szCs w:val="22"/>
        </w:rPr>
        <w:lastRenderedPageBreak/>
        <w:t xml:space="preserve">si dovrebbero riformulare </w:t>
      </w:r>
      <w:bookmarkEnd w:id="224"/>
      <w:r w:rsidRPr="007746D7">
        <w:rPr>
          <w:rFonts w:cs="Arial"/>
          <w:szCs w:val="22"/>
        </w:rPr>
        <w:t>in modo più preciso le disposizioni, specificate in premessa, di cui all'articolo 4, comma 2; all'articolo 5, comma 3; all'articolo 7, capoverso articolo 15, comma 7, ultimo periodo</w:t>
      </w:r>
      <w:r>
        <w:rPr>
          <w:rFonts w:cs="Arial"/>
          <w:szCs w:val="22"/>
        </w:rPr>
        <w:t xml:space="preserve">. </w:t>
      </w:r>
      <w:hyperlink w:anchor="premessa02"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Default="000B33A8" w:rsidP="000B33A8">
      <w:pPr>
        <w:ind w:left="284" w:firstLine="0"/>
        <w:rPr>
          <w:rFonts w:cs="Arial"/>
          <w:szCs w:val="22"/>
        </w:rPr>
        <w:sectPr w:rsidR="000B33A8" w:rsidSect="000B33A8">
          <w:headerReference w:type="default" r:id="rId287"/>
          <w:footerReference w:type="even" r:id="rId288"/>
          <w:footerReference w:type="default" r:id="rId289"/>
          <w:pgSz w:w="11906" w:h="16838" w:code="9"/>
          <w:pgMar w:top="1985" w:right="1985" w:bottom="1985" w:left="1985" w:header="1134" w:footer="1134" w:gutter="0"/>
          <w:cols w:space="720"/>
          <w:formProt w:val="0"/>
        </w:sectPr>
      </w:pPr>
      <w:r>
        <w:rPr>
          <w:rFonts w:cs="Arial"/>
          <w:szCs w:val="22"/>
        </w:rPr>
        <w:t xml:space="preserve"> </w:t>
      </w:r>
    </w:p>
    <w:p w:rsidR="000B33A8" w:rsidRDefault="000B33A8" w:rsidP="000B33A8">
      <w:pPr>
        <w:ind w:left="284" w:firstLine="0"/>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0003</w:t>
            </w:r>
          </w:p>
        </w:tc>
        <w:tc>
          <w:tcPr>
            <w:tcW w:w="750" w:type="pct"/>
            <w:shd w:val="clear" w:color="auto" w:fill="auto"/>
          </w:tcPr>
          <w:p w:rsidR="000B33A8" w:rsidRPr="00B26E1F" w:rsidRDefault="000B33A8" w:rsidP="000B33A8">
            <w:pPr>
              <w:pStyle w:val="Collegamento"/>
              <w:rPr>
                <w:rFonts w:cs="Arial"/>
              </w:rPr>
            </w:pPr>
            <w:r w:rsidRPr="00B26E1F">
              <w:rPr>
                <w:rFonts w:cs="Arial"/>
              </w:rPr>
              <w:t>2894</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290" w:history="1">
              <w:r w:rsidR="000B33A8" w:rsidRPr="00B26E1F">
                <w:rPr>
                  <w:rStyle w:val="Collegamentoipertestuale"/>
                  <w:rFonts w:cs="Arial"/>
                </w:rPr>
                <w:t>DL 1/2015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ILVA e Taranto</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291" w:anchor="data.20150224.com48.bollettino.sede00010.tit00010" w:history="1">
              <w:r w:rsidR="000B33A8">
                <w:rPr>
                  <w:rStyle w:val="Collegamentoipertestuale"/>
                </w:rPr>
                <w:t>24/02/2015</w:t>
              </w:r>
            </w:hyperlink>
          </w:p>
        </w:tc>
      </w:tr>
    </w:tbl>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225" w:name="premessa03"/>
            <w:r w:rsidRPr="00B26E1F">
              <w:rPr>
                <w:rFonts w:cs="Arial"/>
                <w:b/>
                <w:color w:val="0000FF"/>
                <w:sz w:val="24"/>
                <w:szCs w:val="24"/>
              </w:rPr>
              <w:t>Premessa</w:t>
            </w:r>
            <w:bookmarkEnd w:id="225"/>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1 Condizione, 4 Osservazioni</w:t>
            </w:r>
          </w:p>
        </w:tc>
      </w:tr>
      <w:tr w:rsidR="000B33A8" w:rsidRPr="008B2DCE" w:rsidTr="00B26E1F">
        <w:trPr>
          <w:trHeight w:val="112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3a01" w:history="1">
              <w:r w:rsidR="000B33A8" w:rsidRPr="00D40FBA">
                <w:rPr>
                  <w:rStyle w:val="Collegamentoipertestuale"/>
                </w:rPr>
                <w:t>1</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Al contenuto solo parzialmente appare riconducibile l’articolo 4-</w:t>
            </w:r>
            <w:r w:rsidRPr="00B26E1F">
              <w:rPr>
                <w:rFonts w:cs="Arial"/>
                <w:i/>
              </w:rPr>
              <w:t>bis</w:t>
            </w:r>
            <w:r w:rsidRPr="00B26E1F">
              <w:rPr>
                <w:rFonts w:cs="Arial"/>
              </w:rPr>
              <w:t>, introdotto al Senato.</w:t>
            </w:r>
          </w:p>
        </w:tc>
      </w:tr>
      <w:tr w:rsidR="000B33A8" w:rsidRPr="008B2DCE" w:rsidTr="00B26E1F">
        <w:trPr>
          <w:trHeight w:val="141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3a02" w:history="1">
              <w:r w:rsidR="000B33A8" w:rsidRPr="00812559">
                <w:rPr>
                  <w:rStyle w:val="Collegamentoipertestuale"/>
                </w:rPr>
                <w:t>2</w:t>
              </w:r>
            </w:hyperlink>
            <w:r w:rsidR="000B33A8" w:rsidRPr="00B26E1F">
              <w:rPr>
                <w:rFonts w:cs="Arial"/>
              </w:rPr>
              <w:t xml:space="preserve"> – Coordinamento con le fonti normative vigenti: stratificazione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Pur coordinandosi adeguatamente, il provvedimento interviene su un ambito materiale oggetto di una significativa stratificazione normativa.</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3a03" w:history="1">
              <w:r w:rsidR="000B33A8" w:rsidRPr="00812559">
                <w:rPr>
                  <w:rStyle w:val="Collegamentoipertestuale"/>
                </w:rPr>
                <w:t>3</w:t>
              </w:r>
            </w:hyperlink>
            <w:r w:rsidR="000B33A8" w:rsidRPr="00B26E1F">
              <w:rPr>
                <w:rFonts w:cs="Arial"/>
              </w:rPr>
              <w:t xml:space="preserve"> – Disposizioni derogatorie della normativa vigente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282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1527CD" w:rsidRDefault="00EB0878" w:rsidP="00B26E1F">
            <w:pPr>
              <w:spacing w:before="100" w:beforeAutospacing="1" w:after="100" w:afterAutospacing="1"/>
              <w:ind w:firstLine="0"/>
            </w:pPr>
            <w:hyperlink w:anchor="S03a03bis" w:history="1">
              <w:r w:rsidR="000B33A8" w:rsidRPr="001D0158">
                <w:rPr>
                  <w:rStyle w:val="Collegamentoipertestuale"/>
                </w:rPr>
                <w:t>3-</w:t>
              </w:r>
              <w:r w:rsidR="000B33A8" w:rsidRPr="00B26E1F">
                <w:rPr>
                  <w:rStyle w:val="Collegamentoipertestuale"/>
                  <w:i/>
                </w:rPr>
                <w:t>bis</w:t>
              </w:r>
            </w:hyperlink>
            <w:r w:rsidR="000B33A8">
              <w:t xml:space="preserve"> - </w:t>
            </w:r>
            <w:r w:rsidR="000B33A8" w:rsidRPr="00B26E1F">
              <w:rPr>
                <w:rFonts w:cs="Arial"/>
              </w:rPr>
              <w:t>Disposizioni derogatorie della normativa vigente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Previsione di un DPCM in sostituzione di autorizzazioni, pareri ed atti di assenso di competenza del Ministero dei beni e delle attività culturali e del turismo, in deroga alla legge n. 400/1988, alla legge n. 241/1990, al codice ambientale ed al codice dei beni culturali.</w:t>
            </w:r>
          </w:p>
          <w:p w:rsidR="000B33A8" w:rsidRPr="00B26E1F" w:rsidRDefault="000B33A8" w:rsidP="00B26E1F">
            <w:pPr>
              <w:spacing w:before="100" w:beforeAutospacing="1" w:after="100" w:afterAutospacing="1"/>
              <w:ind w:firstLine="0"/>
              <w:rPr>
                <w:rFonts w:cs="Arial"/>
              </w:rPr>
            </w:pPr>
            <w:r w:rsidRPr="00B26E1F">
              <w:rPr>
                <w:rFonts w:cs="Arial"/>
              </w:rPr>
              <w:t>Osservazione 3</w:t>
            </w:r>
          </w:p>
        </w:tc>
      </w:tr>
      <w:tr w:rsidR="000B33A8" w:rsidRPr="008B2DCE" w:rsidTr="00B26E1F">
        <w:trPr>
          <w:trHeight w:val="170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03a04" w:history="1">
              <w:r w:rsidR="000B33A8" w:rsidRPr="00812559">
                <w:rPr>
                  <w:rStyle w:val="Collegamentoipertestuale"/>
                </w:rPr>
                <w:t>4</w:t>
              </w:r>
            </w:hyperlink>
            <w:r w:rsidR="000B33A8" w:rsidRPr="00B26E1F">
              <w:rPr>
                <w:rFonts w:cs="Arial"/>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Il provvedimento riproduce in parte il contenuto del decreto-legge n. 61/2013, senza coordinarsi con esso.</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bl>
    <w:p w:rsidR="000B33A8" w:rsidRDefault="000B33A8" w:rsidP="000B33A8"/>
    <w:tbl>
      <w:tblPr>
        <w:tblW w:w="5000" w:type="pct"/>
        <w:jc w:val="center"/>
        <w:tblLook w:val="01E0" w:firstRow="1" w:lastRow="1" w:firstColumn="1" w:lastColumn="1" w:noHBand="0" w:noVBand="0"/>
      </w:tblPr>
      <w:tblGrid>
        <w:gridCol w:w="4076"/>
        <w:gridCol w:w="4076"/>
      </w:tblGrid>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3a05" w:history="1">
              <w:r w:rsidR="000B33A8" w:rsidRPr="00812559">
                <w:rPr>
                  <w:rStyle w:val="Collegamentoipertestuale"/>
                </w:rPr>
                <w:t>5</w:t>
              </w:r>
            </w:hyperlink>
            <w:r w:rsidR="000B33A8" w:rsidRPr="00B26E1F">
              <w:rPr>
                <w:rFonts w:cs="Arial"/>
              </w:rPr>
              <w:t xml:space="preserve"> – 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Disposizioni meramente ricognitive di norme di rango primario; disposizioni volte a far salve altre disposizioni vigenti o contenute nel testo; disposizioni meramente dichiarative o descrittive o che esplicitano la propria finalità; richiami ad una direttiva europea (2008/98/CE) già recepita nel nostro ordinamento, al quale andrebbe fatto riferimento.</w:t>
            </w:r>
          </w:p>
          <w:p w:rsidR="000B33A8" w:rsidRPr="00B26E1F" w:rsidRDefault="000B33A8" w:rsidP="00B26E1F">
            <w:pPr>
              <w:spacing w:before="100" w:beforeAutospacing="1" w:after="100" w:afterAutospacing="1"/>
              <w:ind w:firstLine="0"/>
              <w:rPr>
                <w:rFonts w:cs="Arial"/>
              </w:rPr>
            </w:pPr>
            <w:r w:rsidRPr="00B26E1F">
              <w:rPr>
                <w:rFonts w:cs="Arial"/>
              </w:rPr>
              <w:t>Osservazione 2</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3a06" w:history="1">
              <w:r w:rsidR="000B33A8" w:rsidRPr="00B26E1F">
                <w:rPr>
                  <w:rStyle w:val="Collegamentoipertestuale"/>
                  <w:rFonts w:cs="Arial"/>
                </w:rPr>
                <w:t>6</w:t>
              </w:r>
            </w:hyperlink>
            <w:r w:rsidR="000B33A8" w:rsidRPr="00B26E1F">
              <w:rPr>
                <w:rStyle w:val="Collegamentoipertestuale"/>
                <w:rFonts w:cs="Arial"/>
              </w:rPr>
              <w:t xml:space="preserve"> </w:t>
            </w:r>
            <w:r w:rsidR="000B33A8">
              <w:t xml:space="preserve">– </w:t>
            </w:r>
            <w:r w:rsidR="000B33A8" w:rsidRPr="00B26E1F">
              <w:rPr>
                <w:rFonts w:cs="Arial"/>
              </w:rPr>
              <w:t>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Mancata indicazione della periodicità della informativa prescritta.</w:t>
            </w:r>
          </w:p>
          <w:p w:rsidR="000B33A8" w:rsidRPr="00B26E1F" w:rsidRDefault="000B33A8" w:rsidP="00B26E1F">
            <w:pPr>
              <w:spacing w:before="100" w:beforeAutospacing="1" w:after="100" w:afterAutospacing="1"/>
              <w:ind w:firstLine="0"/>
              <w:rPr>
                <w:rFonts w:cs="Arial"/>
              </w:rPr>
            </w:pPr>
            <w:r w:rsidRPr="00B26E1F">
              <w:rPr>
                <w:rFonts w:cs="Arial"/>
              </w:rPr>
              <w:t>Osservazione 4</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3a07" w:history="1">
              <w:r w:rsidR="000B33A8" w:rsidRPr="00B26E1F">
                <w:rPr>
                  <w:rStyle w:val="Collegamentoipertestuale"/>
                  <w:rFonts w:cs="Arial"/>
                </w:rPr>
                <w:t>7</w:t>
              </w:r>
            </w:hyperlink>
            <w:r w:rsidR="000B33A8" w:rsidRPr="00B26E1F">
              <w:rPr>
                <w:rFonts w:cs="Arial"/>
              </w:rPr>
              <w:t xml:space="preserve"> – Coerente utilizzo delle fonti normative: legificazione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 xml:space="preserve">Impiego della fonte legislativa in sostituzione di provvedimenti amministrativi e conseguenti differenze per la formazione dell’atto, la tutela giurisdizionale, l’incidenza su eventuali provvedimenti </w:t>
            </w:r>
            <w:r w:rsidRPr="00B26E1F">
              <w:rPr>
                <w:i/>
              </w:rPr>
              <w:t>sub iudice</w:t>
            </w:r>
            <w:r>
              <w:t xml:space="preserve"> e la conoscibilità (per la mancanza di forme di pubblicazione ufficiale idonee).</w:t>
            </w:r>
          </w:p>
          <w:p w:rsidR="000B33A8" w:rsidRPr="00B26E1F" w:rsidRDefault="000B33A8" w:rsidP="00B26E1F">
            <w:pPr>
              <w:spacing w:before="100" w:beforeAutospacing="1" w:after="100" w:afterAutospacing="1"/>
              <w:ind w:firstLine="0"/>
              <w:rPr>
                <w:rFonts w:cs="Arial"/>
              </w:rPr>
            </w:pPr>
            <w:r>
              <w:t>Condizione 1</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3a08" w:history="1">
              <w:r w:rsidR="000B33A8" w:rsidRPr="00B26E1F">
                <w:rPr>
                  <w:rStyle w:val="Collegamentoipertestuale"/>
                  <w:rFonts w:cs="Arial"/>
                </w:rPr>
                <w:t>8</w:t>
              </w:r>
            </w:hyperlink>
            <w:r w:rsidR="000B33A8" w:rsidRPr="00B26E1F">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Assenti. Assente anche il riferimento all’esenzione dall’obbligo di redigere l’AIR. Richiamo all’articolo 9 del DPCM n. 170/2008.</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3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3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bl>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lastRenderedPageBreak/>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rPr>
                <w:rFonts w:cs="Arial"/>
                <w:i/>
                <w:sz w:val="24"/>
              </w:rPr>
            </w:pPr>
            <w:r w:rsidRPr="00B26E1F">
              <w:rPr>
                <w:rFonts w:cs="Arial"/>
                <w:i/>
              </w:rPr>
              <w:t>Articolo 111 della Costituzione; legge n. 400/1988; legge n. 241/1990; articolo 9 del DPCM n. 170/2008; sentenze della Corte costituzionale n.186/2013, n. 191/2014, n. 85/2013; Scheda n. 13 del turno di presidenza On. Cicu.</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226" w:name="S03a01"/>
      <w:r w:rsidRPr="00B91F58">
        <w:rPr>
          <w:rFonts w:cs="Arial"/>
          <w:szCs w:val="22"/>
        </w:rPr>
        <w:t>1 –</w:t>
      </w:r>
      <w:bookmarkEnd w:id="226"/>
      <w:r w:rsidRPr="00B91F58">
        <w:rPr>
          <w:rFonts w:cs="Arial"/>
          <w:szCs w:val="22"/>
        </w:rPr>
        <w:t xml:space="preserve"> </w:t>
      </w:r>
      <w:hyperlink w:anchor="premessa0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Pr>
          <w:rFonts w:cs="Arial"/>
          <w:szCs w:val="22"/>
        </w:rPr>
        <w:t xml:space="preserve">[il provvedimento] </w:t>
      </w:r>
      <w:r w:rsidRPr="005F7EC0">
        <w:rPr>
          <w:rFonts w:cs="Arial"/>
          <w:szCs w:val="22"/>
        </w:rPr>
        <w:t xml:space="preserve">reca un </w:t>
      </w:r>
      <w:r w:rsidRPr="005F7EC0">
        <w:rPr>
          <w:rFonts w:cs="Arial"/>
          <w:b/>
          <w:szCs w:val="22"/>
        </w:rPr>
        <w:t>contenuto omogeneo</w:t>
      </w:r>
      <w:r w:rsidRPr="005F7EC0">
        <w:rPr>
          <w:rFonts w:cs="Arial"/>
          <w:szCs w:val="22"/>
        </w:rPr>
        <w:t xml:space="preserve">, anche a seguito delle modificazioni apportate dal Senato, in quanto – in corrispondenza a quanto indicato nel titolo e come partitamente indicato nel preambolo – reca misure concernenti la società ILVA </w:t>
      </w:r>
      <w:r>
        <w:rPr>
          <w:rFonts w:cs="Arial"/>
          <w:szCs w:val="22"/>
        </w:rPr>
        <w:t>S</w:t>
      </w:r>
      <w:r w:rsidRPr="005F7EC0">
        <w:rPr>
          <w:rFonts w:cs="Arial"/>
          <w:szCs w:val="22"/>
        </w:rPr>
        <w:t>.p.a. e il suo recupero ambientale e industriale nonché provvedimenti per lo sviluppo e la bonifica della città e dell'area di Taranto, in cui è appunto ubicata l'ILVA, nonché – per effetto di modificazioni introdotte al Senato – disposizioni a favore di creditori dell'Ilva. A tali contenuti solo parzialmente appare riconducibile l'articolo 4-</w:t>
      </w:r>
      <w:r w:rsidRPr="005F7EC0">
        <w:rPr>
          <w:rFonts w:cs="Arial"/>
          <w:i/>
          <w:iCs/>
          <w:szCs w:val="22"/>
        </w:rPr>
        <w:t>bis</w:t>
      </w:r>
      <w:r w:rsidRPr="005F7EC0">
        <w:rPr>
          <w:rFonts w:cs="Arial"/>
          <w:szCs w:val="22"/>
        </w:rPr>
        <w:t>, introdotto al Senato, in materia di anticipo degli oneri derivanti dalle sentenze di condanna inflitte dalla Corte di Giustizia UE, con rivalsa a carico delle amministrazioni responsabili delle violazioni: tale disposizione potrebbe, peraltro, costituire oggetto del disegno di legge europea</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227" w:name="S03a02"/>
      <w:r w:rsidRPr="00B91F58">
        <w:rPr>
          <w:rFonts w:cs="Arial"/>
          <w:szCs w:val="22"/>
        </w:rPr>
        <w:t>2 –</w:t>
      </w:r>
      <w:bookmarkEnd w:id="227"/>
      <w:r w:rsidRPr="00B91F58">
        <w:rPr>
          <w:rFonts w:cs="Arial"/>
          <w:szCs w:val="22"/>
        </w:rPr>
        <w:t xml:space="preserve"> </w:t>
      </w:r>
      <w:hyperlink w:anchor="premessa0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5F7EC0">
        <w:t xml:space="preserve">il decreto-legge interviene su un ambito materiale (l'emergenza ambientale ed occupazionale dello stabilimento ILVA di Taranto) che ha formato oggetto, in tempi recenti, di una significativa </w:t>
      </w:r>
      <w:r w:rsidRPr="005F7EC0">
        <w:rPr>
          <w:b/>
        </w:rPr>
        <w:t>stratificazione normativa</w:t>
      </w:r>
      <w:r w:rsidRPr="005F7EC0">
        <w:t>, essendo stato oggetto dei decreti-legge: 7 agosto 2012, n.</w:t>
      </w:r>
      <w:r>
        <w:t xml:space="preserve"> </w:t>
      </w:r>
      <w:r w:rsidRPr="005F7EC0">
        <w:t>129; 3 dicembre 2012, n.</w:t>
      </w:r>
      <w:r>
        <w:t xml:space="preserve"> </w:t>
      </w:r>
      <w:r w:rsidRPr="005F7EC0">
        <w:t>207; 4 giugno 2013, n.</w:t>
      </w:r>
      <w:r>
        <w:t xml:space="preserve"> </w:t>
      </w:r>
      <w:r w:rsidRPr="005F7EC0">
        <w:t>61; 31 agosto 2013, n.</w:t>
      </w:r>
      <w:r>
        <w:t xml:space="preserve"> </w:t>
      </w:r>
      <w:r w:rsidRPr="005F7EC0">
        <w:t>101 (articolo 12); 10 dicembre 2013, n.</w:t>
      </w:r>
      <w:r>
        <w:t xml:space="preserve"> </w:t>
      </w:r>
      <w:r w:rsidRPr="005F7EC0">
        <w:t>136; 24 giugno 2014, n.</w:t>
      </w:r>
      <w:r>
        <w:t xml:space="preserve"> </w:t>
      </w:r>
      <w:r w:rsidRPr="005F7EC0">
        <w:t>91, nel testo risultante dalla legge di conversione; 16 luglio 2014, n.</w:t>
      </w:r>
      <w:r>
        <w:t xml:space="preserve"> </w:t>
      </w:r>
      <w:r w:rsidRPr="005F7EC0">
        <w:t>100 (non convertito in legge); rispetto ad essi il decreto-legge in esame si rapporta effettuando un adeguato coordinamento</w:t>
      </w:r>
      <w:r w:rsidRPr="00B91F58">
        <w:rPr>
          <w:rFonts w:cs="Arial"/>
          <w:szCs w:val="22"/>
        </w:rPr>
        <w:t>»</w:t>
      </w:r>
      <w:r>
        <w:rPr>
          <w:rFonts w:cs="Arial"/>
          <w:szCs w:val="22"/>
        </w:rPr>
        <w:t>;</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Default="000B33A8" w:rsidP="000B33A8">
      <w:pPr>
        <w:rPr>
          <w:rFonts w:cs="Arial"/>
          <w:szCs w:val="22"/>
        </w:rPr>
      </w:pPr>
      <w:bookmarkStart w:id="228" w:name="S03a03"/>
      <w:r w:rsidRPr="00B91F58">
        <w:rPr>
          <w:rFonts w:cs="Arial"/>
          <w:szCs w:val="22"/>
        </w:rPr>
        <w:t>3 –</w:t>
      </w:r>
      <w:bookmarkEnd w:id="228"/>
      <w:r w:rsidRPr="00B91F58">
        <w:rPr>
          <w:rFonts w:cs="Arial"/>
          <w:szCs w:val="22"/>
        </w:rPr>
        <w:t xml:space="preserve"> </w:t>
      </w:r>
      <w:hyperlink w:anchor="premessa0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165AD3">
        <w:rPr>
          <w:rFonts w:cs="Arial"/>
          <w:b/>
          <w:szCs w:val="22"/>
        </w:rPr>
        <w:t>deroghe</w:t>
      </w:r>
      <w:r w:rsidRPr="00165AD3">
        <w:rPr>
          <w:rFonts w:cs="Arial"/>
          <w:szCs w:val="22"/>
        </w:rPr>
        <w:t xml:space="preserve"> alla normativa vigente sono disposte: all'articolo 1, comma 4, il quale, in deroga ai principi fissati dall'articolo 62 del decreto legislativo n.</w:t>
      </w:r>
      <w:r>
        <w:rPr>
          <w:rFonts w:cs="Arial"/>
          <w:szCs w:val="22"/>
        </w:rPr>
        <w:t xml:space="preserve"> </w:t>
      </w:r>
      <w:r w:rsidRPr="00165AD3">
        <w:rPr>
          <w:rFonts w:cs="Arial"/>
          <w:szCs w:val="22"/>
        </w:rPr>
        <w:t xml:space="preserve">270 del 1999, prevede che il commissario dell'amministrazione straordinaria individua l'affittuario o l'acquirente a trattativa privata; all'articolo 1, </w:t>
      </w:r>
      <w:r w:rsidRPr="00165AD3">
        <w:rPr>
          <w:rFonts w:cs="Arial"/>
          <w:szCs w:val="22"/>
        </w:rPr>
        <w:lastRenderedPageBreak/>
        <w:t>comma 7, che introduce una deroga alla disciplina dell'azione revocatoria prevista dalla legge fallimentare, che risulta applicabile anche alle grandi imprese in stato di insolvenza</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229" w:name="S03a03bis"/>
      <w:r>
        <w:rPr>
          <w:rFonts w:cs="Arial"/>
          <w:szCs w:val="22"/>
        </w:rPr>
        <w:t>3-</w:t>
      </w:r>
      <w:r>
        <w:rPr>
          <w:rFonts w:cs="Arial"/>
          <w:i/>
          <w:szCs w:val="22"/>
        </w:rPr>
        <w:t>bis</w:t>
      </w:r>
      <w:r>
        <w:rPr>
          <w:rFonts w:cs="Arial"/>
          <w:szCs w:val="22"/>
        </w:rPr>
        <w:t xml:space="preserve"> - </w:t>
      </w:r>
      <w:bookmarkEnd w:id="229"/>
      <w:r>
        <w:fldChar w:fldCharType="begin"/>
      </w:r>
      <w:r>
        <w:instrText>HYPERLINK  \l "premessa03"</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Pr>
          <w:rFonts w:cs="Arial"/>
          <w:szCs w:val="22"/>
        </w:rPr>
        <w:t>[</w:t>
      </w:r>
      <w:r w:rsidRPr="00165AD3">
        <w:rPr>
          <w:rFonts w:cs="Arial"/>
          <w:b/>
          <w:szCs w:val="22"/>
        </w:rPr>
        <w:t>deroghe</w:t>
      </w:r>
      <w:r>
        <w:rPr>
          <w:rFonts w:cs="Arial"/>
          <w:szCs w:val="22"/>
        </w:rPr>
        <w:t xml:space="preserve"> alla normativa vigente sono disposte] </w:t>
      </w:r>
      <w:r w:rsidRPr="00165AD3">
        <w:rPr>
          <w:rFonts w:cs="Arial"/>
          <w:szCs w:val="22"/>
        </w:rPr>
        <w:t xml:space="preserve">all'articolo 8, ove il comma 3 e il comma 4 demandano ad un decreto del Presidente del Consiglio dei ministri, su proposta dei Ministeri dei beni e delle attività culturali e del turismo e della difesa, previa intesa con la Regione Puglia e il comune di Taranto, la predisposizione di un progetto di valorizzazione culturale e turistica dell'Arsenale marittimo di Taranto: detto DPCM “sostituisce tutte le autorizzazioni, i pareri e gli atti di assenso comunque denominati di competenza del Ministero dei beni e delle attività culturali e del turismo” e dunque deroga alla </w:t>
      </w:r>
      <w:r w:rsidRPr="00165AD3">
        <w:rPr>
          <w:rFonts w:cs="Arial"/>
          <w:b/>
          <w:szCs w:val="22"/>
        </w:rPr>
        <w:t>legge n. 400 del 1988</w:t>
      </w:r>
      <w:r w:rsidRPr="00165AD3">
        <w:rPr>
          <w:rFonts w:cs="Arial"/>
          <w:szCs w:val="22"/>
        </w:rPr>
        <w:t xml:space="preserve">, che non prevede in via generale l'adozione di DPCM su proposta di ministeri, e alle procedure previste, in generale, dalla </w:t>
      </w:r>
      <w:r w:rsidRPr="00165AD3">
        <w:rPr>
          <w:rFonts w:cs="Arial"/>
          <w:b/>
          <w:szCs w:val="22"/>
        </w:rPr>
        <w:t>legge n. 241 del 1990</w:t>
      </w:r>
      <w:r w:rsidRPr="00165AD3">
        <w:rPr>
          <w:rFonts w:cs="Arial"/>
          <w:szCs w:val="22"/>
        </w:rPr>
        <w:t xml:space="preserve">, dal </w:t>
      </w:r>
      <w:r w:rsidRPr="00165AD3">
        <w:rPr>
          <w:rFonts w:cs="Arial"/>
          <w:b/>
          <w:szCs w:val="22"/>
        </w:rPr>
        <w:t>codice ambientale</w:t>
      </w:r>
      <w:r w:rsidRPr="00165AD3">
        <w:rPr>
          <w:rFonts w:cs="Arial"/>
          <w:szCs w:val="22"/>
        </w:rPr>
        <w:t xml:space="preserve"> e dal </w:t>
      </w:r>
      <w:r w:rsidRPr="00165AD3">
        <w:rPr>
          <w:rFonts w:cs="Arial"/>
          <w:b/>
          <w:szCs w:val="22"/>
        </w:rPr>
        <w:t>codice dei beni culturali</w:t>
      </w:r>
      <w:r w:rsidRPr="00B91F58">
        <w:rPr>
          <w:rFonts w:cs="Arial"/>
          <w:szCs w:val="22"/>
        </w:rPr>
        <w:t>»</w:t>
      </w:r>
      <w:r>
        <w:rPr>
          <w:rFonts w:cs="Arial"/>
          <w:szCs w:val="22"/>
        </w:rPr>
        <w:t xml:space="preserve"> </w:t>
      </w:r>
      <w:r w:rsidRPr="00B91F58">
        <w:rPr>
          <w:rFonts w:cs="Arial"/>
          <w:szCs w:val="22"/>
        </w:rPr>
        <w:t>(</w:t>
      </w:r>
      <w:hyperlink w:anchor="S03o03"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rPr>
          <w:rFonts w:cs="Arial"/>
          <w:szCs w:val="22"/>
        </w:rPr>
      </w:pPr>
    </w:p>
    <w:p w:rsidR="000B33A8" w:rsidRDefault="000B33A8" w:rsidP="000B33A8">
      <w:pPr>
        <w:rPr>
          <w:rFonts w:cs="Arial"/>
          <w:szCs w:val="22"/>
        </w:rPr>
      </w:pPr>
      <w:bookmarkStart w:id="230" w:name="S03a04"/>
      <w:r w:rsidRPr="00B91F58">
        <w:rPr>
          <w:rFonts w:cs="Arial"/>
          <w:szCs w:val="22"/>
        </w:rPr>
        <w:t>4 –</w:t>
      </w:r>
      <w:bookmarkEnd w:id="230"/>
      <w:r w:rsidRPr="00B91F58">
        <w:rPr>
          <w:rFonts w:cs="Arial"/>
          <w:szCs w:val="22"/>
        </w:rPr>
        <w:t xml:space="preserve"> </w:t>
      </w:r>
      <w:hyperlink w:anchor="premessa0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E56D47">
        <w:rPr>
          <w:rFonts w:cs="Arial"/>
          <w:szCs w:val="22"/>
        </w:rPr>
        <w:t xml:space="preserve">in alcuni punti dell'articolo 2, il decreto-legge in esame </w:t>
      </w:r>
      <w:r w:rsidRPr="00E56D47">
        <w:rPr>
          <w:rFonts w:cs="Arial"/>
          <w:b/>
          <w:szCs w:val="22"/>
        </w:rPr>
        <w:t>riproduce il contenuto del decreto-legge n.</w:t>
      </w:r>
      <w:r>
        <w:rPr>
          <w:rFonts w:cs="Arial"/>
          <w:b/>
          <w:szCs w:val="22"/>
        </w:rPr>
        <w:t xml:space="preserve"> </w:t>
      </w:r>
      <w:r w:rsidRPr="00E56D47">
        <w:rPr>
          <w:rFonts w:cs="Arial"/>
          <w:b/>
          <w:szCs w:val="22"/>
        </w:rPr>
        <w:t>61 del 2013</w:t>
      </w:r>
      <w:r w:rsidRPr="00E56D47">
        <w:rPr>
          <w:rFonts w:cs="Arial"/>
          <w:szCs w:val="22"/>
        </w:rPr>
        <w:t xml:space="preserve">: </w:t>
      </w:r>
    </w:p>
    <w:p w:rsidR="000B33A8" w:rsidRDefault="000B33A8" w:rsidP="000B33A8">
      <w:pPr>
        <w:rPr>
          <w:rFonts w:cs="Arial"/>
          <w:szCs w:val="22"/>
        </w:rPr>
      </w:pPr>
      <w:r w:rsidRPr="00E56D47">
        <w:rPr>
          <w:rFonts w:cs="Arial"/>
          <w:szCs w:val="22"/>
        </w:rPr>
        <w:t>il comma 3 ripete in gran parte l'articolo 2, comma 1-</w:t>
      </w:r>
      <w:r w:rsidRPr="00E56D47">
        <w:rPr>
          <w:rFonts w:cs="Arial"/>
          <w:i/>
          <w:iCs/>
          <w:szCs w:val="22"/>
        </w:rPr>
        <w:t>bis</w:t>
      </w:r>
      <w:r w:rsidRPr="00E56D47">
        <w:rPr>
          <w:rFonts w:cs="Arial"/>
          <w:szCs w:val="22"/>
        </w:rPr>
        <w:t xml:space="preserve">, primo periodo del decreto del 2013; </w:t>
      </w:r>
    </w:p>
    <w:p w:rsidR="000B33A8" w:rsidRDefault="000B33A8" w:rsidP="000B33A8">
      <w:pPr>
        <w:rPr>
          <w:rFonts w:cs="Arial"/>
          <w:szCs w:val="22"/>
        </w:rPr>
      </w:pPr>
      <w:r w:rsidRPr="00E56D47">
        <w:rPr>
          <w:rFonts w:cs="Arial"/>
          <w:szCs w:val="22"/>
        </w:rPr>
        <w:t>il comma 4 reca disposizioni molto simili all'articolo 2, comma 1-</w:t>
      </w:r>
      <w:r w:rsidRPr="00E56D47">
        <w:rPr>
          <w:rFonts w:cs="Arial"/>
          <w:i/>
          <w:iCs/>
          <w:szCs w:val="22"/>
        </w:rPr>
        <w:t>ter</w:t>
      </w:r>
      <w:r w:rsidRPr="00E56D47">
        <w:rPr>
          <w:rFonts w:cs="Arial"/>
          <w:szCs w:val="22"/>
        </w:rPr>
        <w:t xml:space="preserve">, del decreto del 2013, ma con alcune differenze; </w:t>
      </w:r>
    </w:p>
    <w:p w:rsidR="000B33A8" w:rsidRPr="00B91F58" w:rsidRDefault="000B33A8" w:rsidP="000B33A8">
      <w:pPr>
        <w:rPr>
          <w:rFonts w:cs="Arial"/>
          <w:szCs w:val="22"/>
        </w:rPr>
      </w:pPr>
      <w:r w:rsidRPr="00E56D47">
        <w:rPr>
          <w:rFonts w:cs="Arial"/>
          <w:szCs w:val="22"/>
        </w:rPr>
        <w:t>al comma 5, il secondo ed il terzo periodo ripetono in gran parte, con riguardo al commissario straordinario per l'amministrazione straordinaria, quanto già disposto dall'articolo 2, comma 3-</w:t>
      </w:r>
      <w:r w:rsidRPr="00E56D47">
        <w:rPr>
          <w:rFonts w:cs="Arial"/>
          <w:i/>
          <w:iCs/>
          <w:szCs w:val="22"/>
        </w:rPr>
        <w:t>ter</w:t>
      </w:r>
      <w:r w:rsidRPr="00E56D47">
        <w:rPr>
          <w:rFonts w:cs="Arial"/>
          <w:szCs w:val="22"/>
        </w:rPr>
        <w:t>, del decreto del 2013 in relazione al commissario straordinario ivi previsto</w:t>
      </w:r>
      <w:r>
        <w:rPr>
          <w:rFonts w:cs="Arial"/>
          <w:szCs w:val="22"/>
        </w:rPr>
        <w:t xml:space="preserve"> </w:t>
      </w:r>
      <w:r w:rsidRPr="00B91F58">
        <w:rPr>
          <w:rFonts w:cs="Arial"/>
          <w:szCs w:val="22"/>
        </w:rPr>
        <w:t>»</w:t>
      </w:r>
      <w:r>
        <w:rPr>
          <w:rFonts w:cs="Arial"/>
          <w:szCs w:val="22"/>
        </w:rPr>
        <w:t xml:space="preserve"> </w:t>
      </w:r>
      <w:r w:rsidRPr="00B91F58">
        <w:rPr>
          <w:rFonts w:cs="Arial"/>
          <w:szCs w:val="22"/>
        </w:rPr>
        <w:t>(</w:t>
      </w:r>
      <w:hyperlink w:anchor="S03o01"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231" w:name="S03a05"/>
      <w:r w:rsidRPr="00B91F58">
        <w:rPr>
          <w:rFonts w:cs="Arial"/>
          <w:szCs w:val="22"/>
        </w:rPr>
        <w:t>5 –</w:t>
      </w:r>
      <w:bookmarkEnd w:id="231"/>
      <w:r w:rsidRPr="00B91F58">
        <w:rPr>
          <w:rFonts w:cs="Arial"/>
          <w:szCs w:val="22"/>
        </w:rPr>
        <w:t xml:space="preserve"> </w:t>
      </w:r>
      <w:hyperlink w:anchor="premessa0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E56D47">
        <w:rPr>
          <w:rFonts w:cs="Arial"/>
          <w:szCs w:val="22"/>
        </w:rPr>
        <w:t xml:space="preserve">talune disposizioni appaiono </w:t>
      </w:r>
      <w:r w:rsidRPr="00E56D47">
        <w:rPr>
          <w:rFonts w:cs="Arial"/>
          <w:b/>
          <w:szCs w:val="22"/>
        </w:rPr>
        <w:t>di dubbia o nulla portata normativa</w:t>
      </w:r>
      <w:r w:rsidRPr="00E56D47">
        <w:rPr>
          <w:rFonts w:cs="Arial"/>
          <w:szCs w:val="22"/>
        </w:rPr>
        <w:t>, non sembrando presentare un contenuto innovativo dell'ordinamento, in quanto si limitano a richiamare o ribadire la disciplina già vigente. A titolo esemplificativo: l'articolo 1, comma 4, capoverso 4-</w:t>
      </w:r>
      <w:r w:rsidRPr="00E56D47">
        <w:rPr>
          <w:rFonts w:cs="Arial"/>
          <w:i/>
          <w:iCs/>
          <w:szCs w:val="22"/>
        </w:rPr>
        <w:t>quater</w:t>
      </w:r>
      <w:r w:rsidRPr="00E56D47">
        <w:rPr>
          <w:rFonts w:cs="Arial"/>
          <w:szCs w:val="22"/>
        </w:rPr>
        <w:t xml:space="preserve"> mantiene fermo “il rispetto dei principi di trasparenza e non discriminazione”; l'articolo 2, comma 8, richiama, alcune norme che risulterebbero comunque applicabili, omettendone però altre; l'articolo 3, al comma 3, prevede che le contabilità speciali siano rendicontate “secondo la normativa vigente” e al comma 4 mantiene fermo il diritto di rivalsa da parte dello Stato nei confronti dei responsabili del danno </w:t>
      </w:r>
      <w:r w:rsidRPr="00E56D47">
        <w:rPr>
          <w:rFonts w:cs="Arial"/>
          <w:szCs w:val="22"/>
        </w:rPr>
        <w:lastRenderedPageBreak/>
        <w:t>ambientale; l'articolo 4, comma 2-</w:t>
      </w:r>
      <w:r w:rsidRPr="00E56D47">
        <w:rPr>
          <w:rFonts w:cs="Arial"/>
          <w:i/>
          <w:iCs/>
          <w:szCs w:val="22"/>
        </w:rPr>
        <w:t>bis</w:t>
      </w:r>
      <w:r w:rsidRPr="00E56D47">
        <w:rPr>
          <w:rFonts w:cs="Arial"/>
          <w:szCs w:val="22"/>
        </w:rPr>
        <w:t xml:space="preserve"> recita: “Nel rispetto dei principi generali dell'ordinamento interno e comunitario, l'attività produttiva e le attività di gestione di rifiuti autorizzate in forza del presente decreto devono rispettare i principi della Direttiva 2008/98/CE del Parlamento europeo e del Consiglio del 19 novembre 2008 e, in particolare, la gerarchia delle modalità di gestione dei rifiuti, secondo l'ordine di priorità della prevenzione, del riutilizzo, del riciclaggio e del recupero” (peraltro la direttiva 2008/98/CE è stata recepita con il decreto legislativo n.</w:t>
      </w:r>
      <w:r>
        <w:rPr>
          <w:rFonts w:cs="Arial"/>
          <w:szCs w:val="22"/>
        </w:rPr>
        <w:t xml:space="preserve"> </w:t>
      </w:r>
      <w:r w:rsidRPr="00E56D47">
        <w:rPr>
          <w:rFonts w:cs="Arial"/>
          <w:szCs w:val="22"/>
        </w:rPr>
        <w:t>205 del 2010, che ha novellato il cosiddetto codice ambientale: a quest'ultimo occorrerebbe fare riferimento); il “rispetto dei principi definiti dalla direttiva 2008/98/CE” viene richiamato anche nel comma 2-</w:t>
      </w:r>
      <w:r w:rsidRPr="00E56D47">
        <w:rPr>
          <w:rFonts w:cs="Arial"/>
          <w:i/>
          <w:iCs/>
          <w:szCs w:val="22"/>
        </w:rPr>
        <w:t>ter</w:t>
      </w:r>
      <w:r w:rsidRPr="00E56D47">
        <w:rPr>
          <w:rFonts w:cs="Arial"/>
          <w:szCs w:val="22"/>
        </w:rPr>
        <w:t>; l'articolo 8, comma 4, mantiene fermo “quanto disposto in materia di norme e piani urbanistici ed edilizi dall'articolo 2, comma 1, del decreto del Presidente della Repubblica 18 aprile 1994, n.</w:t>
      </w:r>
      <w:r>
        <w:rPr>
          <w:rFonts w:cs="Arial"/>
          <w:szCs w:val="22"/>
        </w:rPr>
        <w:t xml:space="preserve"> </w:t>
      </w:r>
      <w:r w:rsidRPr="00E56D47">
        <w:rPr>
          <w:rFonts w:cs="Arial"/>
          <w:szCs w:val="22"/>
        </w:rPr>
        <w:t>383” (disciplina dei procedimenti di localizzazione de</w:t>
      </w:r>
      <w:r>
        <w:rPr>
          <w:rFonts w:cs="Arial"/>
          <w:szCs w:val="22"/>
        </w:rPr>
        <w:t>lle opere di interesse statale)</w:t>
      </w:r>
      <w:r w:rsidRPr="00B91F58">
        <w:rPr>
          <w:rFonts w:cs="Arial"/>
          <w:szCs w:val="22"/>
        </w:rPr>
        <w:t>»</w:t>
      </w:r>
      <w:r>
        <w:rPr>
          <w:rFonts w:cs="Arial"/>
          <w:szCs w:val="22"/>
        </w:rPr>
        <w:t xml:space="preserve"> </w:t>
      </w:r>
      <w:r w:rsidRPr="00B91F58">
        <w:rPr>
          <w:rFonts w:cs="Arial"/>
          <w:szCs w:val="22"/>
        </w:rPr>
        <w:t>(</w:t>
      </w:r>
      <w:hyperlink w:anchor="S03o02" w:history="1">
        <w:r>
          <w:rPr>
            <w:rStyle w:val="Collegamentoipertestuale"/>
            <w:rFonts w:cs="Arial"/>
            <w:b/>
            <w:szCs w:val="22"/>
          </w:rPr>
          <w:t>conseguente osservazione</w:t>
        </w:r>
      </w:hyperlink>
      <w:r w:rsidRPr="00B91F58">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232" w:name="S03a06"/>
      <w:r w:rsidRPr="00B91F58">
        <w:rPr>
          <w:rFonts w:cs="Arial"/>
          <w:szCs w:val="22"/>
        </w:rPr>
        <w:t xml:space="preserve">6 – </w:t>
      </w:r>
      <w:bookmarkEnd w:id="232"/>
      <w:r>
        <w:fldChar w:fldCharType="begin"/>
      </w:r>
      <w:r>
        <w:instrText>HYPERLINK  \l "premessa03"</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E56D47">
        <w:rPr>
          <w:rFonts w:cs="Arial"/>
          <w:szCs w:val="22"/>
        </w:rPr>
        <w:t xml:space="preserve">l'articolo 3, comma 3, dispone – fra l'altro – che il Commissario straordinario fornisca una “periodica informativa” in merito alle contabilità speciali, senza però prevedere quale sia la </w:t>
      </w:r>
      <w:r w:rsidRPr="00E56D47">
        <w:rPr>
          <w:rFonts w:cs="Arial"/>
          <w:b/>
          <w:szCs w:val="22"/>
        </w:rPr>
        <w:t>periodicità</w:t>
      </w:r>
      <w:r w:rsidRPr="00E56D47">
        <w:rPr>
          <w:rFonts w:cs="Arial"/>
          <w:szCs w:val="22"/>
        </w:rPr>
        <w:t xml:space="preserve"> di tale adempimento</w:t>
      </w:r>
      <w:r>
        <w:rPr>
          <w:rFonts w:cs="Arial"/>
          <w:szCs w:val="22"/>
        </w:rPr>
        <w:t xml:space="preserve"> </w:t>
      </w:r>
      <w:r w:rsidRPr="00B91F58">
        <w:rPr>
          <w:rFonts w:cs="Arial"/>
          <w:szCs w:val="22"/>
        </w:rPr>
        <w:t>»</w:t>
      </w:r>
      <w:r>
        <w:rPr>
          <w:rFonts w:cs="Arial"/>
          <w:szCs w:val="22"/>
        </w:rPr>
        <w:t xml:space="preserve"> </w:t>
      </w:r>
      <w:r w:rsidRPr="00B91F58">
        <w:rPr>
          <w:rFonts w:cs="Arial"/>
          <w:szCs w:val="22"/>
        </w:rPr>
        <w:t>(</w:t>
      </w:r>
      <w:hyperlink w:anchor="S03o04" w:history="1">
        <w:r>
          <w:rPr>
            <w:rStyle w:val="Collegamentoipertestuale"/>
            <w:rFonts w:cs="Arial"/>
            <w:b/>
            <w:szCs w:val="22"/>
          </w:rPr>
          <w:t>conseguente osservazione</w:t>
        </w:r>
      </w:hyperlink>
      <w:r w:rsidRPr="00B91F58">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233" w:name="S03a07"/>
      <w:r w:rsidRPr="00B91F58">
        <w:rPr>
          <w:rFonts w:cs="Arial"/>
          <w:szCs w:val="22"/>
        </w:rPr>
        <w:t xml:space="preserve">7 – </w:t>
      </w:r>
      <w:bookmarkEnd w:id="233"/>
      <w:r>
        <w:fldChar w:fldCharType="begin"/>
      </w:r>
      <w:r>
        <w:instrText>HYPERLINK  \l "premessa03"</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E56D47">
        <w:rPr>
          <w:rFonts w:cs="Arial"/>
          <w:szCs w:val="22"/>
        </w:rPr>
        <w:t xml:space="preserve">l'articolo 4, ai commi 1 e 2, dispone l'approvazione </w:t>
      </w:r>
      <w:r w:rsidRPr="00E56D47">
        <w:rPr>
          <w:rFonts w:cs="Arial"/>
          <w:i/>
          <w:iCs/>
          <w:szCs w:val="22"/>
        </w:rPr>
        <w:t>ope legis</w:t>
      </w:r>
      <w:r w:rsidRPr="00E56D47">
        <w:rPr>
          <w:rFonts w:cs="Arial"/>
          <w:szCs w:val="22"/>
        </w:rPr>
        <w:t xml:space="preserve"> delle seguenti proposte di piano (che dovevano essere sottoposte ad una procedura di approvazione disciplinata dal decreto-legge n.101 del 2013), richiamate ma non allegate al decreto stesso:</w:t>
      </w:r>
    </w:p>
    <w:p w:rsidR="000B33A8" w:rsidRDefault="000B33A8" w:rsidP="000B33A8">
      <w:pPr>
        <w:rPr>
          <w:rFonts w:cs="Arial"/>
          <w:szCs w:val="22"/>
        </w:rPr>
      </w:pPr>
      <w:r w:rsidRPr="00E56D47">
        <w:rPr>
          <w:rFonts w:cs="Arial"/>
          <w:szCs w:val="22"/>
        </w:rPr>
        <w:t>1) le modalità di costruzione e di gestione delle discariche per rifiuti speciali, pericolosi e non pericolosi, localizzate nel perimetro dell'impianto produttivo dell'Ilva di Taranto, presentate in data 19 dicembre 2014 dal sub-commissario ambientale;</w:t>
      </w:r>
    </w:p>
    <w:p w:rsidR="000B33A8" w:rsidRDefault="000B33A8" w:rsidP="000B33A8">
      <w:pPr>
        <w:rPr>
          <w:rFonts w:cs="Arial"/>
          <w:szCs w:val="22"/>
        </w:rPr>
      </w:pPr>
      <w:r w:rsidRPr="00E56D47">
        <w:rPr>
          <w:rFonts w:cs="Arial"/>
          <w:szCs w:val="22"/>
        </w:rPr>
        <w:t>2) (per effetto di una previsione introdotta al Senato) le proposte presentate in data 19 dicembre 2014 al Ministro dell'ambiente dal sub-commissario ambientale, relative alla definizione delle misure di compensazione ambientale;</w:t>
      </w:r>
    </w:p>
    <w:p w:rsidR="000B33A8" w:rsidRDefault="000B33A8" w:rsidP="000B33A8">
      <w:pPr>
        <w:rPr>
          <w:rFonts w:cs="Arial"/>
          <w:szCs w:val="22"/>
        </w:rPr>
      </w:pPr>
      <w:r w:rsidRPr="00E56D47">
        <w:rPr>
          <w:rFonts w:cs="Arial"/>
          <w:szCs w:val="22"/>
        </w:rPr>
        <w:t>3) le modalità di gestione e smaltimento dei rifiuti del ciclo produttivo dell'Ilva di Taranto presentate in data 11 dicembre 2014 dal sub-commissario ambientale;</w:t>
      </w:r>
    </w:p>
    <w:p w:rsidR="000B33A8" w:rsidRDefault="000B33A8" w:rsidP="000B33A8">
      <w:pPr>
        <w:rPr>
          <w:rFonts w:cs="Arial"/>
          <w:szCs w:val="22"/>
        </w:rPr>
      </w:pPr>
      <w:r w:rsidRPr="00E56D47">
        <w:rPr>
          <w:rFonts w:cs="Arial"/>
          <w:szCs w:val="22"/>
        </w:rPr>
        <w:t>sul piano dell'uso della tecnica legislativa, tali previsioni assumono rilievo sotto due distinti profili:</w:t>
      </w:r>
    </w:p>
    <w:p w:rsidR="000B33A8" w:rsidRDefault="000B33A8" w:rsidP="000B33A8">
      <w:pPr>
        <w:rPr>
          <w:rFonts w:cs="Arial"/>
          <w:szCs w:val="22"/>
        </w:rPr>
      </w:pPr>
      <w:r w:rsidRPr="00E56D47">
        <w:rPr>
          <w:rFonts w:cs="Arial"/>
          <w:i/>
          <w:iCs/>
          <w:szCs w:val="22"/>
        </w:rPr>
        <w:t>a)</w:t>
      </w:r>
      <w:r w:rsidRPr="00E56D47">
        <w:rPr>
          <w:rFonts w:cs="Arial"/>
          <w:szCs w:val="22"/>
        </w:rPr>
        <w:t xml:space="preserve"> in linea generale, </w:t>
      </w:r>
      <w:r w:rsidRPr="00E56D47">
        <w:rPr>
          <w:rFonts w:cs="Arial"/>
          <w:b/>
          <w:szCs w:val="22"/>
        </w:rPr>
        <w:t>l'approvazione per decreto-legge</w:t>
      </w:r>
      <w:r w:rsidRPr="00E56D47">
        <w:rPr>
          <w:rFonts w:cs="Arial"/>
          <w:szCs w:val="22"/>
        </w:rPr>
        <w:t xml:space="preserve">, presenta – </w:t>
      </w:r>
      <w:r w:rsidRPr="00E56D47">
        <w:rPr>
          <w:rFonts w:cs="Arial"/>
          <w:b/>
          <w:szCs w:val="22"/>
        </w:rPr>
        <w:t>rispetto all'adozione di un provvedimento amministrativo</w:t>
      </w:r>
      <w:r w:rsidRPr="00E56D47">
        <w:rPr>
          <w:rFonts w:cs="Arial"/>
          <w:szCs w:val="22"/>
        </w:rPr>
        <w:t>, come originariamente previsto – diversi regimi di:</w:t>
      </w:r>
    </w:p>
    <w:p w:rsidR="000B33A8" w:rsidRDefault="000B33A8" w:rsidP="000B33A8">
      <w:pPr>
        <w:rPr>
          <w:rFonts w:cs="Arial"/>
          <w:szCs w:val="22"/>
        </w:rPr>
      </w:pPr>
      <w:r w:rsidRPr="00E56D47">
        <w:rPr>
          <w:rFonts w:cs="Arial"/>
          <w:szCs w:val="22"/>
        </w:rPr>
        <w:lastRenderedPageBreak/>
        <w:t>formazione dell'atto (si pensi agli istituti di: partecipazione, informazione al pubblico, ponderazione degli interessi, acquisizione di pareri e atti propedeutici, motivazione, responsabilità amministrativa);</w:t>
      </w:r>
    </w:p>
    <w:p w:rsidR="000B33A8" w:rsidRDefault="000B33A8" w:rsidP="000B33A8">
      <w:pPr>
        <w:rPr>
          <w:rFonts w:cs="Arial"/>
          <w:szCs w:val="22"/>
        </w:rPr>
      </w:pPr>
      <w:r w:rsidRPr="00E56D47">
        <w:rPr>
          <w:rFonts w:cs="Arial"/>
          <w:szCs w:val="22"/>
        </w:rPr>
        <w:t>tutela giurisdizionale (accesso alla giustizia costituzionale piuttosto che a quella amministrativa);</w:t>
      </w:r>
    </w:p>
    <w:p w:rsidR="000B33A8" w:rsidRDefault="000B33A8" w:rsidP="000B33A8">
      <w:pPr>
        <w:rPr>
          <w:rFonts w:cs="Arial"/>
          <w:szCs w:val="22"/>
        </w:rPr>
      </w:pPr>
      <w:r w:rsidRPr="00E56D47">
        <w:rPr>
          <w:rFonts w:cs="Arial"/>
          <w:szCs w:val="22"/>
        </w:rPr>
        <w:t xml:space="preserve">incidenza su eventuali procedimenti </w:t>
      </w:r>
      <w:r w:rsidRPr="00E56D47">
        <w:rPr>
          <w:rFonts w:cs="Arial"/>
          <w:i/>
          <w:iCs/>
          <w:szCs w:val="22"/>
        </w:rPr>
        <w:t>sub iudice</w:t>
      </w:r>
      <w:r w:rsidRPr="00E56D47">
        <w:rPr>
          <w:rFonts w:cs="Arial"/>
          <w:szCs w:val="22"/>
        </w:rPr>
        <w:t xml:space="preserve"> (al riguardo si rammenta, da un lato, che “La giurisprudenza costituzionale ravvisa una violazione del ’principio della parità delle parti’, di cui all'</w:t>
      </w:r>
      <w:r w:rsidRPr="00E56D47">
        <w:rPr>
          <w:rFonts w:cs="Arial"/>
          <w:b/>
          <w:szCs w:val="22"/>
        </w:rPr>
        <w:t>articolo 111 Cost</w:t>
      </w:r>
      <w:r w:rsidRPr="00E56D47">
        <w:rPr>
          <w:rFonts w:cs="Arial"/>
          <w:szCs w:val="22"/>
        </w:rPr>
        <w:t xml:space="preserve">., quando il legislatore statale immette nell'ordinamento una fattispecie di </w:t>
      </w:r>
      <w:r w:rsidRPr="00E56D47">
        <w:rPr>
          <w:rFonts w:cs="Arial"/>
          <w:i/>
          <w:iCs/>
          <w:szCs w:val="22"/>
        </w:rPr>
        <w:t>ius singulare</w:t>
      </w:r>
      <w:r w:rsidRPr="00E56D47">
        <w:rPr>
          <w:rFonts w:cs="Arial"/>
          <w:szCs w:val="22"/>
        </w:rPr>
        <w:t xml:space="preserve"> che determina lo sbilanciamento fra le due posizioni in gioco (da ultimo, </w:t>
      </w:r>
      <w:r w:rsidRPr="00E56D47">
        <w:rPr>
          <w:rFonts w:cs="Arial"/>
          <w:i/>
          <w:iCs/>
          <w:szCs w:val="22"/>
        </w:rPr>
        <w:t>ex plurimis</w:t>
      </w:r>
      <w:r w:rsidRPr="00E56D47">
        <w:rPr>
          <w:rFonts w:cs="Arial"/>
          <w:szCs w:val="22"/>
        </w:rPr>
        <w:t xml:space="preserve">, </w:t>
      </w:r>
      <w:r w:rsidRPr="00E56D47">
        <w:rPr>
          <w:rFonts w:cs="Arial"/>
          <w:b/>
          <w:szCs w:val="22"/>
        </w:rPr>
        <w:t>sentenza n. 186 del 2013</w:t>
      </w:r>
      <w:r w:rsidRPr="00E56D47">
        <w:rPr>
          <w:rFonts w:cs="Arial"/>
          <w:szCs w:val="22"/>
        </w:rPr>
        <w:t>)” (</w:t>
      </w:r>
      <w:r w:rsidRPr="00E56D47">
        <w:rPr>
          <w:rFonts w:cs="Arial"/>
          <w:b/>
          <w:szCs w:val="22"/>
        </w:rPr>
        <w:t>sent. n.191 del 2014</w:t>
      </w:r>
      <w:r w:rsidRPr="00E56D47">
        <w:rPr>
          <w:rFonts w:cs="Arial"/>
          <w:szCs w:val="22"/>
        </w:rPr>
        <w:t>) e, dall'altro, che in un caso simile, sempre relativo all'emergenza dell'Ilva, gli articoli 1 e 3 del decreto-legge n.</w:t>
      </w:r>
      <w:r>
        <w:rPr>
          <w:rFonts w:cs="Arial"/>
          <w:szCs w:val="22"/>
        </w:rPr>
        <w:t xml:space="preserve"> </w:t>
      </w:r>
      <w:r w:rsidRPr="00E56D47">
        <w:rPr>
          <w:rFonts w:cs="Arial"/>
          <w:szCs w:val="22"/>
        </w:rPr>
        <w:t>207 del 2012 sono passati indenn</w:t>
      </w:r>
      <w:r>
        <w:rPr>
          <w:rFonts w:cs="Arial"/>
          <w:szCs w:val="22"/>
        </w:rPr>
        <w:t xml:space="preserve">i al vaglio di costituzionalità” </w:t>
      </w:r>
      <w:r w:rsidRPr="00E56D47">
        <w:rPr>
          <w:rFonts w:cs="Arial"/>
          <w:szCs w:val="22"/>
        </w:rPr>
        <w:t>proprio in quanto nella fattispecie non sussisteva alcuna lesione della riserva di giurisdizione (</w:t>
      </w:r>
      <w:r w:rsidRPr="00E56D47">
        <w:rPr>
          <w:rFonts w:cs="Arial"/>
          <w:b/>
          <w:szCs w:val="22"/>
        </w:rPr>
        <w:t>sent. n. 85 del 2013</w:t>
      </w:r>
      <w:r w:rsidRPr="00E56D47">
        <w:rPr>
          <w:rFonts w:cs="Arial"/>
          <w:szCs w:val="22"/>
        </w:rPr>
        <w:t>);</w:t>
      </w:r>
    </w:p>
    <w:p w:rsidR="000B33A8" w:rsidRPr="00B91F58" w:rsidRDefault="000B33A8" w:rsidP="000B33A8">
      <w:pPr>
        <w:rPr>
          <w:rFonts w:cs="Arial"/>
          <w:szCs w:val="22"/>
        </w:rPr>
      </w:pPr>
      <w:r w:rsidRPr="00E56D47">
        <w:rPr>
          <w:rFonts w:cs="Arial"/>
          <w:i/>
          <w:iCs/>
          <w:szCs w:val="22"/>
        </w:rPr>
        <w:t>b)</w:t>
      </w:r>
      <w:r w:rsidRPr="00E56D47">
        <w:rPr>
          <w:rFonts w:cs="Arial"/>
          <w:szCs w:val="22"/>
        </w:rPr>
        <w:t xml:space="preserve"> nel caso in esame, le proposte di cui all'articolo 4, proprio in quanto approvate in via legislativa e richiamate dall'atto stesso, dovrebbero essere oggetto di pubblicazione ufficiale per consentirne </w:t>
      </w:r>
      <w:r w:rsidRPr="00E56D47">
        <w:rPr>
          <w:rFonts w:cs="Arial"/>
          <w:b/>
          <w:szCs w:val="22"/>
        </w:rPr>
        <w:t>un idoneo regime di pubblicità e di conoscibilità legale</w:t>
      </w:r>
      <w:r w:rsidRPr="00E56D47">
        <w:rPr>
          <w:rFonts w:cs="Arial"/>
          <w:szCs w:val="22"/>
        </w:rPr>
        <w:t xml:space="preserve">: al riguardo, esse potrebbero essere allegate al decreto-legge, pubblicate nella </w:t>
      </w:r>
      <w:r w:rsidRPr="00E56D47">
        <w:rPr>
          <w:rFonts w:cs="Arial"/>
          <w:i/>
          <w:iCs/>
          <w:szCs w:val="22"/>
        </w:rPr>
        <w:t>Gazzetta Ufficiale</w:t>
      </w:r>
      <w:r w:rsidRPr="00E56D47">
        <w:rPr>
          <w:rFonts w:cs="Arial"/>
          <w:szCs w:val="22"/>
        </w:rPr>
        <w:t xml:space="preserve"> oppure anche pubblicate in un sito internet istituzionale dandone però avviso nella Gazzetta ufficiale. Il Comitato ha affrontato una questione simile nel </w:t>
      </w:r>
      <w:r w:rsidRPr="00E56D47">
        <w:rPr>
          <w:rFonts w:cs="Arial"/>
          <w:b/>
          <w:szCs w:val="22"/>
        </w:rPr>
        <w:t>parere sul decreto-legge n. 78 del 2013</w:t>
      </w:r>
      <w:r w:rsidRPr="00E56D47">
        <w:rPr>
          <w:rFonts w:cs="Arial"/>
          <w:szCs w:val="22"/>
        </w:rPr>
        <w:t>, il quale “richiamava” un decreto del Presidente della Repubblica, peraltro mai pubblicato con le forme previste per gli atti normativi: in tale circostanza, anche in accoglimento della condizione formulata dal Comitato, l'Assemblea della Camera deliberò di allegare al decreto-legge il testo del decreto del Presidente della Repubblica di cui, in quel caso, si operava la “</w:t>
      </w:r>
      <w:r w:rsidRPr="00E56D47">
        <w:rPr>
          <w:rFonts w:cs="Arial"/>
          <w:b/>
          <w:szCs w:val="22"/>
        </w:rPr>
        <w:t>legificazione</w:t>
      </w:r>
      <w:r w:rsidRPr="00E56D47">
        <w:rPr>
          <w:rFonts w:cs="Arial"/>
          <w:szCs w:val="22"/>
        </w:rPr>
        <w:t xml:space="preserve">” </w:t>
      </w:r>
      <w:r w:rsidRPr="00B91F58">
        <w:rPr>
          <w:rFonts w:cs="Arial"/>
          <w:szCs w:val="22"/>
        </w:rPr>
        <w:t>» (</w:t>
      </w:r>
      <w:hyperlink w:anchor="S03c01" w:history="1">
        <w:r>
          <w:rPr>
            <w:rStyle w:val="Collegamentoipertestuale"/>
            <w:rFonts w:cs="Arial"/>
            <w:b/>
            <w:szCs w:val="22"/>
          </w:rPr>
          <w:t>conseguente condizione</w:t>
        </w:r>
      </w:hyperlink>
      <w:r w:rsidRPr="00B91F58">
        <w:rPr>
          <w:rFonts w:cs="Arial"/>
          <w:szCs w:val="22"/>
        </w:rPr>
        <w:t>);</w:t>
      </w: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234" w:name="S03a08"/>
      <w:r>
        <w:rPr>
          <w:rFonts w:cs="Arial"/>
          <w:szCs w:val="22"/>
        </w:rPr>
        <w:t xml:space="preserve">8 - </w:t>
      </w:r>
      <w:bookmarkEnd w:id="234"/>
      <w:r>
        <w:fldChar w:fldCharType="begin"/>
      </w:r>
      <w:r>
        <w:instrText>HYPERLINK  \l "premessa03"</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Pr>
          <w:rStyle w:val="Collegamentoipertestuale"/>
          <w:rFonts w:cs="Arial"/>
          <w:szCs w:val="22"/>
        </w:rPr>
        <w:t xml:space="preserve"> </w:t>
      </w:r>
      <w:r w:rsidRPr="00B91F58">
        <w:rPr>
          <w:rFonts w:cs="Arial"/>
          <w:szCs w:val="22"/>
        </w:rPr>
        <w:t>«</w:t>
      </w:r>
      <w:r w:rsidRPr="00F56878">
        <w:rPr>
          <w:rFonts w:cs="Arial"/>
          <w:szCs w:val="22"/>
        </w:rPr>
        <w:t>il disegno di legge di conversione non è corredato della relazione sull'analisi tecnico-normativa (</w:t>
      </w:r>
      <w:r w:rsidRPr="00F56878">
        <w:rPr>
          <w:rFonts w:cs="Arial"/>
          <w:b/>
          <w:szCs w:val="22"/>
        </w:rPr>
        <w:t>ATN</w:t>
      </w:r>
      <w:r w:rsidRPr="00F56878">
        <w:rPr>
          <w:rFonts w:cs="Arial"/>
          <w:szCs w:val="22"/>
        </w:rPr>
        <w:t>), né della relazione sull'analisi di impatto della regolamentazione (</w:t>
      </w:r>
      <w:r w:rsidRPr="00F56878">
        <w:rPr>
          <w:rFonts w:cs="Arial"/>
          <w:b/>
          <w:szCs w:val="22"/>
        </w:rPr>
        <w:t>AIR</w:t>
      </w:r>
      <w:r w:rsidRPr="00F56878">
        <w:rPr>
          <w:rFonts w:cs="Arial"/>
          <w:szCs w:val="22"/>
        </w:rPr>
        <w:t>), senza che nella relazione di accompagnamento si riferisca in merito all'eventuale esenzione dall'obbligo di redigerla, in difformità dunque da quanto statuito dall'articolo 9 del decreto del Presidente del Consiglio dei ministri n.</w:t>
      </w:r>
      <w:r>
        <w:rPr>
          <w:rFonts w:cs="Arial"/>
          <w:szCs w:val="22"/>
        </w:rPr>
        <w:t xml:space="preserve"> </w:t>
      </w:r>
      <w:r w:rsidRPr="00F56878">
        <w:rPr>
          <w:rFonts w:cs="Arial"/>
          <w:szCs w:val="22"/>
        </w:rPr>
        <w:t>170 del 2008</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szCs w:val="22"/>
        </w:rPr>
      </w:pPr>
      <w:bookmarkStart w:id="235" w:name="S03C"/>
      <w:r w:rsidRPr="00B91F58">
        <w:rPr>
          <w:rFonts w:cs="Arial"/>
          <w:b/>
          <w:szCs w:val="22"/>
        </w:rPr>
        <w:lastRenderedPageBreak/>
        <w:t>Condizioni</w:t>
      </w:r>
      <w:r w:rsidRPr="00B91F58">
        <w:rPr>
          <w:rFonts w:cs="Arial"/>
          <w:szCs w:val="22"/>
        </w:rPr>
        <w:t xml:space="preserve">: </w:t>
      </w:r>
    </w:p>
    <w:bookmarkEnd w:id="235"/>
    <w:p w:rsidR="000B33A8" w:rsidRDefault="000B33A8" w:rsidP="000B33A8">
      <w:pPr>
        <w:keepNext/>
        <w:ind w:firstLine="0"/>
        <w:rPr>
          <w:rFonts w:cs="Arial"/>
          <w:i/>
          <w:szCs w:val="22"/>
        </w:rPr>
      </w:pPr>
      <w:r w:rsidRPr="0057717F">
        <w:rPr>
          <w:rFonts w:cs="Arial"/>
          <w:i/>
          <w:szCs w:val="22"/>
        </w:rPr>
        <w:t>sotto il profilo dell'efficacia del testo per la semplificazione e il riordino della legislazione vigente</w:t>
      </w:r>
      <w:r>
        <w:rPr>
          <w:rFonts w:cs="Arial"/>
          <w:i/>
          <w:szCs w:val="22"/>
        </w:rPr>
        <w:t>:</w:t>
      </w:r>
    </w:p>
    <w:p w:rsidR="000B33A8" w:rsidRDefault="000B33A8" w:rsidP="00B26E1F">
      <w:pPr>
        <w:keepNext/>
        <w:numPr>
          <w:ilvl w:val="0"/>
          <w:numId w:val="28"/>
        </w:numPr>
        <w:spacing w:before="60" w:after="60"/>
        <w:contextualSpacing/>
        <w:rPr>
          <w:rFonts w:cs="Arial"/>
          <w:szCs w:val="22"/>
        </w:rPr>
      </w:pPr>
      <w:r>
        <w:t xml:space="preserve">con riferimento ai piani e alle misure richiamati ed approvati </w:t>
      </w:r>
      <w:r>
        <w:rPr>
          <w:rStyle w:val="Enfasicorsivo"/>
        </w:rPr>
        <w:t>ope legis</w:t>
      </w:r>
      <w:r>
        <w:t xml:space="preserve"> dall'articolo 4, commi 1 e 2:</w:t>
      </w:r>
      <w:r>
        <w:br/>
      </w:r>
      <w:r>
        <w:rPr>
          <w:rStyle w:val="Enfasicorsivo"/>
        </w:rPr>
        <w:t>a)</w:t>
      </w:r>
      <w:r>
        <w:t xml:space="preserve"> si valuti se sia effettivamente necessario e congruo </w:t>
      </w:r>
      <w:r w:rsidRPr="00F04D85">
        <w:rPr>
          <w:b/>
        </w:rPr>
        <w:t>l'impiego della fonte legislativa in sostituzione di provvedimenti amministrativi</w:t>
      </w:r>
      <w:r>
        <w:t xml:space="preserve">, caratterizzati da significative differenze in materia di: formazione dell'atto, tutela giurisdizionale, incidenza su eventuali procedimenti </w:t>
      </w:r>
      <w:r>
        <w:rPr>
          <w:rStyle w:val="Enfasicorsivo"/>
        </w:rPr>
        <w:t>sub iudice</w:t>
      </w:r>
      <w:r>
        <w:t>;</w:t>
      </w:r>
      <w:r>
        <w:br/>
      </w:r>
      <w:r>
        <w:rPr>
          <w:rStyle w:val="Enfasicorsivo"/>
        </w:rPr>
        <w:t>b)</w:t>
      </w:r>
      <w:r>
        <w:t xml:space="preserve"> considerando che i predetti atti così approvati non corredano il provvedimento in esame, si individuino forme di pubblicazione ufficiale idonee a consentirne un adeguato regime di pubblicità e di conoscibilità legale, come la pubblicazione in allegato al decreto-legge (analogamente a quanto avvenuto con il decreto del Presidente della Repubblica richiamato dal decreto-legge n. 78 del 2013), la pubblicazione nella Gazzetta ufficiale oppure la pubblicazione in un sito internet istituzionale dandone comunque avviso nella </w:t>
      </w:r>
      <w:r>
        <w:rPr>
          <w:rStyle w:val="Enfasicorsivo"/>
        </w:rPr>
        <w:t>Gazzetta Ufficiale</w:t>
      </w:r>
      <w:r>
        <w:rPr>
          <w:rFonts w:cs="Arial"/>
          <w:szCs w:val="22"/>
        </w:rPr>
        <w:t xml:space="preserve">; </w:t>
      </w:r>
      <w:hyperlink w:anchor="premessa03" w:history="1">
        <w:r w:rsidRPr="00D249C1">
          <w:rPr>
            <w:rStyle w:val="Collegamentoipertestuale"/>
            <w:rFonts w:cs="Arial"/>
            <w:szCs w:val="22"/>
          </w:rPr>
          <w:t>[torna su]</w:t>
        </w:r>
      </w:hyperlink>
      <w:r>
        <w:rPr>
          <w:rFonts w:cs="Arial"/>
          <w:szCs w:val="22"/>
        </w:rPr>
        <w:t xml:space="preserve"> </w:t>
      </w: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236" w:name="S03O"/>
      <w:r>
        <w:rPr>
          <w:rFonts w:cs="Arial"/>
          <w:b/>
          <w:szCs w:val="22"/>
        </w:rPr>
        <w:t>Osservazioni</w:t>
      </w:r>
      <w:r w:rsidRPr="00B91F58">
        <w:rPr>
          <w:rFonts w:cs="Arial"/>
          <w:szCs w:val="22"/>
        </w:rPr>
        <w:t xml:space="preserve">: </w:t>
      </w:r>
    </w:p>
    <w:bookmarkEnd w:id="236"/>
    <w:p w:rsidR="000B33A8" w:rsidRDefault="000B33A8" w:rsidP="000B33A8">
      <w:pPr>
        <w:keepNext/>
        <w:ind w:firstLine="0"/>
        <w:rPr>
          <w:rFonts w:cs="Arial"/>
          <w:i/>
          <w:szCs w:val="22"/>
        </w:rPr>
      </w:pPr>
      <w:r w:rsidRPr="00D249C1">
        <w:rPr>
          <w:rFonts w:cs="Arial"/>
          <w:i/>
          <w:szCs w:val="22"/>
        </w:rPr>
        <w:t>sotto il profilo dell'efficacia del testo per la semplificazione e il riordino della legislazione vigente:</w:t>
      </w:r>
    </w:p>
    <w:p w:rsidR="000B33A8" w:rsidRPr="00A732FE" w:rsidRDefault="000B33A8" w:rsidP="00B26E1F">
      <w:pPr>
        <w:pStyle w:val="Paragrafoelenco"/>
        <w:numPr>
          <w:ilvl w:val="0"/>
          <w:numId w:val="29"/>
        </w:numPr>
        <w:ind w:left="567" w:hanging="283"/>
        <w:rPr>
          <w:rStyle w:val="Collegamentoipertestuale"/>
          <w:rFonts w:cs="Arial"/>
          <w:szCs w:val="22"/>
        </w:rPr>
      </w:pPr>
      <w:bookmarkStart w:id="237" w:name="S03o01"/>
      <w:r w:rsidRPr="00F04D85">
        <w:rPr>
          <w:rFonts w:cs="Arial"/>
          <w:szCs w:val="22"/>
        </w:rPr>
        <w:t xml:space="preserve">si dovrebbe valutare </w:t>
      </w:r>
      <w:bookmarkEnd w:id="237"/>
      <w:r w:rsidRPr="00F04D85">
        <w:rPr>
          <w:rFonts w:cs="Arial"/>
          <w:szCs w:val="22"/>
        </w:rPr>
        <w:t xml:space="preserve">se e sia necessario, e in che modo, </w:t>
      </w:r>
      <w:r w:rsidRPr="00F04D85">
        <w:rPr>
          <w:rFonts w:cs="Arial"/>
          <w:b/>
          <w:szCs w:val="22"/>
        </w:rPr>
        <w:t>coordinare</w:t>
      </w:r>
      <w:r w:rsidRPr="00F04D85">
        <w:rPr>
          <w:rFonts w:cs="Arial"/>
          <w:szCs w:val="22"/>
        </w:rPr>
        <w:t xml:space="preserve"> l'articolo 2, commi da 3 a 5, del decreto in esame, con l'articolo 2, comma 3-</w:t>
      </w:r>
      <w:r w:rsidRPr="00F04D85">
        <w:rPr>
          <w:rFonts w:cs="Arial"/>
          <w:i/>
          <w:iCs/>
          <w:szCs w:val="22"/>
        </w:rPr>
        <w:t>ter</w:t>
      </w:r>
      <w:r w:rsidRPr="00F04D85">
        <w:rPr>
          <w:rFonts w:cs="Arial"/>
          <w:szCs w:val="22"/>
        </w:rPr>
        <w:t>, del decreto-legge n.</w:t>
      </w:r>
      <w:r>
        <w:rPr>
          <w:rFonts w:cs="Arial"/>
          <w:szCs w:val="22"/>
        </w:rPr>
        <w:t xml:space="preserve"> </w:t>
      </w:r>
      <w:r w:rsidRPr="00F04D85">
        <w:rPr>
          <w:rFonts w:cs="Arial"/>
          <w:szCs w:val="22"/>
        </w:rPr>
        <w:t>61 del 2013</w:t>
      </w:r>
      <w:r>
        <w:rPr>
          <w:rFonts w:cs="Arial"/>
          <w:szCs w:val="22"/>
        </w:rPr>
        <w:t xml:space="preserve">; </w:t>
      </w:r>
      <w:hyperlink w:anchor="premessa03" w:history="1">
        <w:r w:rsidRPr="00D249C1">
          <w:rPr>
            <w:rStyle w:val="Collegamentoipertestuale"/>
            <w:rFonts w:cs="Arial"/>
            <w:szCs w:val="22"/>
          </w:rPr>
          <w:t>[torna su]</w:t>
        </w:r>
      </w:hyperlink>
      <w:r>
        <w:rPr>
          <w:rStyle w:val="Collegamentoipertestuale"/>
          <w:rFonts w:cs="Arial"/>
          <w:szCs w:val="22"/>
        </w:rPr>
        <w:t xml:space="preserve"> </w:t>
      </w:r>
    </w:p>
    <w:p w:rsidR="000B33A8" w:rsidRPr="00F04D85" w:rsidRDefault="000B33A8" w:rsidP="00B26E1F">
      <w:pPr>
        <w:pStyle w:val="Paragrafoelenco"/>
        <w:numPr>
          <w:ilvl w:val="0"/>
          <w:numId w:val="29"/>
        </w:numPr>
        <w:ind w:left="567" w:hanging="283"/>
        <w:rPr>
          <w:rStyle w:val="Collegamentoipertestuale"/>
          <w:rFonts w:cs="Arial"/>
          <w:szCs w:val="22"/>
        </w:rPr>
      </w:pPr>
      <w:bookmarkStart w:id="238" w:name="S03o02"/>
      <w:r w:rsidRPr="00F04D85">
        <w:t xml:space="preserve">si dovrebbe valutare </w:t>
      </w:r>
      <w:bookmarkEnd w:id="238"/>
      <w:r w:rsidRPr="00F04D85">
        <w:t xml:space="preserve">– nelle parti e per le ragioni indicate in premessa – l'effettiva </w:t>
      </w:r>
      <w:r w:rsidRPr="00F04D85">
        <w:rPr>
          <w:b/>
        </w:rPr>
        <w:t>portata normativa</w:t>
      </w:r>
      <w:r w:rsidRPr="00F04D85">
        <w:t xml:space="preserve"> delle disposizioni di cui all'articolo 1, comma 4, capoverso 4-</w:t>
      </w:r>
      <w:r w:rsidRPr="00F04D85">
        <w:rPr>
          <w:i/>
          <w:iCs/>
        </w:rPr>
        <w:t>quater</w:t>
      </w:r>
      <w:r w:rsidRPr="00F04D85">
        <w:t>; all'articolo 2, comma 8; all'articolo 3, commi 3 e 4; all'articolo 4, commi 2-</w:t>
      </w:r>
      <w:r w:rsidRPr="00F04D85">
        <w:rPr>
          <w:i/>
          <w:iCs/>
        </w:rPr>
        <w:t xml:space="preserve">bis </w:t>
      </w:r>
      <w:r w:rsidRPr="00F04D85">
        <w:t>e 2-</w:t>
      </w:r>
      <w:r w:rsidRPr="00F04D85">
        <w:rPr>
          <w:i/>
          <w:iCs/>
        </w:rPr>
        <w:t>ter</w:t>
      </w:r>
      <w:r w:rsidRPr="00F04D85">
        <w:t>; all'articolo 8, comma 4</w:t>
      </w:r>
      <w:r w:rsidRPr="00E93216">
        <w:t xml:space="preserve">; </w:t>
      </w:r>
      <w:hyperlink w:anchor="premessa03"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B26E1F">
      <w:pPr>
        <w:pStyle w:val="Paragrafoelenco"/>
        <w:numPr>
          <w:ilvl w:val="0"/>
          <w:numId w:val="29"/>
        </w:numPr>
        <w:ind w:left="567" w:hanging="283"/>
        <w:rPr>
          <w:rStyle w:val="Collegamentoipertestuale"/>
          <w:rFonts w:cs="Arial"/>
          <w:szCs w:val="22"/>
        </w:rPr>
      </w:pPr>
      <w:bookmarkStart w:id="239" w:name="S03o03"/>
      <w:r w:rsidRPr="00F04D85">
        <w:rPr>
          <w:rFonts w:cs="Arial"/>
          <w:szCs w:val="22"/>
        </w:rPr>
        <w:t xml:space="preserve">con riferimento all'articolo </w:t>
      </w:r>
      <w:bookmarkEnd w:id="239"/>
      <w:r w:rsidRPr="00F04D85">
        <w:rPr>
          <w:rFonts w:cs="Arial"/>
          <w:szCs w:val="22"/>
        </w:rPr>
        <w:t xml:space="preserve">8, ove il comma 3 e il comma 4 (progetto di valorizzazione culturale e turistica dell'Arsenale marittimo di Taranto) demandano l'approvazione del progetto stesso a </w:t>
      </w:r>
      <w:r w:rsidRPr="00F04D85">
        <w:rPr>
          <w:rFonts w:cs="Arial"/>
          <w:b/>
          <w:szCs w:val="22"/>
        </w:rPr>
        <w:t>un DPCM</w:t>
      </w:r>
      <w:r w:rsidRPr="00F04D85">
        <w:rPr>
          <w:rFonts w:cs="Arial"/>
          <w:szCs w:val="22"/>
        </w:rPr>
        <w:t xml:space="preserve"> che “sostituisce tutte le autorizzazioni, i pareri e gli atti di assenso comunque denominati di competenza del Ministero dei beni e delle attività culturali e del turismo”, derogando implicitamente alla </w:t>
      </w:r>
      <w:r w:rsidRPr="00F04D85">
        <w:rPr>
          <w:rFonts w:cs="Arial"/>
          <w:b/>
          <w:szCs w:val="22"/>
        </w:rPr>
        <w:t>legge n. 400 del 1988</w:t>
      </w:r>
      <w:r w:rsidRPr="00F04D85">
        <w:rPr>
          <w:rFonts w:cs="Arial"/>
          <w:szCs w:val="22"/>
        </w:rPr>
        <w:t xml:space="preserve"> (che non prevede in</w:t>
      </w:r>
      <w:r>
        <w:rPr>
          <w:rFonts w:cs="Arial"/>
          <w:szCs w:val="22"/>
        </w:rPr>
        <w:t xml:space="preserve"> </w:t>
      </w:r>
      <w:r w:rsidRPr="00F04D85">
        <w:rPr>
          <w:rFonts w:cs="Arial"/>
          <w:szCs w:val="22"/>
        </w:rPr>
        <w:t xml:space="preserve">via generale l'adozione di DPCM su proposta di ministeri), alle procedure previste, in generale, dalla </w:t>
      </w:r>
      <w:r w:rsidRPr="00F04D85">
        <w:rPr>
          <w:rFonts w:cs="Arial"/>
          <w:b/>
          <w:szCs w:val="22"/>
        </w:rPr>
        <w:t>legge n. 241 del 1990</w:t>
      </w:r>
      <w:r w:rsidRPr="00F04D85">
        <w:rPr>
          <w:rFonts w:cs="Arial"/>
          <w:szCs w:val="22"/>
        </w:rPr>
        <w:t xml:space="preserve"> e a quelle previste dal codice ambientale e dal codice dei beni culturali, si dovrebbe valutare l'effettiva opportunità di tale articolata deroga e, comunque, l'opportunità di </w:t>
      </w:r>
      <w:r w:rsidRPr="00F04D85">
        <w:rPr>
          <w:rFonts w:cs="Arial"/>
          <w:b/>
          <w:szCs w:val="22"/>
        </w:rPr>
        <w:t>individuare puntualmente ed esplicitamente le normative cui</w:t>
      </w:r>
      <w:r w:rsidRPr="00F04D85">
        <w:rPr>
          <w:rFonts w:cs="Arial"/>
          <w:szCs w:val="22"/>
        </w:rPr>
        <w:t xml:space="preserve"> – per effetto della presente disposizione – </w:t>
      </w:r>
      <w:r w:rsidRPr="00F04D85">
        <w:rPr>
          <w:rFonts w:cs="Arial"/>
          <w:b/>
          <w:szCs w:val="22"/>
        </w:rPr>
        <w:t>si intende derogare</w:t>
      </w:r>
      <w:r>
        <w:rPr>
          <w:rFonts w:cs="Arial"/>
          <w:szCs w:val="22"/>
        </w:rPr>
        <w:t xml:space="preserve">; </w:t>
      </w:r>
      <w:hyperlink w:anchor="premessa03"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0B33A8">
      <w:pPr>
        <w:pStyle w:val="Paragrafoelenco"/>
        <w:ind w:left="0" w:firstLine="0"/>
        <w:rPr>
          <w:rStyle w:val="Collegamentoipertestuale"/>
          <w:rFonts w:cs="Arial"/>
          <w:szCs w:val="22"/>
        </w:rPr>
      </w:pPr>
      <w:r>
        <w:rPr>
          <w:rStyle w:val="Collegamentoipertestuale"/>
          <w:rFonts w:cs="Arial"/>
          <w:szCs w:val="22"/>
        </w:rPr>
        <w:br/>
      </w:r>
      <w:r w:rsidRPr="00C733BB">
        <w:rPr>
          <w:rFonts w:cs="Arial"/>
          <w:i/>
          <w:szCs w:val="22"/>
        </w:rPr>
        <w:t>sotto il profilo della chiarezza e della proprietà della formulazione</w:t>
      </w:r>
    </w:p>
    <w:p w:rsidR="000B33A8" w:rsidRPr="00A732FE" w:rsidRDefault="000B33A8" w:rsidP="00B26E1F">
      <w:pPr>
        <w:pStyle w:val="Paragrafoelenco"/>
        <w:numPr>
          <w:ilvl w:val="0"/>
          <w:numId w:val="29"/>
        </w:numPr>
        <w:ind w:left="567" w:hanging="283"/>
        <w:rPr>
          <w:rStyle w:val="Collegamentoipertestuale"/>
          <w:rFonts w:cs="Arial"/>
          <w:szCs w:val="22"/>
        </w:rPr>
      </w:pPr>
      <w:bookmarkStart w:id="240" w:name="S03o04"/>
      <w:r w:rsidRPr="00F04D85">
        <w:lastRenderedPageBreak/>
        <w:t xml:space="preserve">all'articolo 3, comma </w:t>
      </w:r>
      <w:bookmarkEnd w:id="240"/>
      <w:r w:rsidRPr="00F04D85">
        <w:t xml:space="preserve">3, si dovrebbe </w:t>
      </w:r>
      <w:r w:rsidRPr="005F7EC0">
        <w:rPr>
          <w:b/>
        </w:rPr>
        <w:t>specificare la periodicità</w:t>
      </w:r>
      <w:r w:rsidRPr="00F04D85">
        <w:t xml:space="preserve"> con cui il Commissario straordinario fornisce informativa in merito alle contabilità speciali</w:t>
      </w:r>
      <w:r w:rsidRPr="00E93216">
        <w:t xml:space="preserve">; </w:t>
      </w:r>
      <w:hyperlink w:anchor="premessa03" w:history="1">
        <w:r w:rsidRPr="00D249C1">
          <w:rPr>
            <w:rStyle w:val="Collegamentoipertestuale"/>
            <w:rFonts w:cs="Arial"/>
            <w:szCs w:val="22"/>
          </w:rPr>
          <w:t>[torna su]</w:t>
        </w:r>
      </w:hyperlink>
      <w:r>
        <w:rPr>
          <w:rStyle w:val="Collegamentoipertestuale"/>
          <w:rFonts w:cs="Arial"/>
          <w:szCs w:val="22"/>
        </w:rPr>
        <w:t xml:space="preserve"> </w:t>
      </w:r>
    </w:p>
    <w:p w:rsidR="000B33A8" w:rsidRPr="00B91F58" w:rsidRDefault="000B33A8" w:rsidP="000B33A8">
      <w:pPr>
        <w:rPr>
          <w:rFonts w:cs="Arial"/>
          <w:szCs w:val="22"/>
        </w:rPr>
      </w:pPr>
    </w:p>
    <w:p w:rsidR="000B33A8" w:rsidRDefault="000B33A8" w:rsidP="000B33A8">
      <w:pPr>
        <w:ind w:left="284" w:firstLine="0"/>
        <w:rPr>
          <w:rFonts w:cs="Arial"/>
          <w:szCs w:val="22"/>
        </w:rPr>
        <w:sectPr w:rsidR="000B33A8" w:rsidSect="000B33A8">
          <w:headerReference w:type="default" r:id="rId292"/>
          <w:footerReference w:type="even" r:id="rId293"/>
          <w:footerReference w:type="default" r:id="rId294"/>
          <w:pgSz w:w="11906" w:h="16838" w:code="9"/>
          <w:pgMar w:top="1985" w:right="1985" w:bottom="1985" w:left="1985" w:header="1134" w:footer="1134" w:gutter="0"/>
          <w:cols w:space="720"/>
          <w:formProt w:val="0"/>
        </w:sectPr>
      </w:pPr>
      <w:r>
        <w:rPr>
          <w:rFonts w:cs="Arial"/>
          <w:szCs w:val="22"/>
        </w:rPr>
        <w:t xml:space="preserve"> </w:t>
      </w:r>
    </w:p>
    <w:p w:rsidR="000B33A8" w:rsidRPr="00B91F58" w:rsidRDefault="000B33A8" w:rsidP="000B33A8">
      <w:pPr>
        <w:ind w:left="284" w:firstLine="0"/>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0004</w:t>
            </w:r>
          </w:p>
        </w:tc>
        <w:tc>
          <w:tcPr>
            <w:tcW w:w="750" w:type="pct"/>
            <w:shd w:val="clear" w:color="auto" w:fill="auto"/>
          </w:tcPr>
          <w:p w:rsidR="000B33A8" w:rsidRPr="00B26E1F" w:rsidRDefault="000B33A8" w:rsidP="000B33A8">
            <w:pPr>
              <w:pStyle w:val="Collegamento"/>
              <w:rPr>
                <w:rFonts w:cs="Arial"/>
              </w:rPr>
            </w:pPr>
            <w:r w:rsidRPr="00B26E1F">
              <w:rPr>
                <w:rFonts w:cs="Arial"/>
              </w:rPr>
              <w:t>2893</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295" w:history="1">
              <w:r w:rsidR="000B33A8" w:rsidRPr="00B26E1F">
                <w:rPr>
                  <w:rStyle w:val="Collegamentoipertestuale"/>
                  <w:rFonts w:cs="Arial"/>
                </w:rPr>
                <w:t>DL 7/2015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Contrasto al terrorismo e missioni internazionali</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296" w:anchor="data.20150227.com48.bollettino.sede00010.tit00010" w:history="1">
              <w:r w:rsidR="000B33A8">
                <w:rPr>
                  <w:rStyle w:val="Collegamentoipertestuale"/>
                </w:rPr>
                <w:t>27/02/2015</w:t>
              </w:r>
            </w:hyperlink>
          </w:p>
        </w:tc>
      </w:tr>
    </w:tbl>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241" w:name="premessa04"/>
            <w:r w:rsidRPr="00B26E1F">
              <w:rPr>
                <w:rFonts w:cs="Arial"/>
                <w:b/>
                <w:color w:val="0000FF"/>
                <w:sz w:val="24"/>
                <w:szCs w:val="24"/>
              </w:rPr>
              <w:t>Premessa</w:t>
            </w:r>
            <w:bookmarkEnd w:id="241"/>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2 Condizioni, 2 Osservazioni, 1 Raccomandazione</w:t>
            </w:r>
          </w:p>
        </w:tc>
      </w:tr>
      <w:tr w:rsidR="000B33A8" w:rsidRPr="008B2DCE" w:rsidTr="00B26E1F">
        <w:trPr>
          <w:trHeight w:val="112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4a01" w:history="1">
              <w:r w:rsidR="000B33A8" w:rsidRPr="00D40FBA">
                <w:rPr>
                  <w:rStyle w:val="Collegamentoipertestuale"/>
                </w:rPr>
                <w:t>1</w:t>
              </w:r>
            </w:hyperlink>
            <w:r w:rsidR="000B33A8" w:rsidRPr="00B26E1F">
              <w:rPr>
                <w:rFonts w:cs="Arial"/>
              </w:rPr>
              <w:t xml:space="preserve"> – Contenuto implicitamente considerato disomogeneo con finalità univoca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141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4a02" w:history="1">
              <w:r w:rsidR="000B33A8" w:rsidRPr="00812559">
                <w:rPr>
                  <w:rStyle w:val="Collegamentoipertestuale"/>
                </w:rPr>
                <w:t>2</w:t>
              </w:r>
            </w:hyperlink>
            <w:r w:rsidR="000B33A8" w:rsidRPr="00B26E1F">
              <w:rPr>
                <w:rFonts w:cs="Arial"/>
              </w:rPr>
              <w:t xml:space="preserve"> – Coordinamento con le fonti normative vigenti: stratificazione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Rinvii alla normativa vigente in mancanza di una disciplina unitaria della materia trattata, ovvero le missioni militari.</w:t>
            </w:r>
          </w:p>
          <w:p w:rsidR="000B33A8" w:rsidRPr="00B26E1F" w:rsidRDefault="000B33A8" w:rsidP="00B26E1F">
            <w:pPr>
              <w:spacing w:before="100" w:beforeAutospacing="1" w:after="100" w:afterAutospacing="1"/>
              <w:ind w:firstLine="0"/>
              <w:rPr>
                <w:rFonts w:cs="Arial"/>
              </w:rPr>
            </w:pPr>
            <w:r w:rsidRPr="00B26E1F">
              <w:rPr>
                <w:rFonts w:cs="Arial"/>
              </w:rPr>
              <w:t>Raccomandazione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4a03" w:history="1">
              <w:r w:rsidR="000B33A8" w:rsidRPr="00812559">
                <w:rPr>
                  <w:rStyle w:val="Collegamentoipertestuale"/>
                </w:rPr>
                <w:t>3</w:t>
              </w:r>
            </w:hyperlink>
            <w:r w:rsidR="000B33A8" w:rsidRPr="00B26E1F">
              <w:rPr>
                <w:rFonts w:cs="Arial"/>
              </w:rPr>
              <w:t xml:space="preserve"> – Coordinamento con le fonti normative vigenti: proroga di disposizioni transitorie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Lunga e complessa catena di rinvii normativi, con disposizioni transitorie prorogate in modo talora non testuale.</w:t>
            </w:r>
          </w:p>
          <w:p w:rsidR="000B33A8" w:rsidRPr="00B26E1F" w:rsidRDefault="000B33A8" w:rsidP="00B26E1F">
            <w:pPr>
              <w:spacing w:before="100" w:beforeAutospacing="1" w:after="100" w:afterAutospacing="1"/>
              <w:ind w:firstLine="0"/>
              <w:rPr>
                <w:rFonts w:cs="Arial"/>
              </w:rPr>
            </w:pPr>
            <w:r w:rsidRPr="00B26E1F">
              <w:rPr>
                <w:rFonts w:cs="Arial"/>
              </w:rPr>
              <w:t>Raccomandazione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4a04" w:history="1">
              <w:r w:rsidR="000B33A8" w:rsidRPr="00812559">
                <w:rPr>
                  <w:rStyle w:val="Collegamentoipertestuale"/>
                </w:rPr>
                <w:t>4</w:t>
              </w:r>
            </w:hyperlink>
            <w:r w:rsidR="000B33A8" w:rsidRPr="00B26E1F">
              <w:rPr>
                <w:rFonts w:cs="Arial"/>
              </w:rPr>
              <w:t xml:space="preserve"> – Disposizioni derogatorie della normativa vigente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L’ATN dà conto delle norme derogate, anche implicitamente. Richiamo all’articolo 13-</w:t>
            </w:r>
            <w:r w:rsidRPr="00B26E1F">
              <w:rPr>
                <w:rFonts w:cs="Arial"/>
                <w:i/>
              </w:rPr>
              <w:t>bis</w:t>
            </w:r>
            <w:r w:rsidRPr="00B26E1F">
              <w:rPr>
                <w:rFonts w:cs="Arial"/>
              </w:rPr>
              <w:t xml:space="preserve"> della L. n. 400/1988. </w:t>
            </w:r>
          </w:p>
          <w:p w:rsidR="000B33A8" w:rsidRPr="00B26E1F" w:rsidRDefault="000B33A8" w:rsidP="00B26E1F">
            <w:pPr>
              <w:spacing w:before="100" w:beforeAutospacing="1" w:after="100" w:afterAutospacing="1"/>
              <w:ind w:firstLine="0"/>
              <w:rPr>
                <w:rFonts w:cs="Arial"/>
              </w:rPr>
            </w:pPr>
            <w:r w:rsidRPr="00B26E1F">
              <w:rPr>
                <w:rFonts w:cs="Arial"/>
              </w:rPr>
              <w:t>Condizione 1</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70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04a05" w:history="1">
              <w:r w:rsidR="000B33A8" w:rsidRPr="00812559">
                <w:rPr>
                  <w:rStyle w:val="Collegamentoipertestuale"/>
                </w:rPr>
                <w:t>5</w:t>
              </w:r>
            </w:hyperlink>
            <w:r w:rsidR="000B33A8" w:rsidRPr="00B26E1F">
              <w:rPr>
                <w:rFonts w:cs="Arial"/>
              </w:rPr>
              <w:t xml:space="preserve"> – Intreccio con decreto-legge in corso di conversione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Modifiche di norme di recente approvazione contenute in un decreto-legge il cui </w:t>
            </w:r>
            <w:r w:rsidRPr="00B26E1F">
              <w:rPr>
                <w:rFonts w:cs="Arial"/>
                <w:i/>
              </w:rPr>
              <w:t>iter</w:t>
            </w:r>
            <w:r w:rsidRPr="00B26E1F">
              <w:rPr>
                <w:rFonts w:cs="Arial"/>
              </w:rPr>
              <w:t xml:space="preserve"> era ancora in corso al momento dell’emanazione di questo.</w:t>
            </w:r>
          </w:p>
        </w:tc>
      </w:tr>
    </w:tbl>
    <w:p w:rsidR="00C91B98" w:rsidRDefault="00C91B98"/>
    <w:tbl>
      <w:tblPr>
        <w:tblW w:w="5000" w:type="pct"/>
        <w:jc w:val="center"/>
        <w:tblLook w:val="01E0" w:firstRow="1" w:lastRow="1" w:firstColumn="1" w:lastColumn="1" w:noHBand="0" w:noVBand="0"/>
      </w:tblPr>
      <w:tblGrid>
        <w:gridCol w:w="4076"/>
        <w:gridCol w:w="4076"/>
      </w:tblGrid>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C91B98">
            <w:pPr>
              <w:spacing w:before="100" w:beforeAutospacing="1" w:after="100" w:afterAutospacing="1"/>
              <w:ind w:firstLine="0"/>
              <w:rPr>
                <w:rFonts w:cs="Arial"/>
              </w:rPr>
            </w:pPr>
            <w:hyperlink w:anchor="S04a06" w:history="1">
              <w:r w:rsidR="000B33A8" w:rsidRPr="00B26E1F">
                <w:rPr>
                  <w:rStyle w:val="Collegamentoipertestuale"/>
                  <w:rFonts w:cs="Arial"/>
                </w:rPr>
                <w:t>6</w:t>
              </w:r>
            </w:hyperlink>
            <w:r w:rsidR="000B33A8" w:rsidRPr="00B26E1F">
              <w:rPr>
                <w:rStyle w:val="Collegamentoipertestuale"/>
                <w:rFonts w:cs="Arial"/>
              </w:rPr>
              <w:t xml:space="preserve"> </w:t>
            </w:r>
            <w:r w:rsidR="000B33A8">
              <w:t xml:space="preserve">– </w:t>
            </w:r>
            <w:r w:rsidR="000B33A8" w:rsidRPr="00B26E1F">
              <w:rPr>
                <w:rFonts w:cs="Arial"/>
              </w:rPr>
              <w:t>Efficacia retroattiva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C91B98">
            <w:pPr>
              <w:spacing w:before="100" w:beforeAutospacing="1" w:after="100" w:afterAutospacing="1"/>
              <w:ind w:firstLine="0"/>
              <w:rPr>
                <w:rFonts w:cs="Arial"/>
              </w:rPr>
            </w:pPr>
            <w:r w:rsidRPr="00B26E1F">
              <w:rPr>
                <w:rFonts w:cs="Arial"/>
              </w:rPr>
              <w:t>Il provvedimento proroga le missioni internazionali dal 1° gennaio al 30 settembre 2015, retroagendo rispetto alla propria entrata in vigore.</w:t>
            </w:r>
          </w:p>
        </w:tc>
      </w:tr>
      <w:tr w:rsidR="000B33A8" w:rsidRPr="008B2DCE" w:rsidTr="00B26E1F">
        <w:trPr>
          <w:trHeight w:val="126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C91B98">
            <w:pPr>
              <w:spacing w:before="100" w:beforeAutospacing="1" w:after="100" w:afterAutospacing="1"/>
              <w:ind w:firstLine="0"/>
            </w:pPr>
            <w:hyperlink w:anchor="S04a07" w:history="1">
              <w:r w:rsidR="000B33A8" w:rsidRPr="00B26E1F">
                <w:rPr>
                  <w:rStyle w:val="Collegamentoipertestuale"/>
                  <w:rFonts w:cs="Arial"/>
                </w:rPr>
                <w:t>7</w:t>
              </w:r>
            </w:hyperlink>
            <w:r w:rsidR="000B33A8" w:rsidRPr="00B26E1F">
              <w:rPr>
                <w:rFonts w:cs="Arial"/>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Mancata indicazione della decorrenza dell’autorizzazione per una missione.</w:t>
            </w:r>
          </w:p>
          <w:p w:rsidR="000B33A8" w:rsidRPr="00B26E1F" w:rsidRDefault="000B33A8" w:rsidP="00B26E1F">
            <w:pPr>
              <w:spacing w:before="100" w:beforeAutospacing="1" w:after="100" w:afterAutospacing="1"/>
              <w:ind w:firstLine="0"/>
              <w:rPr>
                <w:rFonts w:cs="Arial"/>
              </w:rPr>
            </w:pPr>
            <w:r w:rsidRPr="00B26E1F">
              <w:rPr>
                <w:rFonts w:cs="Arial"/>
              </w:rPr>
              <w:t>Condizione 2</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4a08" w:history="1">
              <w:r w:rsidR="000B33A8" w:rsidRPr="00B26E1F">
                <w:rPr>
                  <w:rStyle w:val="Collegamentoipertestuale"/>
                  <w:rFonts w:cs="Arial"/>
                </w:rPr>
                <w:t>8</w:t>
              </w:r>
            </w:hyperlink>
            <w:r w:rsidR="000B33A8" w:rsidRPr="00B26E1F">
              <w:rPr>
                <w:rFonts w:cs="Arial"/>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t>Osservazione 2</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4a09" w:history="1">
              <w:r w:rsidR="000B33A8" w:rsidRPr="00B26E1F">
                <w:rPr>
                  <w:rStyle w:val="Collegamentoipertestuale"/>
                  <w:rFonts w:cs="Arial"/>
                </w:rPr>
                <w:t>9</w:t>
              </w:r>
            </w:hyperlink>
            <w:r w:rsidR="000B33A8" w:rsidRPr="00B26E1F">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ATN presente, AIR assente. Presente il riferimento all’esenzione dall’obbligo di redigere l’AIR e la giustificazione quale “atto normativo in materia di sicurezza interna ed esterna dello Stato”. Richiamo all’articolo 9 del DPCM n. 170/2008.</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4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4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Default="00EB0878" w:rsidP="00B26E1F">
            <w:pPr>
              <w:keepNext/>
              <w:spacing w:before="100" w:beforeAutospacing="1" w:after="100" w:afterAutospacing="1"/>
              <w:ind w:firstLine="0"/>
              <w:jc w:val="left"/>
            </w:pPr>
            <w:hyperlink w:anchor="S04R" w:history="1">
              <w:r w:rsidR="000B33A8" w:rsidRPr="00075C10">
                <w:rPr>
                  <w:rStyle w:val="Collegamentoipertestuale"/>
                </w:rPr>
                <w:t>R</w:t>
              </w:r>
            </w:hyperlink>
            <w:r w:rsidR="000B33A8">
              <w:t xml:space="preserve"> - Raccomandazione</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bl>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Articolo 13-</w:t>
            </w:r>
            <w:r w:rsidRPr="00B26E1F">
              <w:rPr>
                <w:rFonts w:cs="Arial"/>
              </w:rPr>
              <w:t>bis</w:t>
            </w:r>
            <w:r w:rsidRPr="00B26E1F">
              <w:rPr>
                <w:rFonts w:cs="Arial"/>
                <w:i/>
              </w:rPr>
              <w:t xml:space="preserve"> della legge n. 400/1988; articolo 9 del DPCM n. 170/2008.</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Default="000B33A8" w:rsidP="000B33A8">
      <w:pPr>
        <w:rPr>
          <w:rFonts w:cs="Arial"/>
          <w:szCs w:val="22"/>
        </w:rPr>
      </w:pPr>
      <w:bookmarkStart w:id="242" w:name="S04a01"/>
      <w:r w:rsidRPr="00B91F58">
        <w:rPr>
          <w:rFonts w:cs="Arial"/>
          <w:szCs w:val="22"/>
        </w:rPr>
        <w:t xml:space="preserve">1 – </w:t>
      </w:r>
      <w:bookmarkEnd w:id="242"/>
      <w:r>
        <w:fldChar w:fldCharType="begin"/>
      </w:r>
      <w:r>
        <w:instrText>HYPERLINK  \l "premessa04"</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Pr>
          <w:rStyle w:val="Collegamentoipertestuale"/>
          <w:rFonts w:cs="Arial"/>
          <w:szCs w:val="22"/>
        </w:rPr>
        <w:t xml:space="preserve"> </w:t>
      </w:r>
      <w:r w:rsidRPr="00B91F58">
        <w:rPr>
          <w:rFonts w:cs="Arial"/>
          <w:szCs w:val="22"/>
        </w:rPr>
        <w:t>«</w:t>
      </w:r>
      <w:r w:rsidRPr="008F0E56">
        <w:rPr>
          <w:rFonts w:cs="Arial"/>
          <w:szCs w:val="22"/>
        </w:rPr>
        <w:t>il decreto-legge si compone di cinque Capi, dei quali il primo e il secondo recano misure antiterrorismo, il terzo e il quarto – come avviene di consueto nei decreti “proroga missioni” – recano misure in tema, rispettivamente, di missioni internazionali e di cooperazione allo sviluppo, il quinto reca disposizioni finali e transitorie;</w:t>
      </w:r>
      <w:r>
        <w:rPr>
          <w:rFonts w:cs="Arial"/>
          <w:szCs w:val="22"/>
        </w:rPr>
        <w:t xml:space="preserve"> </w:t>
      </w:r>
      <w:r w:rsidRPr="008F0E56">
        <w:rPr>
          <w:rFonts w:cs="Arial"/>
          <w:szCs w:val="22"/>
        </w:rPr>
        <w:t xml:space="preserve">il decreto-legge unisce dunque alle consuete misure ripetutamente disposte e prorogate in materia di missioni internazionali, </w:t>
      </w:r>
      <w:r w:rsidRPr="008F0E56">
        <w:rPr>
          <w:rFonts w:cs="Arial"/>
          <w:szCs w:val="22"/>
        </w:rPr>
        <w:lastRenderedPageBreak/>
        <w:t xml:space="preserve">un nutrito </w:t>
      </w:r>
      <w:r w:rsidRPr="008F0E56">
        <w:rPr>
          <w:rFonts w:cs="Arial"/>
          <w:i/>
          <w:iCs/>
          <w:szCs w:val="22"/>
        </w:rPr>
        <w:t>corpus</w:t>
      </w:r>
      <w:r w:rsidRPr="008F0E56">
        <w:rPr>
          <w:rFonts w:cs="Arial"/>
          <w:szCs w:val="22"/>
        </w:rPr>
        <w:t xml:space="preserve"> (ben 11 articoli) di disposizioni antiterrorismo, espandendo l'oggetto usuale della disciplina dell'atto; </w:t>
      </w:r>
    </w:p>
    <w:p w:rsidR="000B33A8" w:rsidRDefault="000B33A8" w:rsidP="000B33A8">
      <w:pPr>
        <w:rPr>
          <w:rFonts w:cs="Arial"/>
          <w:szCs w:val="22"/>
        </w:rPr>
      </w:pPr>
      <w:r w:rsidRPr="008F0E56">
        <w:rPr>
          <w:rFonts w:cs="Arial"/>
          <w:szCs w:val="22"/>
        </w:rPr>
        <w:t xml:space="preserve">la relazione illustrativa evidenzia una </w:t>
      </w:r>
      <w:r w:rsidRPr="008F0E56">
        <w:rPr>
          <w:rFonts w:cs="Arial"/>
          <w:i/>
          <w:iCs/>
          <w:szCs w:val="22"/>
        </w:rPr>
        <w:t>ratio</w:t>
      </w:r>
      <w:r w:rsidRPr="008F0E56">
        <w:rPr>
          <w:rFonts w:cs="Arial"/>
          <w:szCs w:val="22"/>
        </w:rPr>
        <w:t xml:space="preserve"> unitaria del decreto in questi termini: “[i]l consolidamento... dei processi di pace e di stabilizzazione in aree di crisi acquisisce sempre più anche... funzione preventiva... con sicuri riflessi sulla sicurezza dei cittadini. La lotta al terrorismo va realizzata pertanto in maniera unitaria senza dividere tra sicurezza interna ed esterna, come d'altronde dimostrato dal fenomeno dei cosiddetti </w:t>
      </w:r>
      <w:r w:rsidRPr="008F0E56">
        <w:rPr>
          <w:rFonts w:cs="Arial"/>
          <w:i/>
          <w:iCs/>
          <w:szCs w:val="22"/>
        </w:rPr>
        <w:t>foreign fighters</w:t>
      </w:r>
      <w:r w:rsidRPr="008F0E56">
        <w:rPr>
          <w:rFonts w:cs="Arial"/>
          <w:szCs w:val="22"/>
        </w:rPr>
        <w:t xml:space="preserve">. ..[dunque] il provvedimento prevede misure volte sia a rafforzare e attualizzare gli strumenti di prevenzione e repressione penale del fenomeno nel territorio dello Stato, sia a consentire la partecipazione a missioni internazionali delle Forze armate e di polizia finalizzate alla cooperazione allo sviluppo e al sostegno ai processi di ricostruzione e di pace”; </w:t>
      </w:r>
    </w:p>
    <w:p w:rsidR="000B33A8" w:rsidRPr="00B91F58" w:rsidRDefault="000B33A8" w:rsidP="000B33A8">
      <w:pPr>
        <w:rPr>
          <w:rFonts w:cs="Arial"/>
          <w:szCs w:val="22"/>
        </w:rPr>
      </w:pPr>
      <w:r w:rsidRPr="008F0E56">
        <w:rPr>
          <w:rFonts w:cs="Arial"/>
          <w:szCs w:val="22"/>
        </w:rPr>
        <w:t xml:space="preserve">le disposizioni del decreto risultano infatti avvinte da </w:t>
      </w:r>
      <w:r w:rsidRPr="008F0E56">
        <w:rPr>
          <w:rFonts w:cs="Arial"/>
          <w:b/>
          <w:szCs w:val="22"/>
        </w:rPr>
        <w:t>un unico nesso teleologico</w:t>
      </w:r>
      <w:r w:rsidRPr="008F0E56">
        <w:rPr>
          <w:rFonts w:cs="Arial"/>
          <w:szCs w:val="22"/>
        </w:rPr>
        <w:t xml:space="preserve"> (per di più puntualmente esplicitato nella relazione illustrativa e – quanto ai contenuti – riscontrabile anche nel titolo del provvedimento e nel preambolo), pur afferendo ad ambiti materiali distinti</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243" w:name="S04a02"/>
      <w:r w:rsidRPr="00B91F58">
        <w:rPr>
          <w:rFonts w:cs="Arial"/>
          <w:szCs w:val="22"/>
        </w:rPr>
        <w:t xml:space="preserve">2 – </w:t>
      </w:r>
      <w:bookmarkEnd w:id="243"/>
      <w:r>
        <w:fldChar w:fldCharType="begin"/>
      </w:r>
      <w:r>
        <w:instrText>HYPERLINK  \l "premessa04"</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8F0E56">
        <w:t xml:space="preserve">secondo un procedimento consueto nei decreti che regolano la partecipazione italiana alle missioni internazionali, il provvedimento – reiterando una modalità di produzione normativa i cui aspetti problematici sono stati più volte segnalati dal Comitato – effettua rinvii alla normativa esistente senza potersi però rapportare ad una </w:t>
      </w:r>
      <w:r w:rsidRPr="008F0E56">
        <w:rPr>
          <w:b/>
        </w:rPr>
        <w:t>disciplina unitaria</w:t>
      </w:r>
      <w:r w:rsidRPr="008F0E56">
        <w:t xml:space="preserve"> che regolamenti stabilmente i profili giuridico-economici delle missioni stesse ed i cui elementi essenziali potrebbero adesso rinvenirsi nella legge n.</w:t>
      </w:r>
      <w:r>
        <w:t xml:space="preserve"> </w:t>
      </w:r>
      <w:r w:rsidRPr="008F0E56">
        <w:t>108 del 2009, cui, ad esempio, si rinvia per alcuni aspetti in materia di personale</w:t>
      </w:r>
      <w:r w:rsidRPr="00B91F58">
        <w:rPr>
          <w:rFonts w:cs="Arial"/>
          <w:szCs w:val="22"/>
        </w:rPr>
        <w:t>»</w:t>
      </w:r>
      <w:r>
        <w:rPr>
          <w:rFonts w:cs="Arial"/>
          <w:szCs w:val="22"/>
        </w:rPr>
        <w:t xml:space="preserve"> </w:t>
      </w:r>
      <w:r w:rsidRPr="00B91F58">
        <w:rPr>
          <w:rFonts w:cs="Arial"/>
          <w:szCs w:val="22"/>
        </w:rPr>
        <w:t>(</w:t>
      </w:r>
      <w:hyperlink w:anchor="S04r01" w:history="1">
        <w:r>
          <w:rPr>
            <w:rStyle w:val="Collegamentoipertestuale"/>
            <w:rFonts w:cs="Arial"/>
            <w:b/>
            <w:szCs w:val="22"/>
          </w:rPr>
          <w:t>conseguente raccomandazione</w:t>
        </w:r>
      </w:hyperlink>
      <w:r w:rsidRPr="00B91F58">
        <w:rPr>
          <w:rFonts w:cs="Arial"/>
          <w:szCs w:val="22"/>
        </w:rPr>
        <w:t>);</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244" w:name="S04a03"/>
      <w:r w:rsidRPr="00B91F58">
        <w:rPr>
          <w:rFonts w:cs="Arial"/>
          <w:szCs w:val="22"/>
        </w:rPr>
        <w:t xml:space="preserve">3 – </w:t>
      </w:r>
      <w:bookmarkEnd w:id="244"/>
      <w:r>
        <w:fldChar w:fldCharType="begin"/>
      </w:r>
      <w:r>
        <w:instrText>HYPERLINK  \l "premessa04"</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8F0E56">
        <w:rPr>
          <w:rFonts w:cs="Arial"/>
          <w:szCs w:val="22"/>
        </w:rPr>
        <w:t xml:space="preserve">per la disciplina in materia penale, si perpetua la lunga e complessa </w:t>
      </w:r>
      <w:r w:rsidRPr="008F0E56">
        <w:rPr>
          <w:rFonts w:cs="Arial"/>
          <w:b/>
          <w:szCs w:val="22"/>
        </w:rPr>
        <w:t>catena di rinvii normativi</w:t>
      </w:r>
      <w:r w:rsidRPr="008F0E56">
        <w:rPr>
          <w:rFonts w:cs="Arial"/>
          <w:szCs w:val="22"/>
        </w:rPr>
        <w:t xml:space="preserve"> al decreto-legge n.</w:t>
      </w:r>
      <w:r>
        <w:rPr>
          <w:rFonts w:cs="Arial"/>
          <w:szCs w:val="22"/>
        </w:rPr>
        <w:t xml:space="preserve"> </w:t>
      </w:r>
      <w:r w:rsidRPr="008F0E56">
        <w:rPr>
          <w:rFonts w:cs="Arial"/>
          <w:szCs w:val="22"/>
        </w:rPr>
        <w:t>152 del 2009 e al decreto-legge n.</w:t>
      </w:r>
      <w:r>
        <w:rPr>
          <w:rFonts w:cs="Arial"/>
          <w:szCs w:val="22"/>
        </w:rPr>
        <w:t xml:space="preserve"> </w:t>
      </w:r>
      <w:r w:rsidRPr="008F0E56">
        <w:rPr>
          <w:rFonts w:cs="Arial"/>
          <w:szCs w:val="22"/>
        </w:rPr>
        <w:t>209 del 2008 che, a sua volta, contiene anche ulteriori rinvii al codice penale militare di pace ed alla specifica disciplina in materia di missioni militari recata dal decreto-legge n.</w:t>
      </w:r>
      <w:r>
        <w:rPr>
          <w:rFonts w:cs="Arial"/>
          <w:szCs w:val="22"/>
        </w:rPr>
        <w:t xml:space="preserve"> </w:t>
      </w:r>
      <w:r w:rsidRPr="008F0E56">
        <w:rPr>
          <w:rFonts w:cs="Arial"/>
          <w:szCs w:val="22"/>
        </w:rPr>
        <w:t xml:space="preserve">421 del 2001: da ciò consegue che disposizioni inizialmente valide per il breve arco temporale di riferimento dei decreti-legge in materia di missioni vengono di volta in volta prorogate, per di più </w:t>
      </w:r>
      <w:r w:rsidRPr="008F0E56">
        <w:rPr>
          <w:rFonts w:cs="Arial"/>
          <w:szCs w:val="22"/>
        </w:rPr>
        <w:lastRenderedPageBreak/>
        <w:t>in maniera non testuale e attraverso una rete di richiami normativi difficilmente dipanabile, consolidatasi nel tempo</w:t>
      </w:r>
      <w:r w:rsidRPr="00B91F58">
        <w:rPr>
          <w:rFonts w:cs="Arial"/>
          <w:szCs w:val="22"/>
        </w:rPr>
        <w:t>»</w:t>
      </w:r>
      <w:r>
        <w:rPr>
          <w:rFonts w:cs="Arial"/>
          <w:szCs w:val="22"/>
        </w:rPr>
        <w:t xml:space="preserve">; </w:t>
      </w:r>
      <w:r w:rsidRPr="00B91F58">
        <w:rPr>
          <w:rFonts w:cs="Arial"/>
          <w:szCs w:val="22"/>
        </w:rPr>
        <w:t>(</w:t>
      </w:r>
      <w:hyperlink w:anchor="S04r01" w:history="1">
        <w:r>
          <w:rPr>
            <w:rStyle w:val="Collegamentoipertestuale"/>
            <w:rFonts w:cs="Arial"/>
            <w:b/>
            <w:szCs w:val="22"/>
          </w:rPr>
          <w:t>conseguente raccomandazione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245" w:name="S04a04"/>
      <w:r w:rsidRPr="00B91F58">
        <w:rPr>
          <w:rFonts w:cs="Arial"/>
          <w:szCs w:val="22"/>
        </w:rPr>
        <w:t xml:space="preserve">4 – </w:t>
      </w:r>
      <w:bookmarkEnd w:id="245"/>
      <w:r>
        <w:fldChar w:fldCharType="begin"/>
      </w:r>
      <w:r>
        <w:instrText>HYPERLINK  \l "premessa04"</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15470C">
        <w:rPr>
          <w:rFonts w:cs="Arial"/>
          <w:szCs w:val="22"/>
        </w:rPr>
        <w:t xml:space="preserve">in ragione della peculiare fattispecie delle missioni militari e internazionali, il provvedimento si caratterizza come </w:t>
      </w:r>
      <w:r w:rsidRPr="0015470C">
        <w:rPr>
          <w:rFonts w:cs="Arial"/>
          <w:b/>
          <w:szCs w:val="22"/>
        </w:rPr>
        <w:t>disciplina in più punti derogatoria del diritto vigente</w:t>
      </w:r>
      <w:r w:rsidRPr="0015470C">
        <w:rPr>
          <w:rFonts w:cs="Arial"/>
          <w:szCs w:val="22"/>
        </w:rPr>
        <w:t xml:space="preserve">. La relazione sull'analisi tecnico-normativa (ATN) dà conto analiticamente delle norme derogate, anche implicitamente; si rammenta tuttavia che </w:t>
      </w:r>
      <w:r w:rsidRPr="0015470C">
        <w:rPr>
          <w:rFonts w:cs="Arial"/>
          <w:b/>
          <w:szCs w:val="22"/>
        </w:rPr>
        <w:t>l'articolo 13-</w:t>
      </w:r>
      <w:r w:rsidRPr="0015470C">
        <w:rPr>
          <w:rFonts w:cs="Arial"/>
          <w:b/>
          <w:i/>
          <w:iCs/>
          <w:szCs w:val="22"/>
        </w:rPr>
        <w:t>bis</w:t>
      </w:r>
      <w:r w:rsidRPr="0015470C">
        <w:rPr>
          <w:rFonts w:cs="Arial"/>
          <w:b/>
          <w:szCs w:val="22"/>
        </w:rPr>
        <w:t xml:space="preserve"> della legge n. 400 del 1988</w:t>
      </w:r>
      <w:r w:rsidRPr="0015470C">
        <w:rPr>
          <w:rFonts w:cs="Arial"/>
          <w:szCs w:val="22"/>
        </w:rPr>
        <w:t xml:space="preserve"> dispone tra l'altro che il Governo, nell'ambito delle proprie competenze, provvede “a che ogni norma che sia diretta a sostituire, modificare o abrogare norme vigenti ovvero a stabilire deroghe indichi espressamente le norme sostituite, modificate, abrogate o derogate” (comma 1, lettera </w:t>
      </w:r>
      <w:r w:rsidRPr="0015470C">
        <w:rPr>
          <w:rFonts w:cs="Arial"/>
          <w:i/>
          <w:iCs/>
          <w:szCs w:val="22"/>
        </w:rPr>
        <w:t>a)</w:t>
      </w:r>
      <w:r w:rsidRPr="0015470C">
        <w:rPr>
          <w:rFonts w:cs="Arial"/>
          <w:szCs w:val="22"/>
        </w:rPr>
        <w:t xml:space="preserve"> ) e che “Le disposizioni della presente legge in materia di chiarezza dei testi normativi costituiscono princìpi generali per la produzione normativa e non possono essere derogate, modificate o abrogate se non in modo esplicito” (comma 2); a titolo esemplificativo, deroghe sono riscontrabili: all'articolo 14, comma 3 (che autorizza spese “anche in deroga alle disposizioni di contabilità generale dello Stato”); all'articolo 15, comma 1 (trattamento del personale in missione); all'articolo 15, comma 4 (compenso forfettario di impiego per il personale in missione); all'articolo 15, comma 5 (deroghe alla competenza territoriale dei tribunali militari, alla procedura penale militare, al codice penale ed al codice di procedura penale); all'articolo 16, comma 1, in materia contabile</w:t>
      </w:r>
      <w:r w:rsidRPr="00B91F58">
        <w:rPr>
          <w:rFonts w:cs="Arial"/>
          <w:szCs w:val="22"/>
        </w:rPr>
        <w:t>»</w:t>
      </w:r>
      <w:r>
        <w:rPr>
          <w:rFonts w:cs="Arial"/>
          <w:szCs w:val="22"/>
        </w:rPr>
        <w:t xml:space="preserve"> </w:t>
      </w:r>
      <w:r w:rsidRPr="00B91F58">
        <w:rPr>
          <w:rFonts w:cs="Arial"/>
          <w:szCs w:val="22"/>
        </w:rPr>
        <w:t>(</w:t>
      </w:r>
      <w:hyperlink w:anchor="S04c01" w:history="1">
        <w:r>
          <w:rPr>
            <w:rStyle w:val="Collegamentoipertestuale"/>
            <w:rFonts w:cs="Arial"/>
            <w:b/>
            <w:szCs w:val="22"/>
          </w:rPr>
          <w:t>conseguente condizione</w:t>
        </w:r>
      </w:hyperlink>
      <w:r w:rsidRPr="00B91F58">
        <w:rPr>
          <w:rFonts w:cs="Arial"/>
          <w:szCs w:val="22"/>
        </w:rPr>
        <w:t>)</w:t>
      </w:r>
      <w:r>
        <w:rPr>
          <w:rFonts w:cs="Arial"/>
          <w:szCs w:val="22"/>
        </w:rPr>
        <w:t xml:space="preserve"> </w:t>
      </w:r>
      <w:r w:rsidRPr="00B91F58">
        <w:rPr>
          <w:rFonts w:cs="Arial"/>
          <w:szCs w:val="22"/>
        </w:rPr>
        <w:t>(</w:t>
      </w:r>
      <w:hyperlink w:anchor="S04o01"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246" w:name="S04a05"/>
      <w:r w:rsidRPr="00B91F58">
        <w:rPr>
          <w:rFonts w:cs="Arial"/>
          <w:szCs w:val="22"/>
        </w:rPr>
        <w:t xml:space="preserve">5 – </w:t>
      </w:r>
      <w:bookmarkEnd w:id="246"/>
      <w:r>
        <w:fldChar w:fldCharType="begin"/>
      </w:r>
      <w:r>
        <w:instrText>HYPERLINK  \l "premessa04"</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15470C">
        <w:rPr>
          <w:rFonts w:cs="Arial"/>
          <w:szCs w:val="22"/>
        </w:rPr>
        <w:t>l'articolo 5, comma 1, primo periodo, incrementa di 1.800 unità il contingente di 3.000 unità di cui all'articolo 4, comma 6, del decreto-legge 31 dicembre 2014, n.</w:t>
      </w:r>
      <w:r w:rsidR="00213334">
        <w:rPr>
          <w:rFonts w:cs="Arial"/>
          <w:szCs w:val="22"/>
        </w:rPr>
        <w:t xml:space="preserve"> </w:t>
      </w:r>
      <w:r w:rsidRPr="0015470C">
        <w:rPr>
          <w:rFonts w:cs="Arial"/>
          <w:szCs w:val="22"/>
        </w:rPr>
        <w:t xml:space="preserve">192, prorogandone l'operatività dal 31 marzo al 30 giugno 2015, con ciò integrando senza gli opportuni coordinamenti una </w:t>
      </w:r>
      <w:r w:rsidRPr="0015470C">
        <w:rPr>
          <w:rFonts w:cs="Arial"/>
          <w:b/>
          <w:szCs w:val="22"/>
        </w:rPr>
        <w:t>disposizione di recentissima emanazione</w:t>
      </w:r>
      <w:r w:rsidRPr="0015470C">
        <w:rPr>
          <w:rFonts w:cs="Arial"/>
          <w:szCs w:val="22"/>
        </w:rPr>
        <w:t xml:space="preserve">, recata, per di più, </w:t>
      </w:r>
      <w:r w:rsidRPr="0015470C">
        <w:rPr>
          <w:rFonts w:cs="Arial"/>
          <w:b/>
          <w:szCs w:val="22"/>
        </w:rPr>
        <w:t xml:space="preserve">in un decreto-legge il cui </w:t>
      </w:r>
      <w:r w:rsidRPr="0015470C">
        <w:rPr>
          <w:rFonts w:cs="Arial"/>
          <w:b/>
          <w:i/>
          <w:iCs/>
          <w:szCs w:val="22"/>
        </w:rPr>
        <w:t xml:space="preserve">iter </w:t>
      </w:r>
      <w:r w:rsidRPr="0015470C">
        <w:rPr>
          <w:rFonts w:cs="Arial"/>
          <w:b/>
          <w:szCs w:val="22"/>
        </w:rPr>
        <w:t>di conversione era ancora in corso</w:t>
      </w:r>
      <w:r w:rsidRPr="0015470C">
        <w:rPr>
          <w:rFonts w:cs="Arial"/>
          <w:szCs w:val="22"/>
        </w:rPr>
        <w:t xml:space="preserve"> al momento della deliberazione del decreto oggi in esame</w:t>
      </w:r>
      <w:r w:rsidRPr="00B91F58">
        <w:rPr>
          <w:rFonts w:cs="Arial"/>
          <w:szCs w:val="22"/>
        </w:rPr>
        <w:t>»</w:t>
      </w:r>
      <w:r>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247" w:name="S04a06"/>
      <w:r w:rsidRPr="00B91F58">
        <w:rPr>
          <w:rFonts w:cs="Arial"/>
          <w:szCs w:val="22"/>
        </w:rPr>
        <w:t xml:space="preserve">6 – </w:t>
      </w:r>
      <w:bookmarkEnd w:id="247"/>
      <w:r>
        <w:fldChar w:fldCharType="begin"/>
      </w:r>
      <w:r>
        <w:instrText>HYPERLINK  \l "premessa04"</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A430A7">
        <w:rPr>
          <w:rFonts w:cs="Arial"/>
          <w:szCs w:val="22"/>
        </w:rPr>
        <w:t>il decreto-legge interviene a prorogare le missioni internazionali dal 1</w:t>
      </w:r>
      <w:r w:rsidRPr="00A430A7">
        <w:rPr>
          <w:rFonts w:cs="Arial"/>
          <w:szCs w:val="22"/>
          <w:vertAlign w:val="superscript"/>
        </w:rPr>
        <w:t>o</w:t>
      </w:r>
      <w:r w:rsidRPr="00A430A7">
        <w:rPr>
          <w:rFonts w:cs="Arial"/>
          <w:szCs w:val="22"/>
        </w:rPr>
        <w:t xml:space="preserve"> gennaio 2015 al 30 settembre 2015, </w:t>
      </w:r>
      <w:r w:rsidRPr="00A430A7">
        <w:rPr>
          <w:rFonts w:cs="Arial"/>
          <w:b/>
          <w:szCs w:val="22"/>
        </w:rPr>
        <w:t>retroagendo</w:t>
      </w:r>
      <w:r w:rsidRPr="00A430A7">
        <w:rPr>
          <w:rFonts w:cs="Arial"/>
          <w:szCs w:val="22"/>
        </w:rPr>
        <w:t xml:space="preserve"> dunque sia rispetto alla sua adozione (nella riunione del Consiglio dei ministri del 10 febbraio 2015) sia rispetto alla sua entrata in vigore, avvenuta, ai sensi dell'articolo 21, comma 1, in data 20 febbraio 2015 (giorno successivo alla sua pubblicazione nella </w:t>
      </w:r>
      <w:r w:rsidRPr="00A430A7">
        <w:rPr>
          <w:rFonts w:cs="Arial"/>
          <w:i/>
          <w:iCs/>
          <w:szCs w:val="22"/>
        </w:rPr>
        <w:t>Gazzetta Ufficiale</w:t>
      </w:r>
      <w:r w:rsidRPr="00A430A7">
        <w:rPr>
          <w:rFonts w:cs="Arial"/>
          <w:szCs w:val="22"/>
        </w:rPr>
        <w:t>) e dando così copertura normativa all'impegno dell'Italia nelle missioni internazionali dal 1</w:t>
      </w:r>
      <w:r w:rsidRPr="00A430A7">
        <w:rPr>
          <w:rFonts w:cs="Arial"/>
          <w:szCs w:val="22"/>
          <w:vertAlign w:val="superscript"/>
        </w:rPr>
        <w:t>o</w:t>
      </w:r>
      <w:r w:rsidRPr="00A430A7">
        <w:rPr>
          <w:rFonts w:cs="Arial"/>
          <w:szCs w:val="22"/>
        </w:rPr>
        <w:t xml:space="preserve"> gennaio 2015 (1</w:t>
      </w:r>
      <w:r w:rsidRPr="00A430A7">
        <w:rPr>
          <w:rFonts w:cs="Arial"/>
          <w:szCs w:val="22"/>
          <w:vertAlign w:val="superscript"/>
        </w:rPr>
        <w:t>o</w:t>
      </w:r>
      <w:r w:rsidRPr="00A430A7">
        <w:rPr>
          <w:rFonts w:cs="Arial"/>
          <w:szCs w:val="22"/>
        </w:rPr>
        <w:t xml:space="preserve"> </w:t>
      </w:r>
      <w:r w:rsidRPr="00A430A7">
        <w:rPr>
          <w:rFonts w:cs="Arial"/>
          <w:szCs w:val="22"/>
        </w:rPr>
        <w:lastRenderedPageBreak/>
        <w:t>novembre 2014 per la missione di cui all'articolo 12, comma 9) al 18 febbraio 2015, circostanza non coerente con le esigenze di stabilità, certezza e semplificazione della legislazione, anche ove si consideri che il decreto contiene, tra l'altro, disposizioni in materia penale</w:t>
      </w:r>
      <w:r w:rsidRPr="00B91F58">
        <w:rPr>
          <w:rFonts w:cs="Arial"/>
          <w:szCs w:val="22"/>
        </w:rPr>
        <w:t>»</w:t>
      </w:r>
      <w:r>
        <w:rPr>
          <w:rFonts w:cs="Arial"/>
          <w:szCs w:val="22"/>
        </w:rPr>
        <w:t>;</w:t>
      </w:r>
      <w:r w:rsidRPr="00B91F58">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248" w:name="S04a07"/>
      <w:r w:rsidRPr="00B91F58">
        <w:rPr>
          <w:rFonts w:cs="Arial"/>
          <w:szCs w:val="22"/>
        </w:rPr>
        <w:t xml:space="preserve">7 – </w:t>
      </w:r>
      <w:bookmarkEnd w:id="248"/>
      <w:r>
        <w:fldChar w:fldCharType="begin"/>
      </w:r>
      <w:r>
        <w:instrText>HYPERLINK  \l "premessa04"</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217B6E">
        <w:rPr>
          <w:rFonts w:cs="Arial"/>
          <w:szCs w:val="22"/>
        </w:rPr>
        <w:t xml:space="preserve">l'articolo 11, comma 7, che autorizza la missione NATO </w:t>
      </w:r>
      <w:r w:rsidRPr="00217B6E">
        <w:rPr>
          <w:rFonts w:cs="Arial"/>
          <w:i/>
          <w:iCs/>
          <w:szCs w:val="22"/>
        </w:rPr>
        <w:t>Baltic Air Policing</w:t>
      </w:r>
      <w:r w:rsidRPr="00217B6E">
        <w:rPr>
          <w:rFonts w:cs="Arial"/>
          <w:szCs w:val="22"/>
        </w:rPr>
        <w:t xml:space="preserve"> non individua – a differenza di tutte le altre missioni – la </w:t>
      </w:r>
      <w:r w:rsidRPr="00A430A7">
        <w:rPr>
          <w:rFonts w:cs="Arial"/>
          <w:b/>
          <w:szCs w:val="22"/>
        </w:rPr>
        <w:t>decorrenza dell'autorizzazione</w:t>
      </w:r>
      <w:r w:rsidRPr="00217B6E">
        <w:rPr>
          <w:rFonts w:cs="Arial"/>
          <w:szCs w:val="22"/>
        </w:rPr>
        <w:t>; la missione risulta iniziata il 1</w:t>
      </w:r>
      <w:r w:rsidRPr="00217B6E">
        <w:rPr>
          <w:rFonts w:cs="Arial"/>
          <w:szCs w:val="22"/>
          <w:vertAlign w:val="superscript"/>
        </w:rPr>
        <w:t>o</w:t>
      </w:r>
      <w:r w:rsidRPr="00217B6E">
        <w:rPr>
          <w:rFonts w:cs="Arial"/>
          <w:szCs w:val="22"/>
        </w:rPr>
        <w:t xml:space="preserve"> gennaio 2015; dalla relazione tecnico-finanziaria sembrerebbe invece desumersi che la data di decorrenza coincida con l'entrata in vigore del decreto-legge (sono coperti infatti oneri per 193 giorni fino al 31 agosto 2015): se ne dovrebbe dunque specificare la decorrenza</w:t>
      </w:r>
      <w:r w:rsidRPr="00B91F58">
        <w:rPr>
          <w:rFonts w:cs="Arial"/>
          <w:szCs w:val="22"/>
        </w:rPr>
        <w:t>» (</w:t>
      </w:r>
      <w:hyperlink w:anchor="S04c02" w:history="1">
        <w:r>
          <w:rPr>
            <w:rStyle w:val="Collegamentoipertestuale"/>
            <w:rFonts w:cs="Arial"/>
            <w:b/>
            <w:szCs w:val="22"/>
          </w:rPr>
          <w:t>conseguente condizione</w:t>
        </w:r>
      </w:hyperlink>
      <w:r w:rsidRPr="00B91F58">
        <w:rPr>
          <w:rFonts w:cs="Arial"/>
          <w:szCs w:val="22"/>
        </w:rPr>
        <w:t>);</w:t>
      </w: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249" w:name="S04a08"/>
      <w:r>
        <w:rPr>
          <w:rFonts w:cs="Arial"/>
          <w:szCs w:val="22"/>
        </w:rPr>
        <w:t xml:space="preserve">8 - </w:t>
      </w:r>
      <w:bookmarkEnd w:id="249"/>
      <w:r>
        <w:fldChar w:fldCharType="begin"/>
      </w:r>
      <w:r>
        <w:instrText>HYPERLINK  \l "premessa04"</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Pr>
          <w:rStyle w:val="Collegamentoipertestuale"/>
          <w:rFonts w:cs="Arial"/>
          <w:szCs w:val="22"/>
        </w:rPr>
        <w:t xml:space="preserve"> </w:t>
      </w:r>
      <w:r w:rsidRPr="00B91F58">
        <w:rPr>
          <w:rFonts w:cs="Arial"/>
          <w:szCs w:val="22"/>
        </w:rPr>
        <w:t>«</w:t>
      </w:r>
      <w:r w:rsidRPr="00217B6E">
        <w:rPr>
          <w:rFonts w:cs="Arial"/>
          <w:szCs w:val="22"/>
        </w:rPr>
        <w:t xml:space="preserve">fra le </w:t>
      </w:r>
      <w:r w:rsidRPr="00217B6E">
        <w:rPr>
          <w:rFonts w:cs="Arial"/>
          <w:b/>
          <w:szCs w:val="22"/>
        </w:rPr>
        <w:t>norme transitorie</w:t>
      </w:r>
      <w:r w:rsidRPr="00217B6E">
        <w:rPr>
          <w:rFonts w:cs="Arial"/>
          <w:szCs w:val="22"/>
        </w:rPr>
        <w:t>, l'articolo 20, comma 1, dispone che l'incarico di procuratore nazionale antimafia e antiterrorismo sia assunto, alla data di entrata in vigore del presente decreto, dal procuratore nazionale antimafia: al riguardo sarebbe opportuno specificare se la permanenza in carica continui a d</w:t>
      </w:r>
      <w:r>
        <w:rPr>
          <w:rFonts w:cs="Arial"/>
          <w:szCs w:val="22"/>
        </w:rPr>
        <w:t>ecorrere dalla data di nomina de</w:t>
      </w:r>
      <w:r w:rsidRPr="00217B6E">
        <w:rPr>
          <w:rFonts w:cs="Arial"/>
          <w:szCs w:val="22"/>
        </w:rPr>
        <w:t>ll'attuale procuratore</w:t>
      </w:r>
      <w:r w:rsidRPr="00B91F58">
        <w:rPr>
          <w:rFonts w:cs="Arial"/>
          <w:szCs w:val="22"/>
        </w:rPr>
        <w:t>»</w:t>
      </w:r>
      <w:r>
        <w:rPr>
          <w:rFonts w:cs="Arial"/>
          <w:szCs w:val="22"/>
        </w:rPr>
        <w:t xml:space="preserve"> </w:t>
      </w:r>
      <w:r w:rsidRPr="00B91F58">
        <w:rPr>
          <w:rFonts w:cs="Arial"/>
          <w:szCs w:val="22"/>
        </w:rPr>
        <w:t>(</w:t>
      </w:r>
      <w:hyperlink w:anchor="S04o02"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250" w:name="S04a09"/>
      <w:r>
        <w:rPr>
          <w:rFonts w:cs="Arial"/>
          <w:szCs w:val="22"/>
        </w:rPr>
        <w:t xml:space="preserve">9 - </w:t>
      </w:r>
      <w:bookmarkEnd w:id="250"/>
      <w:r>
        <w:fldChar w:fldCharType="begin"/>
      </w:r>
      <w:r>
        <w:instrText>HYPERLINK  \l "premessa04"</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Pr>
          <w:rStyle w:val="Collegamentoipertestuale"/>
          <w:rFonts w:cs="Arial"/>
          <w:szCs w:val="22"/>
        </w:rPr>
        <w:t xml:space="preserve"> </w:t>
      </w:r>
      <w:r w:rsidRPr="00B91F58">
        <w:rPr>
          <w:rFonts w:cs="Arial"/>
          <w:szCs w:val="22"/>
        </w:rPr>
        <w:t>«</w:t>
      </w:r>
      <w:r w:rsidRPr="00217B6E">
        <w:rPr>
          <w:rFonts w:cs="Arial"/>
          <w:szCs w:val="22"/>
        </w:rPr>
        <w:t>il disegno di legge di conversione è corredato della relazione sull'analisi tecnico-normativa (</w:t>
      </w:r>
      <w:r w:rsidRPr="00217B6E">
        <w:rPr>
          <w:rFonts w:cs="Arial"/>
          <w:b/>
          <w:szCs w:val="22"/>
        </w:rPr>
        <w:t>ATN</w:t>
      </w:r>
      <w:r w:rsidRPr="00217B6E">
        <w:rPr>
          <w:rFonts w:cs="Arial"/>
          <w:szCs w:val="22"/>
        </w:rPr>
        <w:t>), nonché della dichiarazione di esclusione dell'analisi di impatto della regolamentazione (</w:t>
      </w:r>
      <w:r w:rsidRPr="00217B6E">
        <w:rPr>
          <w:rFonts w:cs="Arial"/>
          <w:b/>
          <w:szCs w:val="22"/>
        </w:rPr>
        <w:t>AIR</w:t>
      </w:r>
      <w:r w:rsidRPr="00217B6E">
        <w:rPr>
          <w:rFonts w:cs="Arial"/>
          <w:szCs w:val="22"/>
        </w:rPr>
        <w:t>)</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szCs w:val="22"/>
        </w:rPr>
      </w:pPr>
      <w:bookmarkStart w:id="251" w:name="S04C"/>
      <w:r w:rsidRPr="00B91F58">
        <w:rPr>
          <w:rFonts w:cs="Arial"/>
          <w:b/>
          <w:szCs w:val="22"/>
        </w:rPr>
        <w:t>Condizioni</w:t>
      </w:r>
      <w:r w:rsidRPr="00B91F58">
        <w:rPr>
          <w:rFonts w:cs="Arial"/>
          <w:szCs w:val="22"/>
        </w:rPr>
        <w:t>:</w:t>
      </w:r>
      <w:bookmarkEnd w:id="251"/>
      <w:r w:rsidRPr="00B91F58">
        <w:rPr>
          <w:rFonts w:cs="Arial"/>
          <w:szCs w:val="22"/>
        </w:rPr>
        <w:t xml:space="preserve"> </w:t>
      </w:r>
    </w:p>
    <w:p w:rsidR="000B33A8" w:rsidRDefault="000B33A8" w:rsidP="000B33A8">
      <w:pPr>
        <w:keepNext/>
        <w:ind w:firstLine="0"/>
        <w:rPr>
          <w:rFonts w:cs="Arial"/>
          <w:i/>
          <w:szCs w:val="22"/>
        </w:rPr>
      </w:pPr>
      <w:r w:rsidRPr="00D249C1">
        <w:rPr>
          <w:rFonts w:cs="Arial"/>
          <w:i/>
          <w:szCs w:val="22"/>
        </w:rPr>
        <w:t>sotto il profilo dell'efficacia del testo per la semplificazione e il riordino della legislazione vigente:</w:t>
      </w:r>
    </w:p>
    <w:p w:rsidR="000B33A8" w:rsidRPr="00A732FE" w:rsidRDefault="000B33A8" w:rsidP="00B26E1F">
      <w:pPr>
        <w:pStyle w:val="Paragrafoelenco"/>
        <w:numPr>
          <w:ilvl w:val="0"/>
          <w:numId w:val="30"/>
        </w:numPr>
        <w:ind w:left="567" w:hanging="283"/>
        <w:rPr>
          <w:rStyle w:val="Collegamentoipertestuale"/>
          <w:rFonts w:cs="Arial"/>
          <w:szCs w:val="22"/>
        </w:rPr>
      </w:pPr>
      <w:bookmarkStart w:id="252" w:name="S04c01"/>
      <w:r w:rsidRPr="00666EE1">
        <w:rPr>
          <w:rFonts w:cs="Arial"/>
          <w:szCs w:val="22"/>
        </w:rPr>
        <w:t xml:space="preserve">si valuti l'opportunità di individuare </w:t>
      </w:r>
      <w:bookmarkEnd w:id="252"/>
      <w:r w:rsidRPr="00666EE1">
        <w:rPr>
          <w:rFonts w:cs="Arial"/>
          <w:szCs w:val="22"/>
        </w:rPr>
        <w:t>più specificamente le normative cui, per effetto del provvedimento in esame, si potrà derogare</w:t>
      </w:r>
      <w:r>
        <w:rPr>
          <w:rFonts w:cs="Arial"/>
          <w:szCs w:val="22"/>
        </w:rPr>
        <w:t xml:space="preserve">; </w:t>
      </w:r>
      <w:hyperlink w:anchor="premessa04"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0B33A8">
      <w:pPr>
        <w:pStyle w:val="Paragrafoelenco"/>
        <w:ind w:left="0" w:firstLine="0"/>
        <w:rPr>
          <w:rStyle w:val="Collegamentoipertestuale"/>
          <w:rFonts w:cs="Arial"/>
          <w:szCs w:val="22"/>
        </w:rPr>
      </w:pPr>
      <w:r w:rsidRPr="00C733BB">
        <w:rPr>
          <w:rFonts w:cs="Arial"/>
          <w:i/>
          <w:szCs w:val="22"/>
        </w:rPr>
        <w:t>sotto il profilo della chiarezza e della proprietà della formulazione</w:t>
      </w:r>
    </w:p>
    <w:p w:rsidR="000B33A8" w:rsidRPr="00A732FE" w:rsidRDefault="000B33A8" w:rsidP="00B26E1F">
      <w:pPr>
        <w:pStyle w:val="Paragrafoelenco"/>
        <w:numPr>
          <w:ilvl w:val="0"/>
          <w:numId w:val="30"/>
        </w:numPr>
        <w:ind w:left="567" w:hanging="283"/>
        <w:rPr>
          <w:rStyle w:val="Collegamentoipertestuale"/>
          <w:rFonts w:cs="Arial"/>
          <w:szCs w:val="22"/>
        </w:rPr>
      </w:pPr>
      <w:bookmarkStart w:id="253" w:name="S04c02"/>
      <w:r w:rsidRPr="00666EE1">
        <w:t xml:space="preserve">all'articolo 11, comma 7, </w:t>
      </w:r>
      <w:bookmarkEnd w:id="253"/>
      <w:r w:rsidRPr="00666EE1">
        <w:t xml:space="preserve">si dovrebbe specificare la decorrenza della missione </w:t>
      </w:r>
      <w:r w:rsidRPr="00666EE1">
        <w:rPr>
          <w:i/>
          <w:iCs/>
        </w:rPr>
        <w:t>Baltic Air Policing</w:t>
      </w:r>
      <w:r w:rsidRPr="00E93216">
        <w:t xml:space="preserve">; </w:t>
      </w:r>
      <w:hyperlink w:anchor="premessa04" w:history="1">
        <w:r w:rsidRPr="00D249C1">
          <w:rPr>
            <w:rStyle w:val="Collegamentoipertestuale"/>
            <w:rFonts w:cs="Arial"/>
            <w:szCs w:val="22"/>
          </w:rPr>
          <w:t>[torna su]</w:t>
        </w:r>
      </w:hyperlink>
      <w:r>
        <w:rPr>
          <w:rStyle w:val="Collegamentoipertestuale"/>
          <w:rFonts w:cs="Arial"/>
          <w:szCs w:val="22"/>
        </w:rPr>
        <w:t xml:space="preserve"> </w:t>
      </w:r>
    </w:p>
    <w:p w:rsidR="000B33A8" w:rsidRPr="00B91F58" w:rsidRDefault="000B33A8" w:rsidP="000B33A8">
      <w:pPr>
        <w:rPr>
          <w:rFonts w:cs="Arial"/>
          <w:szCs w:val="22"/>
        </w:rPr>
      </w:pPr>
    </w:p>
    <w:p w:rsidR="000B33A8" w:rsidRPr="00B91F58" w:rsidRDefault="000B33A8" w:rsidP="000B33A8">
      <w:pPr>
        <w:keepNext/>
        <w:tabs>
          <w:tab w:val="num" w:pos="567"/>
        </w:tabs>
        <w:ind w:firstLine="0"/>
        <w:rPr>
          <w:rFonts w:cs="Arial"/>
          <w:szCs w:val="22"/>
        </w:rPr>
      </w:pP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254" w:name="S04O"/>
      <w:r>
        <w:rPr>
          <w:rFonts w:cs="Arial"/>
          <w:b/>
          <w:szCs w:val="22"/>
        </w:rPr>
        <w:lastRenderedPageBreak/>
        <w:t>Osservazioni</w:t>
      </w:r>
      <w:r w:rsidRPr="00B91F58">
        <w:rPr>
          <w:rFonts w:cs="Arial"/>
          <w:szCs w:val="22"/>
        </w:rPr>
        <w:t xml:space="preserve">: </w:t>
      </w:r>
      <w:bookmarkEnd w:id="254"/>
    </w:p>
    <w:p w:rsidR="000B33A8" w:rsidRDefault="000B33A8" w:rsidP="000B33A8">
      <w:pPr>
        <w:keepNext/>
        <w:ind w:firstLine="0"/>
        <w:rPr>
          <w:rFonts w:cs="Arial"/>
          <w:i/>
          <w:szCs w:val="22"/>
        </w:rPr>
      </w:pPr>
      <w:r w:rsidRPr="00D249C1">
        <w:rPr>
          <w:rFonts w:cs="Arial"/>
          <w:i/>
          <w:szCs w:val="22"/>
        </w:rPr>
        <w:t>sotto il profilo dell'efficacia del testo per la semplificazione e il riordino della legislazione vigente:</w:t>
      </w:r>
    </w:p>
    <w:p w:rsidR="000B33A8" w:rsidRPr="00A732FE" w:rsidRDefault="000B33A8" w:rsidP="00B26E1F">
      <w:pPr>
        <w:pStyle w:val="Paragrafoelenco"/>
        <w:numPr>
          <w:ilvl w:val="0"/>
          <w:numId w:val="22"/>
        </w:numPr>
        <w:ind w:left="567" w:hanging="283"/>
        <w:rPr>
          <w:rStyle w:val="Collegamentoipertestuale"/>
          <w:rFonts w:cs="Arial"/>
          <w:szCs w:val="22"/>
        </w:rPr>
      </w:pPr>
      <w:bookmarkStart w:id="255" w:name="S04o01"/>
      <w:r w:rsidRPr="00666EE1">
        <w:rPr>
          <w:rFonts w:cs="Arial"/>
          <w:szCs w:val="22"/>
        </w:rPr>
        <w:t>per quanto detto in premessa</w:t>
      </w:r>
      <w:bookmarkEnd w:id="255"/>
      <w:r w:rsidRPr="00666EE1">
        <w:rPr>
          <w:rFonts w:cs="Arial"/>
          <w:szCs w:val="22"/>
        </w:rPr>
        <w:t>, si dovrebbe verificare se le disposizioni di cui all'articolo 15, commi 1, 4 e 5, e all'articolo 16, comma 1, debbano mantenere natura temporanea, con l'eventualità di essere soggette a successive proroghe, ovvero possano essere trasformate in previsioni a regime</w:t>
      </w:r>
      <w:r>
        <w:rPr>
          <w:rFonts w:cs="Arial"/>
          <w:szCs w:val="22"/>
        </w:rPr>
        <w:t xml:space="preserve">; </w:t>
      </w:r>
      <w:hyperlink w:anchor="premessa04" w:history="1">
        <w:r w:rsidRPr="00D249C1">
          <w:rPr>
            <w:rStyle w:val="Collegamentoipertestuale"/>
            <w:rFonts w:cs="Arial"/>
            <w:szCs w:val="22"/>
          </w:rPr>
          <w:t>[torna su]</w:t>
        </w:r>
      </w:hyperlink>
      <w:r>
        <w:rPr>
          <w:rStyle w:val="Collegamentoipertestuale"/>
          <w:rFonts w:cs="Arial"/>
          <w:szCs w:val="22"/>
        </w:rPr>
        <w:t xml:space="preserve"> </w:t>
      </w:r>
    </w:p>
    <w:p w:rsidR="000B33A8" w:rsidRPr="00666EE1" w:rsidRDefault="000B33A8" w:rsidP="000B33A8">
      <w:pPr>
        <w:ind w:left="567" w:hanging="283"/>
        <w:rPr>
          <w:rStyle w:val="Collegamentoipertestuale"/>
          <w:rFonts w:cs="Arial"/>
          <w:szCs w:val="22"/>
        </w:rPr>
      </w:pPr>
      <w:r w:rsidRPr="00666EE1">
        <w:rPr>
          <w:rFonts w:cs="Arial"/>
          <w:i/>
          <w:szCs w:val="22"/>
        </w:rPr>
        <w:t>sotto il profilo della chiarezza e della proprietà della formulazione</w:t>
      </w:r>
    </w:p>
    <w:p w:rsidR="000B33A8" w:rsidRPr="00A732FE" w:rsidRDefault="000B33A8" w:rsidP="00B26E1F">
      <w:pPr>
        <w:pStyle w:val="Paragrafoelenco"/>
        <w:numPr>
          <w:ilvl w:val="0"/>
          <w:numId w:val="22"/>
        </w:numPr>
        <w:ind w:left="567" w:hanging="283"/>
        <w:rPr>
          <w:rStyle w:val="Collegamentoipertestuale"/>
          <w:rFonts w:cs="Arial"/>
          <w:szCs w:val="22"/>
        </w:rPr>
      </w:pPr>
      <w:bookmarkStart w:id="256" w:name="S04o02"/>
      <w:r w:rsidRPr="00666EE1">
        <w:t xml:space="preserve">all'articolo 20, comma </w:t>
      </w:r>
      <w:bookmarkEnd w:id="256"/>
      <w:r w:rsidRPr="00666EE1">
        <w:t>1, per quanto detto in premessa, sarebbe opportuno</w:t>
      </w:r>
      <w:r>
        <w:t xml:space="preserve"> </w:t>
      </w:r>
      <w:r w:rsidRPr="00666EE1">
        <w:t>specificare se la permanenza in carica del procuratore nazionale antimafia e antiterrorismo continui a decorrere dalla data di nomina dall'attuale procuratore ovvero se decorra dall'entrata in vigore del decreto in esame</w:t>
      </w:r>
      <w:r w:rsidRPr="00E93216">
        <w:t xml:space="preserve">; </w:t>
      </w:r>
      <w:hyperlink w:anchor="premessa04" w:history="1">
        <w:r w:rsidRPr="00D249C1">
          <w:rPr>
            <w:rStyle w:val="Collegamentoipertestuale"/>
            <w:rFonts w:cs="Arial"/>
            <w:szCs w:val="22"/>
          </w:rPr>
          <w:t>[torna su]</w:t>
        </w:r>
      </w:hyperlink>
      <w:r>
        <w:rPr>
          <w:rStyle w:val="Collegamentoipertestuale"/>
          <w:rFonts w:cs="Arial"/>
          <w:szCs w:val="22"/>
        </w:rPr>
        <w:t xml:space="preserve"> </w:t>
      </w:r>
    </w:p>
    <w:p w:rsidR="000B33A8" w:rsidRPr="00B91F58" w:rsidRDefault="000B33A8" w:rsidP="000B33A8">
      <w:pPr>
        <w:ind w:left="567" w:hanging="283"/>
        <w:rPr>
          <w:rFonts w:cs="Arial"/>
          <w:szCs w:val="22"/>
        </w:rPr>
      </w:pPr>
    </w:p>
    <w:p w:rsidR="000B33A8" w:rsidRDefault="000B33A8" w:rsidP="000B33A8">
      <w:pPr>
        <w:ind w:left="567" w:hanging="283"/>
        <w:rPr>
          <w:rFonts w:cs="Arial"/>
          <w:szCs w:val="22"/>
        </w:rPr>
      </w:pPr>
    </w:p>
    <w:p w:rsidR="000B33A8" w:rsidRDefault="000B33A8" w:rsidP="000B33A8">
      <w:pPr>
        <w:keepNext/>
        <w:ind w:firstLine="0"/>
        <w:rPr>
          <w:rFonts w:cs="Arial"/>
          <w:szCs w:val="22"/>
        </w:rPr>
      </w:pPr>
      <w:bookmarkStart w:id="257" w:name="S04R"/>
      <w:r>
        <w:rPr>
          <w:rFonts w:cs="Arial"/>
          <w:b/>
          <w:szCs w:val="22"/>
        </w:rPr>
        <w:t>Raccomanda</w:t>
      </w:r>
      <w:r w:rsidRPr="00B91F58">
        <w:rPr>
          <w:rFonts w:cs="Arial"/>
          <w:b/>
          <w:szCs w:val="22"/>
        </w:rPr>
        <w:t>zioni</w:t>
      </w:r>
      <w:r w:rsidRPr="00B91F58">
        <w:rPr>
          <w:rFonts w:cs="Arial"/>
          <w:szCs w:val="22"/>
        </w:rPr>
        <w:t xml:space="preserve">: </w:t>
      </w:r>
    </w:p>
    <w:bookmarkEnd w:id="257"/>
    <w:p w:rsidR="000B33A8" w:rsidRDefault="000B33A8" w:rsidP="000B33A8">
      <w:pPr>
        <w:keepNext/>
        <w:ind w:firstLine="0"/>
        <w:rPr>
          <w:rFonts w:cs="Arial"/>
          <w:i/>
          <w:szCs w:val="22"/>
        </w:rPr>
      </w:pPr>
      <w:r w:rsidRPr="00D249C1">
        <w:rPr>
          <w:rFonts w:cs="Arial"/>
          <w:i/>
          <w:szCs w:val="22"/>
        </w:rPr>
        <w:t>sotto il profilo dell'efficacia del testo per la semplificazione e il riordino della legislazione vigente:</w:t>
      </w:r>
    </w:p>
    <w:p w:rsidR="000B33A8" w:rsidRPr="00A732FE" w:rsidRDefault="000B33A8" w:rsidP="00B26E1F">
      <w:pPr>
        <w:pStyle w:val="Paragrafoelenco"/>
        <w:numPr>
          <w:ilvl w:val="0"/>
          <w:numId w:val="23"/>
        </w:numPr>
        <w:ind w:left="567" w:hanging="283"/>
        <w:rPr>
          <w:rStyle w:val="Collegamentoipertestuale"/>
          <w:rFonts w:cs="Arial"/>
          <w:szCs w:val="22"/>
        </w:rPr>
      </w:pPr>
      <w:bookmarkStart w:id="258" w:name="S04r01"/>
      <w:r w:rsidRPr="00282E5A">
        <w:rPr>
          <w:rFonts w:cs="Arial"/>
          <w:szCs w:val="22"/>
        </w:rPr>
        <w:t xml:space="preserve">richiamando quanto più volte </w:t>
      </w:r>
      <w:bookmarkEnd w:id="258"/>
      <w:r w:rsidRPr="00282E5A">
        <w:rPr>
          <w:rFonts w:cs="Arial"/>
          <w:szCs w:val="22"/>
        </w:rPr>
        <w:t>rilevato in occasione dell'esame dei decreti-legge che regolano la partecipazione italiana alle missioni internazionali (da ultimo nei pareri sui decreti-legge n.</w:t>
      </w:r>
      <w:r>
        <w:rPr>
          <w:rFonts w:cs="Arial"/>
          <w:szCs w:val="22"/>
        </w:rPr>
        <w:t xml:space="preserve"> </w:t>
      </w:r>
      <w:r w:rsidRPr="00282E5A">
        <w:rPr>
          <w:rFonts w:cs="Arial"/>
          <w:szCs w:val="22"/>
        </w:rPr>
        <w:t>2 e n.</w:t>
      </w:r>
      <w:r>
        <w:rPr>
          <w:rFonts w:cs="Arial"/>
          <w:szCs w:val="22"/>
        </w:rPr>
        <w:t xml:space="preserve"> </w:t>
      </w:r>
      <w:r w:rsidRPr="00282E5A">
        <w:rPr>
          <w:rFonts w:cs="Arial"/>
          <w:szCs w:val="22"/>
        </w:rPr>
        <w:t xml:space="preserve">109 del 2014), si ribadisce la necessità che venga adottata una </w:t>
      </w:r>
      <w:r w:rsidRPr="00282E5A">
        <w:rPr>
          <w:rFonts w:cs="Arial"/>
          <w:b/>
          <w:szCs w:val="22"/>
        </w:rPr>
        <w:t>disciplina unitaria</w:t>
      </w:r>
      <w:r w:rsidRPr="00282E5A">
        <w:rPr>
          <w:rFonts w:cs="Arial"/>
          <w:szCs w:val="22"/>
        </w:rPr>
        <w:t xml:space="preserve"> che regolamenti stabilmente i profili giuridico-economici delle missioni, al fine così di evitare che si perpetuino le </w:t>
      </w:r>
      <w:r w:rsidRPr="00282E5A">
        <w:rPr>
          <w:rFonts w:cs="Arial"/>
          <w:b/>
          <w:szCs w:val="22"/>
        </w:rPr>
        <w:t>catene di rinvii normativi</w:t>
      </w:r>
      <w:r w:rsidRPr="00282E5A">
        <w:rPr>
          <w:rFonts w:cs="Arial"/>
          <w:szCs w:val="22"/>
        </w:rPr>
        <w:t xml:space="preserve"> alla disciplina contenuta in molteplici fonti normative ed aggiornando contestualmente i rinvii a disposizioni che, in quanto confluite nel Codice dell'ordinamento militare, di cui al decreto legislativo 15 marzo 2010, n.</w:t>
      </w:r>
      <w:r>
        <w:rPr>
          <w:rFonts w:cs="Arial"/>
          <w:szCs w:val="22"/>
        </w:rPr>
        <w:t xml:space="preserve"> </w:t>
      </w:r>
      <w:r w:rsidRPr="00282E5A">
        <w:rPr>
          <w:rFonts w:cs="Arial"/>
          <w:szCs w:val="22"/>
        </w:rPr>
        <w:t>66, sono state abrogate nella fonte originaria, in termini di rinvii alle disposizioni e agli istituti disciplinati dal codice in questione.</w:t>
      </w:r>
      <w:r>
        <w:rPr>
          <w:rFonts w:cs="Arial"/>
          <w:szCs w:val="22"/>
        </w:rPr>
        <w:t xml:space="preserve"> </w:t>
      </w:r>
      <w:hyperlink w:anchor="premessa04"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ind w:left="567" w:hanging="283"/>
        <w:rPr>
          <w:rFonts w:cs="Arial"/>
          <w:szCs w:val="22"/>
        </w:rPr>
        <w:sectPr w:rsidR="000B33A8" w:rsidSect="000B33A8">
          <w:headerReference w:type="default" r:id="rId297"/>
          <w:footerReference w:type="even" r:id="rId298"/>
          <w:footerReference w:type="default" r:id="rId299"/>
          <w:pgSz w:w="11906" w:h="16838" w:code="9"/>
          <w:pgMar w:top="1985" w:right="1985" w:bottom="1985" w:left="1985" w:header="1134" w:footer="1134" w:gutter="0"/>
          <w:cols w:space="720"/>
          <w:formProt w:val="0"/>
        </w:sectPr>
      </w:pPr>
    </w:p>
    <w:p w:rsidR="000B33A8" w:rsidRPr="00B91F58" w:rsidRDefault="000B33A8" w:rsidP="000B33A8">
      <w:pPr>
        <w:ind w:left="567" w:hanging="283"/>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0005</w:t>
            </w:r>
          </w:p>
        </w:tc>
        <w:tc>
          <w:tcPr>
            <w:tcW w:w="750" w:type="pct"/>
            <w:shd w:val="clear" w:color="auto" w:fill="auto"/>
          </w:tcPr>
          <w:p w:rsidR="000B33A8" w:rsidRPr="00B26E1F" w:rsidRDefault="000B33A8" w:rsidP="000B33A8">
            <w:pPr>
              <w:pStyle w:val="Collegamento"/>
              <w:rPr>
                <w:rFonts w:cs="Arial"/>
              </w:rPr>
            </w:pPr>
            <w:r w:rsidRPr="00B26E1F">
              <w:rPr>
                <w:rFonts w:cs="Arial"/>
              </w:rPr>
              <w:t>2915</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00" w:history="1">
              <w:r w:rsidR="000B33A8" w:rsidRPr="00B26E1F">
                <w:rPr>
                  <w:rStyle w:val="Collegamentoipertestuale"/>
                  <w:rFonts w:cs="Arial"/>
                </w:rPr>
                <w:t>DL 4/2015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Esenzione IMU e proroga termini delega fiscale</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01" w:anchor="data.20150304.com48.bollettino.sede00010.tit00010" w:history="1">
              <w:r w:rsidR="000B33A8">
                <w:rPr>
                  <w:rStyle w:val="Collegamentoipertestuale"/>
                </w:rPr>
                <w:t>04/03/2015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259" w:name="premessa05"/>
            <w:r w:rsidRPr="00B26E1F">
              <w:rPr>
                <w:rFonts w:cs="Arial"/>
                <w:b/>
                <w:color w:val="0000FF"/>
                <w:sz w:val="24"/>
                <w:szCs w:val="24"/>
              </w:rPr>
              <w:t>Premessa</w:t>
            </w:r>
            <w:bookmarkEnd w:id="259"/>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3 Condizioni, 4 Osservazioni, 1 Raccomandazione</w:t>
            </w:r>
          </w:p>
        </w:tc>
      </w:tr>
      <w:tr w:rsidR="000B33A8" w:rsidRPr="008B2DCE" w:rsidTr="00B26E1F">
        <w:trPr>
          <w:trHeight w:val="112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5a01" w:history="1">
              <w:r w:rsidR="000B33A8" w:rsidRPr="00D40FBA">
                <w:rPr>
                  <w:rStyle w:val="Collegamentoipertestuale"/>
                </w:rPr>
                <w:t>1</w:t>
              </w:r>
            </w:hyperlink>
            <w:r w:rsidR="000B33A8" w:rsidRPr="00B26E1F">
              <w:rPr>
                <w:rFonts w:cs="Arial"/>
              </w:rPr>
              <w:t xml:space="preserve"> – Richiamo di precedenti pareri del Comitato per la legislazione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Richiamo ai pareri resi dal Comitato nelle sedute dell’11 e del 18 giugno 2014 in merito a deroghe all’articolo 3, c. 1, dello Statuto del Contribuente ed alla stratificazione normativa.</w:t>
            </w:r>
          </w:p>
          <w:p w:rsidR="000B33A8" w:rsidRPr="00B26E1F" w:rsidRDefault="000B33A8" w:rsidP="00B26E1F">
            <w:pPr>
              <w:spacing w:before="100" w:beforeAutospacing="1" w:after="100" w:afterAutospacing="1"/>
              <w:ind w:firstLine="0"/>
              <w:rPr>
                <w:rFonts w:cs="Arial"/>
              </w:rPr>
            </w:pPr>
            <w:r w:rsidRPr="00B26E1F">
              <w:rPr>
                <w:rFonts w:cs="Arial"/>
              </w:rPr>
              <w:t>Raccomandazione 1</w:t>
            </w:r>
          </w:p>
        </w:tc>
      </w:tr>
      <w:tr w:rsidR="000B33A8" w:rsidRPr="008B2DCE" w:rsidTr="00B26E1F">
        <w:trPr>
          <w:trHeight w:val="141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5a02" w:history="1">
              <w:r w:rsidR="000B33A8" w:rsidRPr="00812559">
                <w:rPr>
                  <w:rStyle w:val="Collegamentoipertestuale"/>
                </w:rPr>
                <w:t>2</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Alcune modificazioni introdotte al Senato non trovano riscontro nel titolo del decreto-legge.</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5a03" w:history="1">
              <w:r w:rsidR="000B33A8" w:rsidRPr="00812559">
                <w:rPr>
                  <w:rStyle w:val="Collegamentoipertestuale"/>
                </w:rPr>
                <w:t>3</w:t>
              </w:r>
            </w:hyperlink>
            <w:r w:rsidR="000B33A8" w:rsidRPr="00B26E1F">
              <w:rPr>
                <w:rFonts w:cs="Arial"/>
              </w:rPr>
              <w:t xml:space="preserve"> – Limiti di contenuto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Introduzione al Senato di una norma di carattere sostanziale nel disegno di legge di conversione, per la proroga dei termini di esercizio di una delega legislativa. Richiamo all’articolo 15, c. 2, </w:t>
            </w:r>
            <w:r w:rsidRPr="00B26E1F">
              <w:rPr>
                <w:rFonts w:cs="Arial"/>
                <w:i/>
              </w:rPr>
              <w:t>a)</w:t>
            </w:r>
            <w:r w:rsidRPr="00B26E1F">
              <w:rPr>
                <w:rFonts w:cs="Arial"/>
              </w:rPr>
              <w:t>, della legge n. 400/1988; richiamo all’articolo 76 della Costituzione.</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5a04" w:history="1">
              <w:r w:rsidR="000B33A8" w:rsidRPr="00812559">
                <w:rPr>
                  <w:rStyle w:val="Collegamentoipertestuale"/>
                </w:rPr>
                <w:t>4</w:t>
              </w:r>
            </w:hyperlink>
            <w:r w:rsidR="000B33A8" w:rsidRPr="00B26E1F">
              <w:rPr>
                <w:rFonts w:cs="Arial"/>
              </w:rPr>
              <w:t xml:space="preserve"> – Procedure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Scorrimento del termine per l’esercizio della delega.</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bl>
    <w:p w:rsidR="00C91B98" w:rsidRDefault="00C91B98"/>
    <w:tbl>
      <w:tblPr>
        <w:tblW w:w="5000" w:type="pct"/>
        <w:jc w:val="center"/>
        <w:tblLook w:val="01E0" w:firstRow="1" w:lastRow="1" w:firstColumn="1" w:lastColumn="1" w:noHBand="0" w:noVBand="0"/>
      </w:tblPr>
      <w:tblGrid>
        <w:gridCol w:w="4076"/>
        <w:gridCol w:w="4076"/>
      </w:tblGrid>
      <w:tr w:rsidR="000B33A8" w:rsidRPr="008B2DCE" w:rsidTr="00B26E1F">
        <w:trPr>
          <w:trHeight w:val="170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05a05" w:history="1">
              <w:r w:rsidR="000B33A8" w:rsidRPr="00812559">
                <w:rPr>
                  <w:rStyle w:val="Collegamentoipertestuale"/>
                </w:rPr>
                <w:t>5</w:t>
              </w:r>
            </w:hyperlink>
            <w:r w:rsidR="000B33A8" w:rsidRPr="00B26E1F">
              <w:rPr>
                <w:rFonts w:cs="Arial"/>
              </w:rPr>
              <w:t xml:space="preserve"> – Efficacia temporale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Nel testo originario una disposizione prorogava un termine ad una data nella quale era ancora in corso l’</w:t>
            </w:r>
            <w:r w:rsidRPr="00B26E1F">
              <w:rPr>
                <w:rFonts w:cs="Arial"/>
                <w:i/>
              </w:rPr>
              <w:t>iter</w:t>
            </w:r>
            <w:r w:rsidRPr="00B26E1F">
              <w:rPr>
                <w:rFonts w:cs="Arial"/>
              </w:rPr>
              <w:t xml:space="preserve"> di conversione del decreto-legge.</w:t>
            </w:r>
          </w:p>
        </w:tc>
      </w:tr>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5a06" w:history="1">
              <w:r w:rsidR="000B33A8" w:rsidRPr="00B26E1F">
                <w:rPr>
                  <w:rStyle w:val="Collegamentoipertestuale"/>
                  <w:rFonts w:cs="Arial"/>
                </w:rPr>
                <w:t>6</w:t>
              </w:r>
            </w:hyperlink>
            <w:r w:rsidR="000B33A8" w:rsidRPr="00B26E1F">
              <w:rPr>
                <w:rStyle w:val="Collegamentoipertestuale"/>
                <w:rFonts w:cs="Arial"/>
              </w:rPr>
              <w:t xml:space="preserve"> </w:t>
            </w:r>
            <w:r w:rsidR="000B33A8">
              <w:t xml:space="preserve">– </w:t>
            </w:r>
            <w:r w:rsidR="000B33A8" w:rsidRPr="00B26E1F">
              <w:rPr>
                <w:rFonts w:cs="Arial"/>
              </w:rPr>
              <w:t>Interpretazione autentica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Interpretazione autentica di una norma di recentissima approvazione.</w:t>
            </w:r>
          </w:p>
        </w:tc>
      </w:tr>
      <w:tr w:rsidR="000B33A8" w:rsidRPr="008B2DCE" w:rsidTr="00B26E1F">
        <w:trPr>
          <w:trHeight w:val="126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5a07" w:history="1">
              <w:r w:rsidR="000B33A8" w:rsidRPr="00B26E1F">
                <w:rPr>
                  <w:rStyle w:val="Collegamentoipertestuale"/>
                  <w:rFonts w:cs="Arial"/>
                </w:rPr>
                <w:t>7</w:t>
              </w:r>
            </w:hyperlink>
            <w:r w:rsidR="000B33A8" w:rsidRPr="00B26E1F">
              <w:rPr>
                <w:rFonts w:cs="Arial"/>
              </w:rPr>
              <w:t xml:space="preserve"> – Statuto del contribuente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Deroghe agli articoli 1 e 2 dello Statuto del contribuente.</w:t>
            </w:r>
          </w:p>
          <w:p w:rsidR="000B33A8" w:rsidRPr="00B26E1F" w:rsidRDefault="000B33A8" w:rsidP="00B26E1F">
            <w:pPr>
              <w:spacing w:before="100" w:beforeAutospacing="1" w:after="100" w:afterAutospacing="1"/>
              <w:ind w:firstLine="0"/>
              <w:rPr>
                <w:rFonts w:cs="Arial"/>
              </w:rPr>
            </w:pPr>
            <w:r w:rsidRPr="00B26E1F">
              <w:rPr>
                <w:rFonts w:cs="Arial"/>
              </w:rPr>
              <w:t>Osservazione 2</w:t>
            </w:r>
          </w:p>
          <w:p w:rsidR="000B33A8" w:rsidRPr="00B26E1F" w:rsidRDefault="000B33A8" w:rsidP="00B26E1F">
            <w:pPr>
              <w:spacing w:before="100" w:beforeAutospacing="1" w:after="100" w:afterAutospacing="1"/>
              <w:ind w:firstLine="0"/>
              <w:rPr>
                <w:rFonts w:cs="Arial"/>
              </w:rPr>
            </w:pPr>
            <w:r w:rsidRPr="00B26E1F">
              <w:rPr>
                <w:rFonts w:cs="Arial"/>
              </w:rPr>
              <w:t>Osservazione 3</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5a08" w:history="1">
              <w:r w:rsidR="000B33A8" w:rsidRPr="00B26E1F">
                <w:rPr>
                  <w:rStyle w:val="Collegamentoipertestuale"/>
                  <w:rFonts w:cs="Arial"/>
                </w:rPr>
                <w:t>8</w:t>
              </w:r>
            </w:hyperlink>
            <w:r w:rsidR="000B33A8" w:rsidRPr="00B26E1F">
              <w:rPr>
                <w:rFonts w:cs="Arial"/>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Espressioni imprecise. Richiamo alla circolare sulla formulazione dei testi normativi.</w:t>
            </w:r>
          </w:p>
          <w:p w:rsidR="000B33A8" w:rsidRPr="00B26E1F" w:rsidRDefault="000B33A8" w:rsidP="00B26E1F">
            <w:pPr>
              <w:spacing w:before="100" w:beforeAutospacing="1" w:after="100" w:afterAutospacing="1"/>
              <w:ind w:firstLine="0"/>
              <w:rPr>
                <w:rFonts w:cs="Arial"/>
              </w:rPr>
            </w:pPr>
            <w:r>
              <w:t>Condizione 2</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5a09" w:history="1">
              <w:r w:rsidR="000B33A8" w:rsidRPr="00B26E1F">
                <w:rPr>
                  <w:rStyle w:val="Collegamentoipertestuale"/>
                  <w:rFonts w:cs="Arial"/>
                </w:rPr>
                <w:t>9</w:t>
              </w:r>
            </w:hyperlink>
            <w:r w:rsidR="000B33A8" w:rsidRPr="00B26E1F">
              <w:rPr>
                <w:rFonts w:cs="Arial"/>
              </w:rPr>
              <w:t xml:space="preserve"> – Riferimenti normativi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Richiamo di una disposizione contestualmente abrogata.</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5a10" w:history="1">
              <w:r w:rsidR="000B33A8" w:rsidRPr="00B26E1F">
                <w:rPr>
                  <w:rStyle w:val="Collegamentoipertestuale"/>
                  <w:rFonts w:cs="Arial"/>
                </w:rPr>
                <w:t>10</w:t>
              </w:r>
            </w:hyperlink>
            <w:r w:rsidR="000B33A8" w:rsidRPr="00B26E1F">
              <w:rPr>
                <w:rFonts w:cs="Arial"/>
              </w:rPr>
              <w:t xml:space="preserve"> – Adempimenti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Mancata indicazione dei termini per l’emanazione di decreti ministeriali.</w:t>
            </w:r>
          </w:p>
          <w:p w:rsidR="000B33A8" w:rsidRPr="00B26E1F" w:rsidRDefault="000B33A8" w:rsidP="00B26E1F">
            <w:pPr>
              <w:spacing w:before="100" w:beforeAutospacing="1" w:after="100" w:afterAutospacing="1"/>
              <w:ind w:firstLine="0"/>
              <w:rPr>
                <w:rFonts w:cs="Arial"/>
              </w:rPr>
            </w:pPr>
            <w:r w:rsidRPr="00B26E1F">
              <w:rPr>
                <w:rFonts w:cs="Arial"/>
              </w:rPr>
              <w:t>Condizione 3</w:t>
            </w:r>
          </w:p>
        </w:tc>
      </w:tr>
      <w:tr w:rsidR="000B33A8" w:rsidRPr="008B2DCE" w:rsidTr="00B26E1F">
        <w:trPr>
          <w:trHeight w:val="143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5a11" w:history="1">
              <w:r w:rsidR="000B33A8" w:rsidRPr="00B26E1F">
                <w:rPr>
                  <w:rStyle w:val="Collegamentoipertestuale"/>
                  <w:rFonts w:cs="Arial"/>
                </w:rPr>
                <w:t>11</w:t>
              </w:r>
            </w:hyperlink>
            <w:r w:rsidR="000B33A8" w:rsidRPr="00B26E1F">
              <w:rPr>
                <w:rFonts w:cs="Arial"/>
              </w:rPr>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Ripetizione della clausola di autorizzazione alle occorrenti variazioni di bilancio.</w:t>
            </w:r>
          </w:p>
          <w:p w:rsidR="000B33A8" w:rsidRPr="00B26E1F" w:rsidRDefault="000B33A8" w:rsidP="00B26E1F">
            <w:pPr>
              <w:spacing w:before="100" w:beforeAutospacing="1" w:after="100" w:afterAutospacing="1"/>
              <w:ind w:firstLine="0"/>
              <w:rPr>
                <w:rFonts w:cs="Arial"/>
              </w:rPr>
            </w:pPr>
            <w:r w:rsidRPr="00B26E1F">
              <w:rPr>
                <w:rFonts w:cs="Arial"/>
              </w:rPr>
              <w:t>Osservazione 4</w:t>
            </w:r>
          </w:p>
        </w:tc>
      </w:tr>
      <w:tr w:rsidR="000B33A8" w:rsidRPr="008B2DCE" w:rsidTr="00B26E1F">
        <w:trPr>
          <w:trHeight w:val="53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5a12" w:history="1">
              <w:r w:rsidR="000B33A8" w:rsidRPr="00B26E1F">
                <w:rPr>
                  <w:rStyle w:val="Collegamentoipertestuale"/>
                  <w:rFonts w:cs="Arial"/>
                </w:rPr>
                <w:t>12</w:t>
              </w:r>
            </w:hyperlink>
            <w:r w:rsidR="000B33A8" w:rsidRPr="00B26E1F">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Presenti.</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lastRenderedPageBreak/>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5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5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Default="00EB0878" w:rsidP="00B26E1F">
            <w:pPr>
              <w:keepNext/>
              <w:spacing w:before="100" w:beforeAutospacing="1" w:after="100" w:afterAutospacing="1"/>
              <w:ind w:firstLine="0"/>
              <w:jc w:val="left"/>
            </w:pPr>
            <w:hyperlink w:anchor="S05R" w:history="1">
              <w:r w:rsidR="000B33A8" w:rsidRPr="00075C10">
                <w:rPr>
                  <w:rStyle w:val="Collegamentoipertestuale"/>
                </w:rPr>
                <w:t>R</w:t>
              </w:r>
            </w:hyperlink>
            <w:r w:rsidR="000B33A8">
              <w:t xml:space="preserve"> - Raccomandazione</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bl>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rPr>
                <w:rFonts w:cs="Arial"/>
                <w:i/>
                <w:sz w:val="24"/>
              </w:rPr>
            </w:pPr>
            <w:r w:rsidRPr="00B26E1F">
              <w:rPr>
                <w:rFonts w:cs="Arial"/>
                <w:i/>
              </w:rPr>
              <w:t xml:space="preserve">Articolo 76 della Costituzione; articolo 15, c. 2, lettera </w:t>
            </w:r>
            <w:r w:rsidRPr="00B26E1F">
              <w:rPr>
                <w:rFonts w:cs="Arial"/>
              </w:rPr>
              <w:t>a)</w:t>
            </w:r>
            <w:r w:rsidRPr="00B26E1F">
              <w:rPr>
                <w:rFonts w:cs="Arial"/>
                <w:i/>
              </w:rPr>
              <w:t>, della legge n. 400/1988; articoli 1, commi 1 e 2, 2, c. 4 e 3, c. 1, della legge . 212/2000 (Statuto del contribuente); pareri del Comitato sugli AC 2433 e 2442 (turno Taglialatela, Schede 12 e 14).</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Default="000B33A8" w:rsidP="000B33A8">
      <w:pPr>
        <w:rPr>
          <w:rFonts w:cs="Arial"/>
          <w:szCs w:val="22"/>
        </w:rPr>
      </w:pPr>
      <w:bookmarkStart w:id="260" w:name="S05a01"/>
      <w:r w:rsidRPr="00B91F58">
        <w:rPr>
          <w:rFonts w:cs="Arial"/>
          <w:szCs w:val="22"/>
        </w:rPr>
        <w:t xml:space="preserve">1 </w:t>
      </w:r>
      <w:bookmarkEnd w:id="260"/>
      <w:r w:rsidRPr="00B91F58">
        <w:rPr>
          <w:rFonts w:cs="Arial"/>
          <w:szCs w:val="22"/>
        </w:rPr>
        <w:t xml:space="preserve">–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Pr>
          <w:rStyle w:val="Collegamentoipertestuale"/>
          <w:rFonts w:cs="Arial"/>
          <w:szCs w:val="22"/>
        </w:rPr>
        <w:t xml:space="preserve"> </w:t>
      </w:r>
      <w:r w:rsidRPr="00B91F58">
        <w:rPr>
          <w:rFonts w:cs="Arial"/>
          <w:szCs w:val="22"/>
        </w:rPr>
        <w:t>«</w:t>
      </w:r>
      <w:r w:rsidRPr="007C7DC4">
        <w:rPr>
          <w:rFonts w:cs="Arial"/>
          <w:szCs w:val="22"/>
        </w:rPr>
        <w:t>secondo la relazione illustrativa, il decreto in esame è finalizzato a superare le criticità derivanti dalla pubblicazione del decreto interministeriale in data 28 novembre 2014, emanato in attuazione dell'articolo 22, comma 2, del decreto-legge n.</w:t>
      </w:r>
      <w:r>
        <w:rPr>
          <w:rFonts w:cs="Arial"/>
          <w:szCs w:val="22"/>
        </w:rPr>
        <w:t xml:space="preserve"> </w:t>
      </w:r>
      <w:r w:rsidRPr="007C7DC4">
        <w:rPr>
          <w:rFonts w:cs="Arial"/>
          <w:szCs w:val="22"/>
        </w:rPr>
        <w:t xml:space="preserve">66 del 2014; al riguardo si rammenta che: </w:t>
      </w:r>
    </w:p>
    <w:p w:rsidR="000B33A8" w:rsidRDefault="000B33A8" w:rsidP="000B33A8">
      <w:pPr>
        <w:ind w:left="284"/>
        <w:rPr>
          <w:rFonts w:cs="Arial"/>
          <w:szCs w:val="22"/>
        </w:rPr>
      </w:pPr>
      <w:r w:rsidRPr="007C7DC4">
        <w:rPr>
          <w:rFonts w:cs="Arial"/>
          <w:i/>
          <w:iCs/>
          <w:szCs w:val="22"/>
        </w:rPr>
        <w:t>a)</w:t>
      </w:r>
      <w:r w:rsidRPr="007C7DC4">
        <w:rPr>
          <w:rFonts w:cs="Arial"/>
          <w:szCs w:val="22"/>
        </w:rPr>
        <w:t xml:space="preserve"> nella </w:t>
      </w:r>
      <w:r w:rsidRPr="007C7DC4">
        <w:rPr>
          <w:rFonts w:cs="Arial"/>
          <w:b/>
          <w:szCs w:val="22"/>
        </w:rPr>
        <w:t>seduta dell'11 giugno 2014 il Comitato</w:t>
      </w:r>
      <w:r w:rsidRPr="007C7DC4">
        <w:rPr>
          <w:rFonts w:cs="Arial"/>
          <w:szCs w:val="22"/>
        </w:rPr>
        <w:t>, esaminando il citato decreto-legge n.</w:t>
      </w:r>
      <w:r>
        <w:rPr>
          <w:rFonts w:cs="Arial"/>
          <w:szCs w:val="22"/>
        </w:rPr>
        <w:t xml:space="preserve"> </w:t>
      </w:r>
      <w:r w:rsidRPr="007C7DC4">
        <w:rPr>
          <w:rFonts w:cs="Arial"/>
          <w:szCs w:val="22"/>
        </w:rPr>
        <w:t xml:space="preserve">66, aveva rilevato proprio che l'articolo 22, comma 2, era suscettibile di applicazione con </w:t>
      </w:r>
      <w:r w:rsidRPr="007C7DC4">
        <w:rPr>
          <w:rFonts w:cs="Arial"/>
          <w:b/>
          <w:szCs w:val="22"/>
        </w:rPr>
        <w:t>effetti retroattivi</w:t>
      </w:r>
      <w:r w:rsidRPr="007C7DC4">
        <w:rPr>
          <w:rFonts w:cs="Arial"/>
          <w:szCs w:val="22"/>
        </w:rPr>
        <w:t xml:space="preserve">, in difformità con l'articolo 3, comma 1, dello </w:t>
      </w:r>
      <w:r w:rsidRPr="007C7DC4">
        <w:rPr>
          <w:rFonts w:cs="Arial"/>
          <w:b/>
          <w:szCs w:val="22"/>
        </w:rPr>
        <w:t>Statuto del contribuente</w:t>
      </w:r>
      <w:r w:rsidRPr="007C7DC4">
        <w:rPr>
          <w:rFonts w:cs="Arial"/>
          <w:szCs w:val="22"/>
        </w:rPr>
        <w:t xml:space="preserve">; </w:t>
      </w:r>
    </w:p>
    <w:p w:rsidR="000B33A8" w:rsidRPr="00B91F58" w:rsidRDefault="000B33A8" w:rsidP="000B33A8">
      <w:pPr>
        <w:ind w:left="284"/>
        <w:rPr>
          <w:rFonts w:cs="Arial"/>
          <w:szCs w:val="22"/>
        </w:rPr>
      </w:pPr>
      <w:r w:rsidRPr="007C7DC4">
        <w:rPr>
          <w:rFonts w:cs="Arial"/>
          <w:i/>
          <w:iCs/>
          <w:szCs w:val="22"/>
        </w:rPr>
        <w:t>b)</w:t>
      </w:r>
      <w:r w:rsidRPr="007C7DC4">
        <w:rPr>
          <w:rFonts w:cs="Arial"/>
          <w:szCs w:val="22"/>
        </w:rPr>
        <w:t xml:space="preserve"> nella successiva </w:t>
      </w:r>
      <w:r w:rsidRPr="007C7DC4">
        <w:rPr>
          <w:rFonts w:cs="Arial"/>
          <w:b/>
          <w:szCs w:val="22"/>
        </w:rPr>
        <w:t>seduta del 18 giugno 2014</w:t>
      </w:r>
      <w:r w:rsidRPr="007C7DC4">
        <w:rPr>
          <w:rFonts w:cs="Arial"/>
          <w:szCs w:val="22"/>
        </w:rPr>
        <w:t xml:space="preserve"> il Comitato – rilevata la </w:t>
      </w:r>
      <w:r w:rsidRPr="007C7DC4">
        <w:rPr>
          <w:rFonts w:cs="Arial"/>
          <w:b/>
          <w:szCs w:val="22"/>
        </w:rPr>
        <w:t>stratificazione</w:t>
      </w:r>
      <w:r w:rsidRPr="007C7DC4">
        <w:rPr>
          <w:rFonts w:cs="Arial"/>
          <w:szCs w:val="22"/>
        </w:rPr>
        <w:t xml:space="preserve"> derivante da una sequenza di interventi normativi susseguitisi anche a scadenze molto ravvicinate – aveva raccomandato di coordinare e </w:t>
      </w:r>
      <w:r w:rsidRPr="007C7DC4">
        <w:rPr>
          <w:rFonts w:cs="Arial"/>
          <w:b/>
          <w:szCs w:val="22"/>
        </w:rPr>
        <w:t>consolidare in un testo unico</w:t>
      </w:r>
      <w:r w:rsidRPr="007C7DC4">
        <w:rPr>
          <w:rFonts w:cs="Arial"/>
          <w:szCs w:val="22"/>
        </w:rPr>
        <w:t xml:space="preserve"> o comunque in un idoneo contesto normativo la complessiva disciplina della tassazione immobiliare, curandone in particolare una più stretta rispondenza ai princìpi di cui allo Statuto del contribuente, avendo particolare riguardo ai requisiti di stabilità, certezza e semplificazione della normativa vigente</w:t>
      </w:r>
      <w:r w:rsidRPr="00B91F58">
        <w:rPr>
          <w:rFonts w:cs="Arial"/>
          <w:szCs w:val="22"/>
        </w:rPr>
        <w:t>»;</w:t>
      </w:r>
      <w:r>
        <w:rPr>
          <w:rFonts w:cs="Arial"/>
          <w:szCs w:val="22"/>
        </w:rPr>
        <w:t xml:space="preserve"> </w:t>
      </w:r>
      <w:r w:rsidRPr="00B91F58">
        <w:rPr>
          <w:rFonts w:cs="Arial"/>
          <w:szCs w:val="22"/>
        </w:rPr>
        <w:t>(</w:t>
      </w:r>
      <w:hyperlink w:anchor="S05r01" w:history="1">
        <w:r>
          <w:rPr>
            <w:rStyle w:val="Collegamentoipertestuale"/>
            <w:rFonts w:cs="Arial"/>
            <w:b/>
            <w:szCs w:val="22"/>
          </w:rPr>
          <w:t>conseguente raccomandazione</w:t>
        </w:r>
      </w:hyperlink>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261" w:name="S05a02"/>
      <w:r w:rsidRPr="00B91F58">
        <w:rPr>
          <w:rFonts w:cs="Arial"/>
          <w:szCs w:val="22"/>
        </w:rPr>
        <w:t xml:space="preserve">2 </w:t>
      </w:r>
      <w:bookmarkEnd w:id="261"/>
      <w:r w:rsidRPr="00B91F58">
        <w:rPr>
          <w:rFonts w:cs="Arial"/>
          <w:szCs w:val="22"/>
        </w:rPr>
        <w:t xml:space="preserve">–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41340">
        <w:t xml:space="preserve">il decreto reca un </w:t>
      </w:r>
      <w:r w:rsidRPr="00341340">
        <w:rPr>
          <w:b/>
        </w:rPr>
        <w:t>contenuto omogeneo</w:t>
      </w:r>
      <w:r w:rsidRPr="00341340">
        <w:t xml:space="preserve">, volto a disciplinare le esenzioni della “IMU agricola” e a prevedere le necessarie norme finanziarie propedeutiche, intervenendo altresì – per effetto delle modificazioni introdotte al Senato – sulle corrispondenti imposte delle </w:t>
      </w:r>
      <w:r w:rsidRPr="00341340">
        <w:rPr>
          <w:b/>
        </w:rPr>
        <w:t>province autonome di Trento e di Bolzano</w:t>
      </w:r>
      <w:r w:rsidRPr="00341340">
        <w:t xml:space="preserve">, sull'IMU delle isole minori, sulla sospensione dei versamenti e degli </w:t>
      </w:r>
      <w:r w:rsidRPr="00341340">
        <w:lastRenderedPageBreak/>
        <w:t xml:space="preserve">adempimenti tributari per l'Isola di Lampedusa, materia che – pur non trovando riscontro nel titolo del decreto – appare comunque riconducibile alla </w:t>
      </w:r>
      <w:r w:rsidRPr="00341340">
        <w:rPr>
          <w:i/>
          <w:iCs/>
        </w:rPr>
        <w:t>ratio</w:t>
      </w:r>
      <w:r w:rsidRPr="00341340">
        <w:t xml:space="preserve"> e all'oggetto del provvedimento stesso</w:t>
      </w:r>
      <w:r w:rsidRPr="00B91F58">
        <w:rPr>
          <w:rFonts w:cs="Arial"/>
          <w:szCs w:val="22"/>
        </w:rPr>
        <w:t>»</w:t>
      </w:r>
      <w:r>
        <w:rPr>
          <w:rFonts w:cs="Arial"/>
          <w:szCs w:val="22"/>
        </w:rPr>
        <w:t xml:space="preserve"> </w:t>
      </w:r>
      <w:r w:rsidRPr="00B91F58">
        <w:rPr>
          <w:rFonts w:cs="Arial"/>
          <w:szCs w:val="22"/>
        </w:rPr>
        <w:t>(</w:t>
      </w:r>
      <w:hyperlink w:anchor="S05o01" w:history="1">
        <w:r>
          <w:rPr>
            <w:rStyle w:val="Collegamentoipertestuale"/>
            <w:rFonts w:cs="Arial"/>
            <w:b/>
            <w:szCs w:val="22"/>
          </w:rPr>
          <w:t>conseguente osservazione</w:t>
        </w:r>
      </w:hyperlink>
      <w:r w:rsidRPr="00B91F58">
        <w:rPr>
          <w:rFonts w:cs="Arial"/>
          <w:szCs w:val="22"/>
        </w:rPr>
        <w:t>);</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262" w:name="S05a03"/>
      <w:r w:rsidRPr="00B91F58">
        <w:rPr>
          <w:rFonts w:cs="Arial"/>
          <w:szCs w:val="22"/>
        </w:rPr>
        <w:t>3</w:t>
      </w:r>
      <w:bookmarkEnd w:id="262"/>
      <w:r w:rsidRPr="00B91F58">
        <w:rPr>
          <w:rFonts w:cs="Arial"/>
          <w:szCs w:val="22"/>
        </w:rPr>
        <w:t xml:space="preserve"> –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461CC">
        <w:rPr>
          <w:rFonts w:cs="Arial"/>
          <w:szCs w:val="22"/>
        </w:rPr>
        <w:t xml:space="preserve">l'inserimento nel disegno di legge di conversione, durante l'esame al Senato, di una nuova </w:t>
      </w:r>
      <w:r w:rsidRPr="007461CC">
        <w:rPr>
          <w:rFonts w:cs="Arial"/>
          <w:b/>
          <w:szCs w:val="22"/>
        </w:rPr>
        <w:t>norma di carattere sostanziale</w:t>
      </w:r>
      <w:r w:rsidRPr="007461CC">
        <w:rPr>
          <w:rFonts w:cs="Arial"/>
          <w:szCs w:val="22"/>
        </w:rPr>
        <w:t xml:space="preserve">, volta a </w:t>
      </w:r>
      <w:r w:rsidRPr="007461CC">
        <w:rPr>
          <w:rFonts w:cs="Arial"/>
          <w:b/>
          <w:szCs w:val="22"/>
        </w:rPr>
        <w:t>prorogare i termini di esercizio di una delega legislativa</w:t>
      </w:r>
      <w:r w:rsidRPr="007461CC">
        <w:rPr>
          <w:rFonts w:cs="Arial"/>
          <w:szCs w:val="22"/>
        </w:rPr>
        <w:t>, è una circostanza che, per costante giurisprudenza del Comitato, integra una violazione del limite posto dall'</w:t>
      </w:r>
      <w:r w:rsidRPr="007461CC">
        <w:rPr>
          <w:rFonts w:cs="Arial"/>
          <w:b/>
          <w:szCs w:val="22"/>
        </w:rPr>
        <w:t xml:space="preserve">articolo 15, comma 2, lettera </w:t>
      </w:r>
      <w:r w:rsidRPr="007461CC">
        <w:rPr>
          <w:rFonts w:cs="Arial"/>
          <w:b/>
          <w:i/>
          <w:iCs/>
          <w:szCs w:val="22"/>
        </w:rPr>
        <w:t>a)</w:t>
      </w:r>
      <w:r w:rsidRPr="007461CC">
        <w:rPr>
          <w:rFonts w:cs="Arial"/>
          <w:b/>
          <w:szCs w:val="22"/>
        </w:rPr>
        <w:t>, della legge n. 400 del 1988</w:t>
      </w:r>
      <w:r w:rsidRPr="007461CC">
        <w:rPr>
          <w:rFonts w:cs="Arial"/>
          <w:szCs w:val="22"/>
        </w:rPr>
        <w:t>, secondo cui il Governo non può, mediante decreto-legge, “conferire deleghe legislative ai sensi dell'</w:t>
      </w:r>
      <w:r w:rsidRPr="007461CC">
        <w:rPr>
          <w:rFonts w:cs="Arial"/>
          <w:b/>
          <w:szCs w:val="22"/>
        </w:rPr>
        <w:t>articolo 76 della Costituzione</w:t>
      </w:r>
      <w:r w:rsidRPr="007461CC">
        <w:rPr>
          <w:rFonts w:cs="Arial"/>
          <w:szCs w:val="22"/>
        </w:rPr>
        <w:t>”, interpretandosi il citato limite di contenuto come finalizzato ad impedire che nel testo del decreto stesso o nel disegno di legge di conversione possano confluire disposizioni che incidano, in via diretta o indiretta, sulle modalità di esercizio di deleghe legislative, anche se già conferite</w:t>
      </w:r>
      <w:r w:rsidRPr="00B91F58">
        <w:rPr>
          <w:rFonts w:cs="Arial"/>
          <w:szCs w:val="22"/>
        </w:rPr>
        <w:t>»</w:t>
      </w:r>
      <w:r>
        <w:rPr>
          <w:rFonts w:cs="Arial"/>
          <w:szCs w:val="22"/>
        </w:rPr>
        <w:t xml:space="preserve">; </w:t>
      </w:r>
      <w:r w:rsidRPr="00B91F58">
        <w:rPr>
          <w:rFonts w:cs="Arial"/>
          <w:szCs w:val="22"/>
        </w:rPr>
        <w:t>(</w:t>
      </w:r>
      <w:hyperlink w:anchor="S05c01" w:history="1">
        <w:r>
          <w:rPr>
            <w:rStyle w:val="Collegamentoipertestuale"/>
            <w:rFonts w:cs="Arial"/>
            <w:b/>
            <w:szCs w:val="22"/>
          </w:rPr>
          <w:t>conseguente condizione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263" w:name="S05a04"/>
      <w:r w:rsidRPr="00B91F58">
        <w:rPr>
          <w:rFonts w:cs="Arial"/>
          <w:szCs w:val="22"/>
        </w:rPr>
        <w:t>4 –</w:t>
      </w:r>
      <w:bookmarkEnd w:id="263"/>
      <w:r w:rsidRPr="00B91F58">
        <w:rPr>
          <w:rFonts w:cs="Arial"/>
          <w:szCs w:val="22"/>
        </w:rPr>
        <w:t xml:space="preserve">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461CC">
        <w:rPr>
          <w:rFonts w:cs="Arial"/>
          <w:szCs w:val="22"/>
        </w:rPr>
        <w:t xml:space="preserve">il comma 2, lettera </w:t>
      </w:r>
      <w:r w:rsidRPr="007461CC">
        <w:rPr>
          <w:rFonts w:cs="Arial"/>
          <w:i/>
          <w:iCs/>
          <w:szCs w:val="22"/>
        </w:rPr>
        <w:t>c)</w:t>
      </w:r>
      <w:r w:rsidRPr="007461CC">
        <w:rPr>
          <w:rFonts w:cs="Arial"/>
          <w:szCs w:val="22"/>
        </w:rPr>
        <w:t xml:space="preserve">, del medesimo articolo 1 del ddl di conversione dispone che i termini per l'esercizio delle deleghe principali e correttive previste dalla medesima legge possano essere prolungati di novanta giorni qualora i termini per l'espressione dei pareri parlamentari “scadano nei trenta giorni che precedono la scadenza dei termini di delega previsti dai commi 1 e 8, ovvero successivamente”, impiegando pertanto la cosiddetta </w:t>
      </w:r>
      <w:r w:rsidRPr="007461CC">
        <w:rPr>
          <w:rFonts w:cs="Arial"/>
          <w:b/>
          <w:szCs w:val="22"/>
        </w:rPr>
        <w:t>“tecnica dello scorrimento”</w:t>
      </w:r>
      <w:r w:rsidRPr="007461CC">
        <w:rPr>
          <w:rFonts w:cs="Arial"/>
          <w:szCs w:val="22"/>
        </w:rPr>
        <w:t>, la quale non permette di individuare il termine per l'esercizio della delega in modo univoco</w:t>
      </w:r>
      <w:r w:rsidRPr="00B91F58">
        <w:rPr>
          <w:rFonts w:cs="Arial"/>
          <w:szCs w:val="22"/>
        </w:rPr>
        <w:t>»</w:t>
      </w:r>
      <w:r>
        <w:rPr>
          <w:rFonts w:cs="Arial"/>
          <w:szCs w:val="22"/>
        </w:rPr>
        <w:t xml:space="preserve"> </w:t>
      </w:r>
      <w:r w:rsidRPr="00B91F58">
        <w:rPr>
          <w:rFonts w:cs="Arial"/>
          <w:szCs w:val="22"/>
        </w:rPr>
        <w:t>(</w:t>
      </w:r>
      <w:hyperlink w:anchor="S05c01" w:history="1">
        <w:r>
          <w:rPr>
            <w:rStyle w:val="Collegamentoipertestuale"/>
            <w:rFonts w:cs="Arial"/>
            <w:b/>
            <w:szCs w:val="22"/>
          </w:rPr>
          <w:t>conseguente condizione</w:t>
        </w:r>
      </w:hyperlink>
      <w:r w:rsidRPr="00B91F58">
        <w:rPr>
          <w:rFonts w:cs="Arial"/>
          <w:szCs w:val="22"/>
        </w:rPr>
        <w:t>);</w:t>
      </w:r>
      <w:r>
        <w:rPr>
          <w:rFonts w:cs="Arial"/>
          <w:szCs w:val="22"/>
        </w:rPr>
        <w:t xml:space="preserve"> </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264" w:name="S05a05"/>
      <w:r w:rsidRPr="00B91F58">
        <w:rPr>
          <w:rFonts w:cs="Arial"/>
          <w:szCs w:val="22"/>
        </w:rPr>
        <w:t xml:space="preserve">5 </w:t>
      </w:r>
      <w:bookmarkEnd w:id="264"/>
      <w:r w:rsidRPr="00B91F58">
        <w:rPr>
          <w:rFonts w:cs="Arial"/>
          <w:szCs w:val="22"/>
        </w:rPr>
        <w:t xml:space="preserve">–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B47ED">
        <w:rPr>
          <w:rFonts w:cs="Arial"/>
          <w:szCs w:val="22"/>
        </w:rPr>
        <w:t xml:space="preserve">all'articolo 1, comma 5, prima di un intervento del Senato (che ha escluso sanzioni e interessi per i versamenti tardivi fino al 31 marzo 2015), il testo governativo aveva prorogato il termine di versamento dell'IMU agricola dal 26 gennaio al 10 febbraio 2015, cioè ad una data nella quale </w:t>
      </w:r>
      <w:r w:rsidRPr="006B47ED">
        <w:rPr>
          <w:rFonts w:cs="Arial"/>
          <w:b/>
          <w:szCs w:val="22"/>
        </w:rPr>
        <w:t>sarebbe stato ancora in corso l’</w:t>
      </w:r>
      <w:r w:rsidRPr="006B47ED">
        <w:rPr>
          <w:rFonts w:cs="Arial"/>
          <w:b/>
          <w:i/>
          <w:iCs/>
          <w:szCs w:val="22"/>
        </w:rPr>
        <w:t>iter</w:t>
      </w:r>
      <w:r w:rsidRPr="006B47ED">
        <w:rPr>
          <w:rFonts w:cs="Arial"/>
          <w:b/>
          <w:szCs w:val="22"/>
        </w:rPr>
        <w:t xml:space="preserve"> di conversione del decreto-legge</w:t>
      </w:r>
      <w:r w:rsidRPr="006B47ED">
        <w:rPr>
          <w:rFonts w:cs="Arial"/>
          <w:szCs w:val="22"/>
        </w:rPr>
        <w:t xml:space="preserve"> (emanato il 24 gennaio 2015) e pertanto la disciplina delle sue esenzioni poteva ancora essere oggetto di modifiche parlamentari, come pure di vero e proprio diniego di conversione o di decadenza del decreto-legge: tale circostanza non appare coerente con le esigenze di semplificazione e certezza della legislazione vigente</w:t>
      </w:r>
      <w:r w:rsidRPr="00B91F58">
        <w:rPr>
          <w:rFonts w:cs="Arial"/>
          <w:szCs w:val="22"/>
        </w:rPr>
        <w:t>»</w:t>
      </w:r>
      <w:r>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265" w:name="S05a06"/>
      <w:r w:rsidRPr="00B91F58">
        <w:rPr>
          <w:rFonts w:cs="Arial"/>
          <w:szCs w:val="22"/>
        </w:rPr>
        <w:lastRenderedPageBreak/>
        <w:t xml:space="preserve">6 </w:t>
      </w:r>
      <w:bookmarkEnd w:id="265"/>
      <w:r w:rsidRPr="00B91F58">
        <w:rPr>
          <w:rFonts w:cs="Arial"/>
          <w:szCs w:val="22"/>
        </w:rPr>
        <w:t xml:space="preserve">–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B47ED">
        <w:rPr>
          <w:rFonts w:cs="Arial"/>
          <w:szCs w:val="22"/>
        </w:rPr>
        <w:t>l'articolo 1, comma 9-</w:t>
      </w:r>
      <w:r w:rsidRPr="006B47ED">
        <w:rPr>
          <w:rFonts w:cs="Arial"/>
          <w:i/>
          <w:iCs/>
          <w:szCs w:val="22"/>
        </w:rPr>
        <w:t>quater</w:t>
      </w:r>
      <w:r w:rsidRPr="006B47ED">
        <w:rPr>
          <w:rFonts w:cs="Arial"/>
          <w:szCs w:val="22"/>
        </w:rPr>
        <w:t xml:space="preserve">, introdotto nel corso dell'esame al Senato, reca </w:t>
      </w:r>
      <w:r w:rsidRPr="006B47ED">
        <w:rPr>
          <w:rFonts w:cs="Arial"/>
          <w:b/>
          <w:szCs w:val="22"/>
        </w:rPr>
        <w:t>l'interpretazione autentica</w:t>
      </w:r>
      <w:r w:rsidRPr="006B47ED">
        <w:rPr>
          <w:rFonts w:cs="Arial"/>
          <w:szCs w:val="22"/>
        </w:rPr>
        <w:t xml:space="preserve"> di una disposizione introdotta dalla legge n.</w:t>
      </w:r>
      <w:r>
        <w:rPr>
          <w:rFonts w:cs="Arial"/>
          <w:szCs w:val="22"/>
        </w:rPr>
        <w:t xml:space="preserve"> </w:t>
      </w:r>
      <w:r w:rsidRPr="006B47ED">
        <w:rPr>
          <w:rFonts w:cs="Arial"/>
          <w:szCs w:val="22"/>
        </w:rPr>
        <w:t>190 del 23 dicembre 2014, entrata in vigore il 1</w:t>
      </w:r>
      <w:r w:rsidRPr="006B47ED">
        <w:rPr>
          <w:rFonts w:cs="Arial"/>
          <w:szCs w:val="22"/>
          <w:vertAlign w:val="superscript"/>
        </w:rPr>
        <w:t>o</w:t>
      </w:r>
      <w:r w:rsidRPr="006B47ED">
        <w:rPr>
          <w:rFonts w:cs="Arial"/>
          <w:szCs w:val="22"/>
        </w:rPr>
        <w:t xml:space="preserve"> gennaio 2015</w:t>
      </w:r>
      <w:r w:rsidRPr="00B91F58">
        <w:rPr>
          <w:rFonts w:cs="Arial"/>
          <w:szCs w:val="22"/>
        </w:rPr>
        <w:t>»</w:t>
      </w:r>
      <w:r>
        <w:rPr>
          <w:rFonts w:cs="Arial"/>
          <w:szCs w:val="22"/>
        </w:rPr>
        <w:t>;</w:t>
      </w:r>
      <w:r w:rsidRPr="00B91F58">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266" w:name="S05a07"/>
      <w:r w:rsidRPr="00B91F58">
        <w:rPr>
          <w:rFonts w:cs="Arial"/>
          <w:szCs w:val="22"/>
        </w:rPr>
        <w:t xml:space="preserve">7 </w:t>
      </w:r>
      <w:bookmarkEnd w:id="266"/>
      <w:r w:rsidRPr="00B91F58">
        <w:rPr>
          <w:rFonts w:cs="Arial"/>
          <w:szCs w:val="22"/>
        </w:rPr>
        <w:t xml:space="preserve">–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B47ED">
        <w:rPr>
          <w:rFonts w:cs="Arial"/>
          <w:szCs w:val="22"/>
        </w:rPr>
        <w:t xml:space="preserve">il provvedimento è, in alcuni punti, </w:t>
      </w:r>
      <w:r w:rsidRPr="00AD07AA">
        <w:rPr>
          <w:rFonts w:cs="Arial"/>
          <w:b/>
          <w:szCs w:val="22"/>
        </w:rPr>
        <w:t>derogatorio della legge n. 212 del 2000 (statuto dei diritti del contribuente)</w:t>
      </w:r>
      <w:r w:rsidRPr="006B47ED">
        <w:rPr>
          <w:rFonts w:cs="Arial"/>
          <w:szCs w:val="22"/>
        </w:rPr>
        <w:t xml:space="preserve">, le cui disposizioni “costituiscono princìpi generali dell'ordinamento tributario e possono essere derogate o modificate solo espressamente e mai da leggi speciali” (articolo 1, comma 1). Si tratta, in particolare: </w:t>
      </w:r>
    </w:p>
    <w:p w:rsidR="000B33A8" w:rsidRDefault="000B33A8" w:rsidP="000B33A8">
      <w:pPr>
        <w:rPr>
          <w:rFonts w:cs="Arial"/>
          <w:szCs w:val="22"/>
        </w:rPr>
      </w:pPr>
      <w:r w:rsidRPr="006B47ED">
        <w:rPr>
          <w:rFonts w:cs="Arial"/>
          <w:i/>
          <w:iCs/>
          <w:szCs w:val="22"/>
        </w:rPr>
        <w:t>a)</w:t>
      </w:r>
      <w:r w:rsidRPr="006B47ED">
        <w:rPr>
          <w:rFonts w:cs="Arial"/>
          <w:szCs w:val="22"/>
        </w:rPr>
        <w:t xml:space="preserve"> del comma 9-</w:t>
      </w:r>
      <w:r w:rsidRPr="006B47ED">
        <w:rPr>
          <w:rFonts w:cs="Arial"/>
          <w:i/>
          <w:iCs/>
          <w:szCs w:val="22"/>
        </w:rPr>
        <w:t xml:space="preserve">quater </w:t>
      </w:r>
      <w:r w:rsidRPr="006B47ED">
        <w:rPr>
          <w:rFonts w:cs="Arial"/>
          <w:szCs w:val="22"/>
        </w:rPr>
        <w:t xml:space="preserve">dell'articolo 1 del decreto, il quale introduce un'interpretazione autentica dell'IMI in Provincia di Bolzano in difformità dall'articolo 1, comma 2, dello statuto del contribuente secondo cui l'adozione di </w:t>
      </w:r>
      <w:r w:rsidRPr="00AD07AA">
        <w:rPr>
          <w:rFonts w:cs="Arial"/>
          <w:b/>
          <w:szCs w:val="22"/>
        </w:rPr>
        <w:t>norme interpretative in materia tributaria</w:t>
      </w:r>
      <w:r w:rsidRPr="006B47ED">
        <w:rPr>
          <w:rFonts w:cs="Arial"/>
          <w:szCs w:val="22"/>
        </w:rPr>
        <w:t xml:space="preserve"> può essere disposta, fra l'altro, soltanto “con legge ordinaria” (e non, dunque, con decreto-legge): al riguardo è, inoltre, privo di portata normativa il riferimento allo statuto del contribuente effettuato dal decreto in esame, per di più nel momento stesso in cui vi deroga</w:t>
      </w:r>
      <w:r>
        <w:rPr>
          <w:rFonts w:cs="Arial"/>
          <w:szCs w:val="22"/>
        </w:rPr>
        <w:t xml:space="preserve"> </w:t>
      </w:r>
      <w:r w:rsidRPr="00B91F58">
        <w:rPr>
          <w:rFonts w:cs="Arial"/>
          <w:szCs w:val="22"/>
        </w:rPr>
        <w:t>(</w:t>
      </w:r>
      <w:hyperlink w:anchor="S05o02" w:history="1">
        <w:r>
          <w:rPr>
            <w:rStyle w:val="Collegamentoipertestuale"/>
            <w:rFonts w:cs="Arial"/>
            <w:b/>
            <w:szCs w:val="22"/>
          </w:rPr>
          <w:t>conseguente osservazione</w:t>
        </w:r>
      </w:hyperlink>
      <w:r w:rsidRPr="00B91F58">
        <w:rPr>
          <w:rFonts w:cs="Arial"/>
          <w:szCs w:val="22"/>
        </w:rPr>
        <w:t>)</w:t>
      </w:r>
      <w:r w:rsidRPr="006B47ED">
        <w:rPr>
          <w:rFonts w:cs="Arial"/>
          <w:szCs w:val="22"/>
        </w:rPr>
        <w:t xml:space="preserve">; </w:t>
      </w:r>
    </w:p>
    <w:p w:rsidR="000B33A8" w:rsidRPr="00B91F58" w:rsidRDefault="000B33A8" w:rsidP="000B33A8">
      <w:pPr>
        <w:rPr>
          <w:rFonts w:cs="Arial"/>
          <w:szCs w:val="22"/>
        </w:rPr>
      </w:pPr>
      <w:r w:rsidRPr="006B47ED">
        <w:rPr>
          <w:rFonts w:cs="Arial"/>
          <w:i/>
          <w:iCs/>
          <w:szCs w:val="22"/>
        </w:rPr>
        <w:t>b)</w:t>
      </w:r>
      <w:r w:rsidRPr="006B47ED">
        <w:rPr>
          <w:rFonts w:cs="Arial"/>
          <w:szCs w:val="22"/>
        </w:rPr>
        <w:t xml:space="preserve"> dell'articolo 1-</w:t>
      </w:r>
      <w:r w:rsidRPr="006B47ED">
        <w:rPr>
          <w:rFonts w:cs="Arial"/>
          <w:i/>
          <w:iCs/>
          <w:szCs w:val="22"/>
        </w:rPr>
        <w:t xml:space="preserve">bis, </w:t>
      </w:r>
      <w:r w:rsidRPr="006B47ED">
        <w:rPr>
          <w:rFonts w:cs="Arial"/>
          <w:szCs w:val="22"/>
        </w:rPr>
        <w:t>che proroga la sospensione di adempimenti e versamenti nell'isola di Lampedusa, senza novellare l'articolo 23, comma 12-</w:t>
      </w:r>
      <w:r w:rsidRPr="006B47ED">
        <w:rPr>
          <w:rFonts w:cs="Arial"/>
          <w:i/>
          <w:iCs/>
          <w:szCs w:val="22"/>
        </w:rPr>
        <w:t>octies</w:t>
      </w:r>
      <w:r w:rsidRPr="006B47ED">
        <w:rPr>
          <w:rFonts w:cs="Arial"/>
          <w:szCs w:val="22"/>
        </w:rPr>
        <w:t xml:space="preserve"> del decreto-legge n.</w:t>
      </w:r>
      <w:r>
        <w:rPr>
          <w:rFonts w:cs="Arial"/>
          <w:szCs w:val="22"/>
        </w:rPr>
        <w:t xml:space="preserve"> </w:t>
      </w:r>
      <w:r w:rsidRPr="006B47ED">
        <w:rPr>
          <w:rFonts w:cs="Arial"/>
          <w:szCs w:val="22"/>
        </w:rPr>
        <w:t>95 del 2012, la cui efficacia già è stata differita, in tempi recentissimi, dall'articolo 10, comma 12 del decreto-legge n.</w:t>
      </w:r>
      <w:r>
        <w:rPr>
          <w:rFonts w:cs="Arial"/>
          <w:szCs w:val="22"/>
        </w:rPr>
        <w:t xml:space="preserve"> </w:t>
      </w:r>
      <w:r w:rsidRPr="006B47ED">
        <w:rPr>
          <w:rFonts w:cs="Arial"/>
          <w:szCs w:val="22"/>
        </w:rPr>
        <w:t xml:space="preserve">192 del 2014 (“milleproroghe”), in difformità dall'articolo 2, comma 4, dello statuto del contribuente, secondo cui </w:t>
      </w:r>
      <w:r w:rsidRPr="00AD07AA">
        <w:rPr>
          <w:rFonts w:cs="Arial"/>
          <w:b/>
          <w:szCs w:val="22"/>
        </w:rPr>
        <w:t>le disposizioni modificative di leggi tributarie debbono essere introdotte riportando il testo conseguentemente modificato</w:t>
      </w:r>
      <w:r w:rsidRPr="006B47ED">
        <w:rPr>
          <w:rFonts w:cs="Arial"/>
          <w:szCs w:val="22"/>
        </w:rPr>
        <w:t xml:space="preserve"> (detta disposizione, inoltre, è stata introdotta nel presente decreto mentre era ancora in corso la conversione del decreto-legge “milleproroghe”)</w:t>
      </w:r>
      <w:r>
        <w:rPr>
          <w:rFonts w:cs="Arial"/>
          <w:szCs w:val="22"/>
        </w:rPr>
        <w:t xml:space="preserve"> </w:t>
      </w:r>
      <w:r w:rsidRPr="00B91F58">
        <w:rPr>
          <w:rFonts w:cs="Arial"/>
          <w:szCs w:val="22"/>
        </w:rPr>
        <w:t>(</w:t>
      </w:r>
      <w:hyperlink w:anchor="S05o03" w:history="1">
        <w:r>
          <w:rPr>
            <w:rStyle w:val="Collegamentoipertestuale"/>
            <w:rFonts w:cs="Arial"/>
            <w:b/>
            <w:szCs w:val="22"/>
          </w:rPr>
          <w:t>conseguente osservazione</w:t>
        </w:r>
      </w:hyperlink>
      <w:r w:rsidRPr="00B91F58">
        <w:rPr>
          <w:rFonts w:cs="Arial"/>
          <w:szCs w:val="22"/>
        </w:rPr>
        <w:t>)»;</w:t>
      </w: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267" w:name="S05a08"/>
      <w:r>
        <w:rPr>
          <w:rFonts w:cs="Arial"/>
          <w:szCs w:val="22"/>
        </w:rPr>
        <w:t>8 -</w:t>
      </w:r>
      <w:bookmarkEnd w:id="267"/>
      <w:r>
        <w:rPr>
          <w:rFonts w:cs="Arial"/>
          <w:szCs w:val="22"/>
        </w:rPr>
        <w:t xml:space="preserve">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Pr>
          <w:rStyle w:val="Collegamentoipertestuale"/>
          <w:rFonts w:cs="Arial"/>
          <w:szCs w:val="22"/>
        </w:rPr>
        <w:t xml:space="preserve"> </w:t>
      </w:r>
      <w:r w:rsidRPr="00B91F58">
        <w:rPr>
          <w:rFonts w:cs="Arial"/>
          <w:szCs w:val="22"/>
        </w:rPr>
        <w:t>«</w:t>
      </w:r>
      <w:r w:rsidRPr="0052545B">
        <w:rPr>
          <w:rFonts w:cs="Arial"/>
          <w:szCs w:val="22"/>
        </w:rPr>
        <w:t xml:space="preserve">il comma 4 dell'articolo 1 impiega le </w:t>
      </w:r>
      <w:r w:rsidRPr="0052545B">
        <w:rPr>
          <w:rFonts w:cs="Arial"/>
          <w:b/>
          <w:szCs w:val="22"/>
        </w:rPr>
        <w:t>espressioni imprecise</w:t>
      </w:r>
      <w:r w:rsidRPr="0052545B">
        <w:rPr>
          <w:rFonts w:cs="Arial"/>
          <w:szCs w:val="22"/>
        </w:rPr>
        <w:t xml:space="preserve"> “commi precedenti” (al primo periodo) e “precedente periodo” (al quarto periodo); in particolare, poiché al Senato è stato inserito un nuovo terzo periodo fra il secondo e l'attuale quarto, l'attuale quarto periodo (che nel testo del Governo si riferiva ai terreni a immutabile destinazione agro-silvo-pastorale di cui al secondo periodo) sembra ora riferito al “precedente” terzo periodo (che, inserito al Senato, concerne – invece – le isole minori); infatti la </w:t>
      </w:r>
      <w:r w:rsidRPr="0052545B">
        <w:rPr>
          <w:rFonts w:cs="Arial"/>
          <w:b/>
          <w:szCs w:val="22"/>
        </w:rPr>
        <w:t>circolare del 2001 sulla corretta formulazione dei testi legislativi</w:t>
      </w:r>
      <w:r w:rsidRPr="0052545B">
        <w:rPr>
          <w:rFonts w:cs="Arial"/>
          <w:szCs w:val="22"/>
        </w:rPr>
        <w:t xml:space="preserve"> prevede il divieto di usare </w:t>
      </w:r>
      <w:r w:rsidRPr="0052545B">
        <w:rPr>
          <w:rFonts w:cs="Arial"/>
          <w:b/>
          <w:szCs w:val="22"/>
        </w:rPr>
        <w:t>le espressioni “precedente” e “successivo” nei riferimenti normativi interni</w:t>
      </w:r>
      <w:r w:rsidRPr="0052545B">
        <w:rPr>
          <w:rFonts w:cs="Arial"/>
          <w:szCs w:val="22"/>
        </w:rPr>
        <w:t xml:space="preserve"> proprio per evitare problemi di coordinamento e dubbi di individuazione, anche in caso di modifiche successive</w:t>
      </w:r>
      <w:r w:rsidRPr="00B91F58">
        <w:rPr>
          <w:rFonts w:cs="Arial"/>
          <w:szCs w:val="22"/>
        </w:rPr>
        <w:t>»</w:t>
      </w:r>
      <w:r>
        <w:rPr>
          <w:rFonts w:cs="Arial"/>
          <w:szCs w:val="22"/>
        </w:rPr>
        <w:t xml:space="preserve"> </w:t>
      </w:r>
      <w:r w:rsidRPr="00B91F58">
        <w:rPr>
          <w:rFonts w:cs="Arial"/>
          <w:szCs w:val="22"/>
        </w:rPr>
        <w:t>(</w:t>
      </w:r>
      <w:hyperlink w:anchor="S05c02" w:history="1">
        <w:r>
          <w:rPr>
            <w:rStyle w:val="Collegamentoipertestuale"/>
            <w:rFonts w:cs="Arial"/>
            <w:b/>
            <w:szCs w:val="22"/>
          </w:rPr>
          <w:t>conseguente condizione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268" w:name="S05a09"/>
      <w:r>
        <w:rPr>
          <w:rFonts w:cs="Arial"/>
          <w:szCs w:val="22"/>
        </w:rPr>
        <w:t xml:space="preserve">9 </w:t>
      </w:r>
      <w:bookmarkEnd w:id="268"/>
      <w:r>
        <w:rPr>
          <w:rFonts w:cs="Arial"/>
          <w:szCs w:val="22"/>
        </w:rPr>
        <w:t xml:space="preserve">-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Pr>
          <w:rStyle w:val="Collegamentoipertestuale"/>
          <w:rFonts w:cs="Arial"/>
          <w:szCs w:val="22"/>
        </w:rPr>
        <w:t xml:space="preserve"> </w:t>
      </w:r>
      <w:r w:rsidRPr="00B91F58">
        <w:rPr>
          <w:rFonts w:cs="Arial"/>
          <w:szCs w:val="22"/>
        </w:rPr>
        <w:t>«</w:t>
      </w:r>
      <w:r w:rsidRPr="0052545B">
        <w:rPr>
          <w:rFonts w:cs="Arial"/>
          <w:szCs w:val="22"/>
        </w:rPr>
        <w:t xml:space="preserve">il medesimo comma </w:t>
      </w:r>
      <w:r>
        <w:rPr>
          <w:rFonts w:cs="Arial"/>
          <w:szCs w:val="22"/>
        </w:rPr>
        <w:t xml:space="preserve">[4 dell’articolo 1] </w:t>
      </w:r>
      <w:r w:rsidRPr="0052545B">
        <w:rPr>
          <w:rFonts w:cs="Arial"/>
          <w:szCs w:val="22"/>
        </w:rPr>
        <w:t>utilizza a copertura le risorse di cui al comma 5-</w:t>
      </w:r>
      <w:r w:rsidRPr="0052545B">
        <w:rPr>
          <w:rFonts w:cs="Arial"/>
          <w:i/>
          <w:iCs/>
          <w:szCs w:val="22"/>
        </w:rPr>
        <w:t>bis</w:t>
      </w:r>
      <w:r w:rsidRPr="0052545B">
        <w:rPr>
          <w:rFonts w:cs="Arial"/>
          <w:szCs w:val="22"/>
        </w:rPr>
        <w:t>, ultimo periodo, dell'articolo 4 del decreto-legge n.</w:t>
      </w:r>
      <w:r>
        <w:rPr>
          <w:rFonts w:cs="Arial"/>
          <w:szCs w:val="22"/>
        </w:rPr>
        <w:t xml:space="preserve"> </w:t>
      </w:r>
      <w:r w:rsidRPr="0052545B">
        <w:rPr>
          <w:rFonts w:cs="Arial"/>
          <w:szCs w:val="22"/>
        </w:rPr>
        <w:t>16 del 2012 (come sostituito dal citato articolo 22, comma 2, del decreto-legge n.</w:t>
      </w:r>
      <w:r>
        <w:rPr>
          <w:rFonts w:cs="Arial"/>
          <w:szCs w:val="22"/>
        </w:rPr>
        <w:t xml:space="preserve"> </w:t>
      </w:r>
      <w:r w:rsidRPr="0052545B">
        <w:rPr>
          <w:rFonts w:cs="Arial"/>
          <w:szCs w:val="22"/>
        </w:rPr>
        <w:t>66 del 2014): tale comma 5-</w:t>
      </w:r>
      <w:r w:rsidRPr="0052545B">
        <w:rPr>
          <w:rFonts w:cs="Arial"/>
          <w:i/>
          <w:iCs/>
          <w:szCs w:val="22"/>
        </w:rPr>
        <w:t>bis</w:t>
      </w:r>
      <w:r w:rsidRPr="0052545B">
        <w:rPr>
          <w:rFonts w:cs="Arial"/>
          <w:szCs w:val="22"/>
        </w:rPr>
        <w:t xml:space="preserve"> viene peraltro contestualmente abrogato (comma 6 dell'articolo 1)</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269" w:name="S05a10"/>
      <w:r>
        <w:rPr>
          <w:rFonts w:cs="Arial"/>
          <w:szCs w:val="22"/>
        </w:rPr>
        <w:t>10</w:t>
      </w:r>
      <w:bookmarkEnd w:id="269"/>
      <w:r>
        <w:rPr>
          <w:rFonts w:cs="Arial"/>
          <w:szCs w:val="22"/>
        </w:rPr>
        <w:t xml:space="preserve"> -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Pr>
          <w:rStyle w:val="Collegamentoipertestuale"/>
          <w:rFonts w:cs="Arial"/>
          <w:szCs w:val="22"/>
        </w:rPr>
        <w:t xml:space="preserve"> </w:t>
      </w:r>
      <w:r w:rsidRPr="00B91F58">
        <w:rPr>
          <w:rFonts w:cs="Arial"/>
          <w:szCs w:val="22"/>
        </w:rPr>
        <w:t>«</w:t>
      </w:r>
      <w:r w:rsidRPr="00E51E65">
        <w:rPr>
          <w:rFonts w:cs="Arial"/>
          <w:szCs w:val="22"/>
        </w:rPr>
        <w:t>i commi 4, 9-</w:t>
      </w:r>
      <w:r w:rsidRPr="00E51E65">
        <w:rPr>
          <w:rFonts w:cs="Arial"/>
          <w:i/>
          <w:iCs/>
          <w:szCs w:val="22"/>
        </w:rPr>
        <w:t>bis</w:t>
      </w:r>
      <w:r w:rsidRPr="00E51E65">
        <w:rPr>
          <w:rFonts w:cs="Arial"/>
          <w:szCs w:val="22"/>
        </w:rPr>
        <w:t xml:space="preserve"> e 9-</w:t>
      </w:r>
      <w:r w:rsidRPr="00E51E65">
        <w:rPr>
          <w:rFonts w:cs="Arial"/>
          <w:i/>
          <w:iCs/>
          <w:szCs w:val="22"/>
        </w:rPr>
        <w:t xml:space="preserve">quinquies </w:t>
      </w:r>
      <w:r w:rsidRPr="00E51E65">
        <w:rPr>
          <w:rFonts w:cs="Arial"/>
          <w:szCs w:val="22"/>
        </w:rPr>
        <w:t xml:space="preserve">dell'articolo 1 prevedono l'adozione di </w:t>
      </w:r>
      <w:r w:rsidRPr="00E51E65">
        <w:rPr>
          <w:rFonts w:cs="Arial"/>
          <w:b/>
          <w:szCs w:val="22"/>
        </w:rPr>
        <w:t>decreti del Ministero</w:t>
      </w:r>
      <w:r w:rsidRPr="00E51E65">
        <w:rPr>
          <w:rFonts w:cs="Arial"/>
          <w:szCs w:val="22"/>
        </w:rPr>
        <w:t xml:space="preserve"> dell'interno di concerto con il Ministero dell'economia e delle finanze </w:t>
      </w:r>
      <w:r w:rsidRPr="00E51E65">
        <w:rPr>
          <w:rFonts w:cs="Arial"/>
          <w:b/>
          <w:szCs w:val="22"/>
        </w:rPr>
        <w:t>senza fissare il relativo termine</w:t>
      </w:r>
      <w:r w:rsidRPr="00B91F58">
        <w:rPr>
          <w:rFonts w:cs="Arial"/>
          <w:szCs w:val="22"/>
        </w:rPr>
        <w:t>»</w:t>
      </w:r>
      <w:r>
        <w:rPr>
          <w:rFonts w:cs="Arial"/>
          <w:szCs w:val="22"/>
        </w:rPr>
        <w:t xml:space="preserve"> </w:t>
      </w:r>
      <w:r w:rsidRPr="00B91F58">
        <w:rPr>
          <w:rFonts w:cs="Arial"/>
          <w:szCs w:val="22"/>
        </w:rPr>
        <w:t>(</w:t>
      </w:r>
      <w:hyperlink w:anchor="S05c03" w:history="1">
        <w:r>
          <w:rPr>
            <w:rStyle w:val="Collegamentoipertestuale"/>
            <w:rFonts w:cs="Arial"/>
            <w:b/>
            <w:szCs w:val="22"/>
          </w:rPr>
          <w:t>conseguente condizione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270" w:name="S05a11"/>
      <w:r>
        <w:rPr>
          <w:rFonts w:cs="Arial"/>
          <w:szCs w:val="22"/>
        </w:rPr>
        <w:t>11</w:t>
      </w:r>
      <w:bookmarkEnd w:id="270"/>
      <w:r>
        <w:rPr>
          <w:rFonts w:cs="Arial"/>
          <w:szCs w:val="22"/>
        </w:rPr>
        <w:t xml:space="preserve"> -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Pr>
          <w:rStyle w:val="Collegamentoipertestuale"/>
          <w:rFonts w:cs="Arial"/>
          <w:szCs w:val="22"/>
        </w:rPr>
        <w:t xml:space="preserve"> </w:t>
      </w:r>
      <w:r w:rsidRPr="00B91F58">
        <w:rPr>
          <w:rFonts w:cs="Arial"/>
          <w:szCs w:val="22"/>
        </w:rPr>
        <w:t>«</w:t>
      </w:r>
      <w:r w:rsidRPr="00E51E65">
        <w:rPr>
          <w:rFonts w:cs="Arial"/>
          <w:szCs w:val="22"/>
        </w:rPr>
        <w:t>all'articolo 2, il comma 2-</w:t>
      </w:r>
      <w:r w:rsidRPr="00E51E65">
        <w:rPr>
          <w:rFonts w:cs="Arial"/>
          <w:i/>
          <w:iCs/>
          <w:szCs w:val="22"/>
        </w:rPr>
        <w:t>bis</w:t>
      </w:r>
      <w:r w:rsidRPr="00E51E65">
        <w:rPr>
          <w:rFonts w:cs="Arial"/>
          <w:szCs w:val="22"/>
        </w:rPr>
        <w:t xml:space="preserve">, ultimo periodo, introdotto al Senato, autorizza il Ministro dell'economia e delle finanze ad apportare le occorrenti variazioni di bilancio, </w:t>
      </w:r>
      <w:r w:rsidRPr="00E51E65">
        <w:rPr>
          <w:rFonts w:cs="Arial"/>
          <w:b/>
          <w:szCs w:val="22"/>
        </w:rPr>
        <w:t>ripetendo l'identica clausola</w:t>
      </w:r>
      <w:r w:rsidRPr="00E51E65">
        <w:rPr>
          <w:rFonts w:cs="Arial"/>
          <w:szCs w:val="22"/>
        </w:rPr>
        <w:t xml:space="preserve"> già presente in via generale al comma 3</w:t>
      </w:r>
      <w:r w:rsidRPr="00B91F58">
        <w:rPr>
          <w:rFonts w:cs="Arial"/>
          <w:szCs w:val="22"/>
        </w:rPr>
        <w:t>»</w:t>
      </w:r>
      <w:r>
        <w:rPr>
          <w:rFonts w:cs="Arial"/>
          <w:szCs w:val="22"/>
        </w:rPr>
        <w:t xml:space="preserve"> </w:t>
      </w:r>
      <w:r w:rsidRPr="00B91F58">
        <w:rPr>
          <w:rFonts w:cs="Arial"/>
          <w:szCs w:val="22"/>
        </w:rPr>
        <w:t>(</w:t>
      </w:r>
      <w:hyperlink w:anchor="S05o04"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271" w:name="S05a12"/>
      <w:r>
        <w:rPr>
          <w:rFonts w:cs="Arial"/>
          <w:szCs w:val="22"/>
        </w:rPr>
        <w:t>12</w:t>
      </w:r>
      <w:bookmarkEnd w:id="271"/>
      <w:r>
        <w:rPr>
          <w:rFonts w:cs="Arial"/>
          <w:szCs w:val="22"/>
        </w:rPr>
        <w:t xml:space="preserve"> - </w:t>
      </w:r>
      <w:hyperlink w:anchor="premessa05" w:history="1">
        <w:r w:rsidRPr="00B91F58">
          <w:rPr>
            <w:rStyle w:val="Collegamentoipertestuale"/>
            <w:rFonts w:cs="Arial"/>
            <w:b/>
            <w:szCs w:val="22"/>
          </w:rPr>
          <w:t>Premessa</w:t>
        </w:r>
        <w:r w:rsidRPr="00B91F58">
          <w:rPr>
            <w:rStyle w:val="Collegamentoipertestuale"/>
            <w:rFonts w:cs="Arial"/>
            <w:szCs w:val="22"/>
          </w:rPr>
          <w:t>:</w:t>
        </w:r>
      </w:hyperlink>
      <w:r>
        <w:rPr>
          <w:rStyle w:val="Collegamentoipertestuale"/>
          <w:rFonts w:cs="Arial"/>
          <w:szCs w:val="22"/>
        </w:rPr>
        <w:t xml:space="preserve"> </w:t>
      </w:r>
      <w:r w:rsidRPr="00B91F58">
        <w:rPr>
          <w:rFonts w:cs="Arial"/>
          <w:szCs w:val="22"/>
        </w:rPr>
        <w:t>«</w:t>
      </w:r>
      <w:r w:rsidRPr="003D417A">
        <w:rPr>
          <w:rFonts w:cs="Arial"/>
          <w:szCs w:val="22"/>
        </w:rPr>
        <w:t>il disegno di legge di conversione presentato al Senato è corredato sia della relazione sull'analisi tecnico-normativa (</w:t>
      </w:r>
      <w:r w:rsidRPr="003D417A">
        <w:rPr>
          <w:rFonts w:cs="Arial"/>
          <w:b/>
          <w:szCs w:val="22"/>
        </w:rPr>
        <w:t>ATN</w:t>
      </w:r>
      <w:r w:rsidRPr="003D417A">
        <w:rPr>
          <w:rFonts w:cs="Arial"/>
          <w:szCs w:val="22"/>
        </w:rPr>
        <w:t>) sia della relazione sull'analisi di impatto della regolamentazione (</w:t>
      </w:r>
      <w:r w:rsidRPr="003D417A">
        <w:rPr>
          <w:rFonts w:cs="Arial"/>
          <w:b/>
          <w:szCs w:val="22"/>
        </w:rPr>
        <w:t>AIR</w:t>
      </w:r>
      <w:r w:rsidRPr="003D417A">
        <w:rPr>
          <w:rFonts w:cs="Arial"/>
          <w:szCs w:val="22"/>
        </w:rPr>
        <w:t>)</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szCs w:val="22"/>
        </w:rPr>
      </w:pPr>
      <w:bookmarkStart w:id="272" w:name="S05C"/>
      <w:r w:rsidRPr="00B91F58">
        <w:rPr>
          <w:rFonts w:cs="Arial"/>
          <w:b/>
          <w:szCs w:val="22"/>
        </w:rPr>
        <w:t>Condizioni</w:t>
      </w:r>
      <w:r w:rsidRPr="00B91F58">
        <w:rPr>
          <w:rFonts w:cs="Arial"/>
          <w:szCs w:val="22"/>
        </w:rPr>
        <w:t xml:space="preserve">: </w:t>
      </w:r>
    </w:p>
    <w:bookmarkEnd w:id="272"/>
    <w:p w:rsidR="000B33A8" w:rsidRDefault="000B33A8" w:rsidP="000B33A8">
      <w:pPr>
        <w:keepNext/>
        <w:ind w:firstLine="0"/>
        <w:rPr>
          <w:rFonts w:cs="Arial"/>
          <w:i/>
          <w:szCs w:val="22"/>
        </w:rPr>
      </w:pPr>
      <w:r w:rsidRPr="00D249C1">
        <w:rPr>
          <w:rFonts w:cs="Arial"/>
          <w:i/>
          <w:szCs w:val="22"/>
        </w:rPr>
        <w:t xml:space="preserve">sotto il profilo </w:t>
      </w:r>
      <w:r>
        <w:rPr>
          <w:rFonts w:cs="Arial"/>
          <w:i/>
          <w:szCs w:val="22"/>
        </w:rPr>
        <w:t xml:space="preserve">dei limiti di contenuto del decreto-legge e </w:t>
      </w:r>
      <w:r w:rsidRPr="00D249C1">
        <w:rPr>
          <w:rFonts w:cs="Arial"/>
          <w:i/>
          <w:szCs w:val="22"/>
        </w:rPr>
        <w:t>dell'efficacia del testo per la semplificazione e il riordino della legislazione vigente:</w:t>
      </w:r>
    </w:p>
    <w:p w:rsidR="000B33A8" w:rsidRPr="00A732FE" w:rsidRDefault="000B33A8" w:rsidP="00B26E1F">
      <w:pPr>
        <w:pStyle w:val="Paragrafoelenco"/>
        <w:numPr>
          <w:ilvl w:val="0"/>
          <w:numId w:val="31"/>
        </w:numPr>
        <w:ind w:left="567" w:hanging="283"/>
        <w:rPr>
          <w:rStyle w:val="Collegamentoipertestuale"/>
          <w:rFonts w:cs="Arial"/>
          <w:szCs w:val="22"/>
        </w:rPr>
      </w:pPr>
      <w:bookmarkStart w:id="273" w:name="S05c01"/>
      <w:r w:rsidRPr="001D747B">
        <w:rPr>
          <w:rFonts w:cs="Arial"/>
          <w:szCs w:val="22"/>
        </w:rPr>
        <w:t xml:space="preserve">si sopprimano </w:t>
      </w:r>
      <w:bookmarkEnd w:id="273"/>
      <w:r w:rsidRPr="001D747B">
        <w:rPr>
          <w:rFonts w:cs="Arial"/>
          <w:szCs w:val="22"/>
        </w:rPr>
        <w:t xml:space="preserve">le disposizioni di cui all'articolo 1, comma 2, del disegno di legge di conversione, in quanto il limite posto dall'articolo 15, comma 2, lettera </w:t>
      </w:r>
      <w:r w:rsidRPr="001D747B">
        <w:rPr>
          <w:rFonts w:cs="Arial"/>
          <w:i/>
          <w:iCs/>
          <w:szCs w:val="22"/>
        </w:rPr>
        <w:t>a)</w:t>
      </w:r>
      <w:r w:rsidRPr="001D747B">
        <w:rPr>
          <w:rFonts w:cs="Arial"/>
          <w:szCs w:val="22"/>
        </w:rPr>
        <w:t>, della legge n.</w:t>
      </w:r>
      <w:r>
        <w:rPr>
          <w:rFonts w:cs="Arial"/>
          <w:szCs w:val="22"/>
        </w:rPr>
        <w:t xml:space="preserve"> </w:t>
      </w:r>
      <w:r w:rsidRPr="001D747B">
        <w:rPr>
          <w:rFonts w:cs="Arial"/>
          <w:szCs w:val="22"/>
        </w:rPr>
        <w:t>400 del 1988, secondo cui il Governo non può, mediante decreto-legge,</w:t>
      </w:r>
      <w:r>
        <w:rPr>
          <w:rFonts w:cs="Arial"/>
          <w:szCs w:val="22"/>
        </w:rPr>
        <w:t xml:space="preserve"> </w:t>
      </w:r>
      <w:r w:rsidRPr="001D747B">
        <w:rPr>
          <w:rFonts w:cs="Arial"/>
          <w:szCs w:val="22"/>
        </w:rPr>
        <w:t>“conferire deleghe legislative ai sensi dell'articolo 76 della Costituzione”, si interpreta, per costante giurisprudenza del Comitato, come volto ad impedire che nel testo possano confluire disposizioni che incidano, in via diretta o indiretta, sulle modalità di esercizio di deleghe legislative, anche se già esistenti e, in subordine, si individui il termine per l'esercizio della delega in modo univoco rinunciando alla cosiddetta “tecnica dello scorrimento”</w:t>
      </w:r>
      <w:r>
        <w:rPr>
          <w:rFonts w:cs="Arial"/>
          <w:szCs w:val="22"/>
        </w:rPr>
        <w:t xml:space="preserve">; </w:t>
      </w:r>
      <w:hyperlink w:anchor="premessa05" w:history="1">
        <w:r w:rsidRPr="00D249C1">
          <w:rPr>
            <w:rStyle w:val="Collegamentoipertestuale"/>
            <w:rFonts w:cs="Arial"/>
            <w:szCs w:val="22"/>
          </w:rPr>
          <w:t>[torna su]</w:t>
        </w:r>
      </w:hyperlink>
      <w:r>
        <w:rPr>
          <w:rStyle w:val="Collegamentoipertestuale"/>
          <w:rFonts w:cs="Arial"/>
          <w:szCs w:val="22"/>
        </w:rPr>
        <w:t xml:space="preserve"> </w:t>
      </w:r>
      <w:r>
        <w:rPr>
          <w:rStyle w:val="Collegamentoipertestuale"/>
          <w:rFonts w:cs="Arial"/>
          <w:szCs w:val="22"/>
        </w:rPr>
        <w:br/>
      </w:r>
    </w:p>
    <w:p w:rsidR="000B33A8" w:rsidRPr="00A732FE" w:rsidRDefault="000B33A8" w:rsidP="00C91B98">
      <w:pPr>
        <w:pStyle w:val="Paragrafoelenco"/>
        <w:keepNext/>
        <w:ind w:left="0" w:firstLine="0"/>
        <w:rPr>
          <w:rStyle w:val="Collegamentoipertestuale"/>
          <w:rFonts w:cs="Arial"/>
          <w:szCs w:val="22"/>
        </w:rPr>
      </w:pPr>
      <w:r w:rsidRPr="00C733BB">
        <w:rPr>
          <w:rFonts w:cs="Arial"/>
          <w:i/>
          <w:szCs w:val="22"/>
        </w:rPr>
        <w:lastRenderedPageBreak/>
        <w:t>sotto il profilo della chiarezza e della proprietà della formulazione</w:t>
      </w:r>
    </w:p>
    <w:p w:rsidR="000B33A8" w:rsidRPr="001D747B" w:rsidRDefault="000B33A8" w:rsidP="00B26E1F">
      <w:pPr>
        <w:pStyle w:val="Paragrafoelenco"/>
        <w:numPr>
          <w:ilvl w:val="0"/>
          <w:numId w:val="31"/>
        </w:numPr>
        <w:ind w:left="567" w:hanging="283"/>
        <w:rPr>
          <w:rStyle w:val="Collegamentoipertestuale"/>
          <w:rFonts w:cs="Arial"/>
          <w:szCs w:val="22"/>
        </w:rPr>
      </w:pPr>
      <w:bookmarkStart w:id="274" w:name="S05c02"/>
      <w:r w:rsidRPr="001D747B">
        <w:t xml:space="preserve">all'articolo 1, comma </w:t>
      </w:r>
      <w:bookmarkEnd w:id="274"/>
      <w:r w:rsidRPr="001D747B">
        <w:t>4, quarto periodo, si verifichi la necessità di sostituire l'espressione “precedente periodo” con l'espressione “secondo periodo”, in attuazione della circolare del 2001 sulla corretta formulazione dei testi normativi e onde evitare rinvii inesatti</w:t>
      </w:r>
      <w:r w:rsidRPr="00E93216">
        <w:t xml:space="preserve">; </w:t>
      </w:r>
      <w:hyperlink w:anchor="premessa05"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B26E1F">
      <w:pPr>
        <w:pStyle w:val="Paragrafoelenco"/>
        <w:numPr>
          <w:ilvl w:val="0"/>
          <w:numId w:val="31"/>
        </w:numPr>
        <w:ind w:left="567" w:hanging="283"/>
        <w:rPr>
          <w:rStyle w:val="Collegamentoipertestuale"/>
          <w:rFonts w:cs="Arial"/>
          <w:szCs w:val="22"/>
        </w:rPr>
      </w:pPr>
      <w:bookmarkStart w:id="275" w:name="S05c03"/>
      <w:r w:rsidRPr="001D747B">
        <w:rPr>
          <w:rFonts w:cs="Arial"/>
          <w:szCs w:val="22"/>
        </w:rPr>
        <w:t>ai commi 4, 9-</w:t>
      </w:r>
      <w:r w:rsidRPr="001D747B">
        <w:rPr>
          <w:rFonts w:cs="Arial"/>
          <w:i/>
          <w:iCs/>
          <w:szCs w:val="22"/>
        </w:rPr>
        <w:t>bis</w:t>
      </w:r>
      <w:r w:rsidRPr="001D747B">
        <w:rPr>
          <w:rFonts w:cs="Arial"/>
          <w:szCs w:val="22"/>
        </w:rPr>
        <w:t xml:space="preserve"> </w:t>
      </w:r>
      <w:bookmarkEnd w:id="275"/>
      <w:r w:rsidRPr="001D747B">
        <w:rPr>
          <w:rFonts w:cs="Arial"/>
          <w:szCs w:val="22"/>
        </w:rPr>
        <w:t>e 9-</w:t>
      </w:r>
      <w:r w:rsidRPr="001D747B">
        <w:rPr>
          <w:rFonts w:cs="Arial"/>
          <w:i/>
          <w:iCs/>
          <w:szCs w:val="22"/>
        </w:rPr>
        <w:t xml:space="preserve">quinquies </w:t>
      </w:r>
      <w:r w:rsidRPr="001D747B">
        <w:rPr>
          <w:rFonts w:cs="Arial"/>
          <w:szCs w:val="22"/>
        </w:rPr>
        <w:t>dell'articolo 1 si individui il termine finale per l'adozione dei decreti ministeriali ivi indicati</w:t>
      </w:r>
      <w:r>
        <w:rPr>
          <w:rFonts w:cs="Arial"/>
          <w:szCs w:val="22"/>
        </w:rPr>
        <w:t>;</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276" w:name="S05O"/>
      <w:r>
        <w:rPr>
          <w:rFonts w:cs="Arial"/>
          <w:b/>
          <w:szCs w:val="22"/>
        </w:rPr>
        <w:t>Osservazioni</w:t>
      </w:r>
      <w:r w:rsidRPr="00B91F58">
        <w:rPr>
          <w:rFonts w:cs="Arial"/>
          <w:szCs w:val="22"/>
        </w:rPr>
        <w:t>:</w:t>
      </w:r>
      <w:bookmarkEnd w:id="276"/>
      <w:r w:rsidRPr="00B91F58">
        <w:rPr>
          <w:rFonts w:cs="Arial"/>
          <w:szCs w:val="22"/>
        </w:rPr>
        <w:t xml:space="preserve"> </w:t>
      </w:r>
    </w:p>
    <w:p w:rsidR="000B33A8" w:rsidRDefault="000B33A8" w:rsidP="000B33A8">
      <w:pPr>
        <w:keepNext/>
        <w:ind w:firstLine="0"/>
        <w:rPr>
          <w:rFonts w:cs="Arial"/>
          <w:i/>
          <w:szCs w:val="22"/>
        </w:rPr>
      </w:pPr>
      <w:r w:rsidRPr="00D249C1">
        <w:rPr>
          <w:rFonts w:cs="Arial"/>
          <w:i/>
          <w:szCs w:val="22"/>
        </w:rPr>
        <w:t>sotto il profilo dell'efficacia del testo per la semplificazione e il riordino della legislazione vigente:</w:t>
      </w:r>
    </w:p>
    <w:p w:rsidR="000B33A8" w:rsidRPr="007B3F20" w:rsidRDefault="000B33A8" w:rsidP="00B26E1F">
      <w:pPr>
        <w:pStyle w:val="Paragrafoelenco"/>
        <w:numPr>
          <w:ilvl w:val="0"/>
          <w:numId w:val="32"/>
        </w:numPr>
        <w:ind w:left="567" w:hanging="283"/>
        <w:rPr>
          <w:rStyle w:val="Collegamentoipertestuale"/>
          <w:rFonts w:cs="Arial"/>
          <w:szCs w:val="22"/>
        </w:rPr>
      </w:pPr>
      <w:bookmarkStart w:id="277" w:name="S05o01"/>
      <w:r w:rsidRPr="00666EE1">
        <w:rPr>
          <w:rFonts w:cs="Arial"/>
          <w:szCs w:val="22"/>
        </w:rPr>
        <w:t>per quanto detto in premessa</w:t>
      </w:r>
      <w:bookmarkEnd w:id="277"/>
      <w:r w:rsidRPr="00666EE1">
        <w:rPr>
          <w:rFonts w:cs="Arial"/>
          <w:szCs w:val="22"/>
        </w:rPr>
        <w:t xml:space="preserve">, si dovrebbe verificare se le disposizioni di </w:t>
      </w:r>
      <w:r w:rsidRPr="007B3F20">
        <w:rPr>
          <w:rFonts w:cs="Arial"/>
          <w:szCs w:val="22"/>
        </w:rPr>
        <w:t>si dovrebbe valutare l'opportunità di integrare la rubrica dell'articolo 1 onde dar conto delle corrispondenti imposte IMI e IMIS delle Province autonome di Trento e di Bolzano</w:t>
      </w:r>
      <w:r>
        <w:rPr>
          <w:rFonts w:cs="Arial"/>
          <w:szCs w:val="22"/>
        </w:rPr>
        <w:t xml:space="preserve">; </w:t>
      </w:r>
      <w:hyperlink w:anchor="premessa05"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32"/>
        </w:numPr>
        <w:ind w:left="567" w:hanging="283"/>
        <w:rPr>
          <w:rFonts w:cs="Arial"/>
          <w:szCs w:val="22"/>
        </w:rPr>
      </w:pPr>
      <w:bookmarkStart w:id="278" w:name="S05o02"/>
      <w:r w:rsidRPr="007B3F20">
        <w:rPr>
          <w:rFonts w:cs="Arial"/>
          <w:szCs w:val="22"/>
        </w:rPr>
        <w:t>al comma 9-</w:t>
      </w:r>
      <w:r w:rsidRPr="007B3F20">
        <w:rPr>
          <w:rFonts w:cs="Arial"/>
          <w:i/>
          <w:iCs/>
          <w:szCs w:val="22"/>
        </w:rPr>
        <w:t>quater</w:t>
      </w:r>
      <w:r w:rsidRPr="007B3F20">
        <w:rPr>
          <w:rFonts w:cs="Arial"/>
          <w:szCs w:val="22"/>
        </w:rPr>
        <w:t xml:space="preserve"> </w:t>
      </w:r>
      <w:bookmarkEnd w:id="278"/>
      <w:r w:rsidRPr="007B3F20">
        <w:rPr>
          <w:rFonts w:cs="Arial"/>
          <w:szCs w:val="22"/>
        </w:rPr>
        <w:t>dell'articolo 1, si dovrebbe esplicitare il carattere derogatorio – e non applicativo – dell'articolo 1, comma 2, dello statuto del contribuente</w:t>
      </w:r>
      <w:r>
        <w:rPr>
          <w:rFonts w:cs="Arial"/>
          <w:szCs w:val="22"/>
        </w:rPr>
        <w:t xml:space="preserve">; </w:t>
      </w:r>
      <w:hyperlink w:anchor="premessa05"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B26E1F">
      <w:pPr>
        <w:pStyle w:val="Paragrafoelenco"/>
        <w:numPr>
          <w:ilvl w:val="0"/>
          <w:numId w:val="32"/>
        </w:numPr>
        <w:ind w:left="567" w:hanging="283"/>
        <w:rPr>
          <w:rStyle w:val="Collegamentoipertestuale"/>
          <w:rFonts w:cs="Arial"/>
          <w:szCs w:val="22"/>
        </w:rPr>
      </w:pPr>
      <w:bookmarkStart w:id="279" w:name="S05o03"/>
      <w:r w:rsidRPr="007B3F20">
        <w:rPr>
          <w:rFonts w:cs="Arial"/>
          <w:szCs w:val="22"/>
        </w:rPr>
        <w:t>l'articolo 1-</w:t>
      </w:r>
      <w:r w:rsidRPr="007B3F20">
        <w:rPr>
          <w:rFonts w:cs="Arial"/>
          <w:i/>
          <w:iCs/>
          <w:szCs w:val="22"/>
        </w:rPr>
        <w:t>bis</w:t>
      </w:r>
      <w:r w:rsidRPr="007B3F20">
        <w:rPr>
          <w:rFonts w:cs="Arial"/>
          <w:szCs w:val="22"/>
        </w:rPr>
        <w:t xml:space="preserve"> dovrebbe </w:t>
      </w:r>
      <w:bookmarkEnd w:id="279"/>
      <w:r w:rsidRPr="007B3F20">
        <w:rPr>
          <w:rFonts w:cs="Arial"/>
          <w:szCs w:val="22"/>
        </w:rPr>
        <w:t>essere riformulato in termini di novella all'articolo 23, comma 12-</w:t>
      </w:r>
      <w:r w:rsidRPr="007B3F20">
        <w:rPr>
          <w:rFonts w:cs="Arial"/>
          <w:i/>
          <w:iCs/>
          <w:szCs w:val="22"/>
        </w:rPr>
        <w:t>octies</w:t>
      </w:r>
      <w:r w:rsidRPr="007B3F20">
        <w:rPr>
          <w:rFonts w:cs="Arial"/>
          <w:szCs w:val="22"/>
        </w:rPr>
        <w:t xml:space="preserve"> del decreto-legge n.</w:t>
      </w:r>
      <w:r>
        <w:rPr>
          <w:rFonts w:cs="Arial"/>
          <w:szCs w:val="22"/>
        </w:rPr>
        <w:t xml:space="preserve"> </w:t>
      </w:r>
      <w:r w:rsidRPr="007B3F20">
        <w:rPr>
          <w:rFonts w:cs="Arial"/>
          <w:szCs w:val="22"/>
        </w:rPr>
        <w:t>95 del 2012, in coerenza con la tecnica legislativa impiegata nel decreto “milleproroghe”</w:t>
      </w:r>
      <w:r>
        <w:rPr>
          <w:rFonts w:cs="Arial"/>
          <w:szCs w:val="22"/>
        </w:rPr>
        <w:t xml:space="preserve">; </w:t>
      </w:r>
      <w:hyperlink w:anchor="premessa05" w:history="1">
        <w:r w:rsidRPr="00D249C1">
          <w:rPr>
            <w:rStyle w:val="Collegamentoipertestuale"/>
            <w:rFonts w:cs="Arial"/>
            <w:szCs w:val="22"/>
          </w:rPr>
          <w:t>[torna su]</w:t>
        </w:r>
      </w:hyperlink>
      <w:r>
        <w:rPr>
          <w:rStyle w:val="Collegamentoipertestuale"/>
          <w:rFonts w:cs="Arial"/>
          <w:szCs w:val="22"/>
        </w:rPr>
        <w:t xml:space="preserve"> </w:t>
      </w:r>
    </w:p>
    <w:p w:rsidR="000B33A8" w:rsidRPr="00666EE1" w:rsidRDefault="000B33A8" w:rsidP="000B33A8">
      <w:pPr>
        <w:ind w:left="567" w:hanging="283"/>
        <w:rPr>
          <w:rStyle w:val="Collegamentoipertestuale"/>
          <w:rFonts w:cs="Arial"/>
          <w:szCs w:val="22"/>
        </w:rPr>
      </w:pPr>
      <w:r w:rsidRPr="00666EE1">
        <w:rPr>
          <w:rFonts w:cs="Arial"/>
          <w:i/>
          <w:szCs w:val="22"/>
        </w:rPr>
        <w:t>sotto il profilo della chiarezza e della proprietà della formulazione</w:t>
      </w:r>
    </w:p>
    <w:p w:rsidR="000B33A8" w:rsidRPr="00A732FE" w:rsidRDefault="000B33A8" w:rsidP="00B26E1F">
      <w:pPr>
        <w:pStyle w:val="Paragrafoelenco"/>
        <w:numPr>
          <w:ilvl w:val="0"/>
          <w:numId w:val="32"/>
        </w:numPr>
        <w:ind w:left="567" w:hanging="283"/>
        <w:rPr>
          <w:rStyle w:val="Collegamentoipertestuale"/>
          <w:rFonts w:cs="Arial"/>
          <w:szCs w:val="22"/>
        </w:rPr>
      </w:pPr>
      <w:bookmarkStart w:id="280" w:name="S05o04"/>
      <w:r w:rsidRPr="007B3F20">
        <w:t xml:space="preserve">all'articolo 2, si dovrebbe </w:t>
      </w:r>
      <w:bookmarkEnd w:id="280"/>
      <w:r w:rsidRPr="007B3F20">
        <w:t>assicurare il coordinamento fra l'ultimo periodo del comma 2-</w:t>
      </w:r>
      <w:r w:rsidRPr="007B3F20">
        <w:rPr>
          <w:i/>
          <w:iCs/>
        </w:rPr>
        <w:t>bis</w:t>
      </w:r>
      <w:r w:rsidRPr="007B3F20">
        <w:t xml:space="preserve"> e il comma 3, che ripetono l'identica disposizione</w:t>
      </w:r>
      <w:r w:rsidRPr="00E93216">
        <w:t xml:space="preserve">; </w:t>
      </w:r>
      <w:hyperlink w:anchor="premessa05" w:history="1">
        <w:r w:rsidRPr="00D249C1">
          <w:rPr>
            <w:rStyle w:val="Collegamentoipertestuale"/>
            <w:rFonts w:cs="Arial"/>
            <w:szCs w:val="22"/>
          </w:rPr>
          <w:t>[torna su]</w:t>
        </w:r>
      </w:hyperlink>
      <w:r>
        <w:rPr>
          <w:rStyle w:val="Collegamentoipertestuale"/>
          <w:rFonts w:cs="Arial"/>
          <w:szCs w:val="22"/>
        </w:rPr>
        <w:t xml:space="preserve"> </w:t>
      </w:r>
    </w:p>
    <w:p w:rsidR="000B33A8" w:rsidRPr="00B91F58" w:rsidRDefault="000B33A8" w:rsidP="000B33A8">
      <w:pPr>
        <w:ind w:left="567" w:hanging="283"/>
        <w:rPr>
          <w:rFonts w:cs="Arial"/>
          <w:szCs w:val="22"/>
        </w:rPr>
      </w:pPr>
    </w:p>
    <w:p w:rsidR="000B33A8" w:rsidRDefault="000B33A8" w:rsidP="000B33A8">
      <w:pPr>
        <w:ind w:left="567" w:hanging="283"/>
        <w:rPr>
          <w:rFonts w:cs="Arial"/>
          <w:szCs w:val="22"/>
        </w:rPr>
      </w:pPr>
    </w:p>
    <w:p w:rsidR="000B33A8" w:rsidRDefault="000B33A8" w:rsidP="000B33A8">
      <w:pPr>
        <w:keepNext/>
        <w:ind w:firstLine="0"/>
        <w:rPr>
          <w:rFonts w:cs="Arial"/>
          <w:szCs w:val="22"/>
        </w:rPr>
      </w:pPr>
      <w:bookmarkStart w:id="281" w:name="S05R"/>
      <w:r>
        <w:rPr>
          <w:rFonts w:cs="Arial"/>
          <w:b/>
          <w:szCs w:val="22"/>
        </w:rPr>
        <w:t>Raccomanda</w:t>
      </w:r>
      <w:r w:rsidRPr="00B91F58">
        <w:rPr>
          <w:rFonts w:cs="Arial"/>
          <w:b/>
          <w:szCs w:val="22"/>
        </w:rPr>
        <w:t>zioni</w:t>
      </w:r>
      <w:r w:rsidRPr="00B91F58">
        <w:rPr>
          <w:rFonts w:cs="Arial"/>
          <w:szCs w:val="22"/>
        </w:rPr>
        <w:t xml:space="preserve">: </w:t>
      </w:r>
    </w:p>
    <w:p w:rsidR="000B33A8" w:rsidRPr="00A732FE" w:rsidRDefault="000B33A8" w:rsidP="00B26E1F">
      <w:pPr>
        <w:pStyle w:val="Paragrafoelenco"/>
        <w:numPr>
          <w:ilvl w:val="0"/>
          <w:numId w:val="33"/>
        </w:numPr>
        <w:ind w:left="567" w:hanging="283"/>
        <w:rPr>
          <w:rStyle w:val="Collegamentoipertestuale"/>
          <w:rFonts w:cs="Arial"/>
          <w:szCs w:val="22"/>
        </w:rPr>
      </w:pPr>
      <w:bookmarkStart w:id="282" w:name="S05r01"/>
      <w:bookmarkEnd w:id="281"/>
      <w:r w:rsidRPr="00C55F55">
        <w:rPr>
          <w:rFonts w:cs="Arial"/>
          <w:szCs w:val="22"/>
        </w:rPr>
        <w:t xml:space="preserve">si valuti l'opportunità </w:t>
      </w:r>
      <w:bookmarkEnd w:id="282"/>
      <w:r w:rsidRPr="00C55F55">
        <w:rPr>
          <w:rFonts w:cs="Arial"/>
          <w:szCs w:val="22"/>
        </w:rPr>
        <w:t>di coordinare e consolidare in un testo unico o comunque in un idoneo contesto normativo la complessiva disciplina della tassazione immobiliare, curandone in particolare una più stretta rispondenza ai princìpi di cui allo “</w:t>
      </w:r>
      <w:r w:rsidRPr="00C55F55">
        <w:rPr>
          <w:rFonts w:cs="Arial"/>
          <w:i/>
          <w:iCs/>
          <w:szCs w:val="22"/>
        </w:rPr>
        <w:t>Statuto del contribuente</w:t>
      </w:r>
      <w:r w:rsidRPr="00C55F55">
        <w:rPr>
          <w:rFonts w:cs="Arial"/>
          <w:szCs w:val="22"/>
        </w:rPr>
        <w:t>”, avendo particolare riguardo ai requisiti di stabilità, certezza e semplificazione della normativa vigente</w:t>
      </w:r>
      <w:r w:rsidRPr="00282E5A">
        <w:rPr>
          <w:rFonts w:cs="Arial"/>
          <w:szCs w:val="22"/>
        </w:rPr>
        <w:t>.</w:t>
      </w:r>
      <w:r>
        <w:rPr>
          <w:rFonts w:cs="Arial"/>
          <w:szCs w:val="22"/>
        </w:rPr>
        <w:t xml:space="preserve"> </w:t>
      </w:r>
      <w:hyperlink w:anchor="premessa05"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ind w:left="567" w:hanging="283"/>
        <w:rPr>
          <w:rFonts w:cs="Arial"/>
          <w:szCs w:val="22"/>
        </w:rPr>
        <w:sectPr w:rsidR="000B33A8" w:rsidSect="000B33A8">
          <w:headerReference w:type="default" r:id="rId302"/>
          <w:footerReference w:type="even" r:id="rId303"/>
          <w:footerReference w:type="default" r:id="rId304"/>
          <w:pgSz w:w="11906" w:h="16838" w:code="9"/>
          <w:pgMar w:top="1985" w:right="1985" w:bottom="1985" w:left="1985" w:header="1134" w:footer="1134" w:gutter="0"/>
          <w:cols w:space="720"/>
          <w:formProt w:val="0"/>
        </w:sectPr>
      </w:pPr>
    </w:p>
    <w:p w:rsidR="000B33A8" w:rsidRPr="00B91F58" w:rsidRDefault="000B33A8" w:rsidP="000B33A8">
      <w:pPr>
        <w:ind w:left="567" w:hanging="283"/>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0006</w:t>
            </w:r>
          </w:p>
        </w:tc>
        <w:tc>
          <w:tcPr>
            <w:tcW w:w="750" w:type="pct"/>
            <w:shd w:val="clear" w:color="auto" w:fill="auto"/>
          </w:tcPr>
          <w:p w:rsidR="000B33A8" w:rsidRPr="00B26E1F" w:rsidRDefault="000B33A8" w:rsidP="000B33A8">
            <w:pPr>
              <w:pStyle w:val="Collegamento"/>
              <w:rPr>
                <w:rFonts w:cs="Arial"/>
              </w:rPr>
            </w:pPr>
            <w:r w:rsidRPr="00B26E1F">
              <w:rPr>
                <w:rFonts w:cs="Arial"/>
              </w:rPr>
              <w:t>TU 3-</w:t>
            </w:r>
            <w:r w:rsidRPr="00B26E1F">
              <w:rPr>
                <w:rFonts w:cs="Arial"/>
                <w:i/>
              </w:rPr>
              <w:t>bis</w:t>
            </w:r>
            <w:r w:rsidRPr="00B26E1F">
              <w:rPr>
                <w:rFonts w:cs="Arial"/>
              </w:rPr>
              <w:t>-B</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05" w:history="1">
              <w:r w:rsidR="000B33A8" w:rsidRPr="00B26E1F">
                <w:rPr>
                  <w:rStyle w:val="Collegamentoipertestuale"/>
                  <w:rFonts w:cs="Arial"/>
                </w:rPr>
                <w:t>pdl</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Elezione Camera dei Deputati</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06" w:anchor="data.20150422.com48.bollettino.sede00010.tit00010" w:history="1">
              <w:r w:rsidR="000B33A8">
                <w:rPr>
                  <w:rStyle w:val="Collegamentoipertestuale"/>
                </w:rPr>
                <w:t>22/04/2015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6-</w:t>
            </w:r>
            <w:r w:rsidRPr="00B26E1F">
              <w:rPr>
                <w:rFonts w:cs="Arial"/>
                <w:b/>
                <w:bCs/>
                <w:i/>
                <w:sz w:val="24"/>
              </w:rPr>
              <w:t>BIS</w:t>
            </w:r>
            <w:r w:rsidRPr="00B26E1F">
              <w:rPr>
                <w:rFonts w:cs="Arial"/>
                <w:b/>
                <w:bCs/>
                <w:sz w:val="24"/>
              </w:rPr>
              <w:t>,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283" w:name="premessa06"/>
            <w:r w:rsidRPr="00B26E1F">
              <w:rPr>
                <w:rFonts w:cs="Arial"/>
                <w:b/>
                <w:color w:val="0000FF"/>
                <w:sz w:val="24"/>
                <w:szCs w:val="24"/>
              </w:rPr>
              <w:t>Premessa</w:t>
            </w:r>
            <w:bookmarkEnd w:id="283"/>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1 Condizione, 3 Osservazioni</w:t>
            </w:r>
          </w:p>
        </w:tc>
      </w:tr>
      <w:tr w:rsidR="000B33A8" w:rsidRPr="008B2DCE" w:rsidTr="00B26E1F">
        <w:trPr>
          <w:trHeight w:val="112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6a01" w:history="1">
              <w:r w:rsidR="000B33A8" w:rsidRPr="00D40FBA">
                <w:rPr>
                  <w:rStyle w:val="Collegamentoipertestuale"/>
                </w:rPr>
                <w:t>1</w:t>
              </w:r>
            </w:hyperlink>
            <w:r w:rsidR="000B33A8" w:rsidRPr="00B26E1F">
              <w:rPr>
                <w:rFonts w:cs="Arial"/>
              </w:rPr>
              <w:t xml:space="preserve"> – Coordinamento con lavori legislativi in corso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Efficacia delle disposizioni posticipata al 1°luglio 2016, in congiunzione con il progetto di riforma costituzionale all’esame del Parlamento.</w:t>
            </w:r>
          </w:p>
        </w:tc>
      </w:tr>
      <w:tr w:rsidR="000B33A8" w:rsidRPr="008B2DCE" w:rsidTr="00B26E1F">
        <w:trPr>
          <w:trHeight w:val="89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6a02" w:history="1">
              <w:r w:rsidR="000B33A8" w:rsidRPr="00812559">
                <w:rPr>
                  <w:rStyle w:val="Collegamentoipertestuale"/>
                </w:rPr>
                <w:t>2</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Contiene una delega al Governo per l’individuazione dei collegi uninominali.</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6a03" w:history="1">
              <w:r w:rsidR="000B33A8" w:rsidRPr="00812559">
                <w:rPr>
                  <w:rStyle w:val="Collegamentoipertestuale"/>
                </w:rPr>
                <w:t>3</w:t>
              </w:r>
            </w:hyperlink>
            <w:r w:rsidR="000B33A8" w:rsidRPr="00B26E1F">
              <w:rPr>
                <w:rFonts w:cs="Arial"/>
              </w:rPr>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L’articolo 1 anticipa alcuni contenuti dei successivi articoli 2 e 4, con la conseguenza che alcune fattispecie verrebbero disciplinate da più disposizioni di legge.</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6a04" w:history="1">
              <w:r w:rsidR="000B33A8" w:rsidRPr="00812559">
                <w:rPr>
                  <w:rStyle w:val="Collegamentoipertestuale"/>
                </w:rPr>
                <w:t>4</w:t>
              </w:r>
            </w:hyperlink>
            <w:r w:rsidR="000B33A8" w:rsidRPr="00B26E1F">
              <w:rPr>
                <w:rFonts w:cs="Arial"/>
              </w:rPr>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70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06a05" w:history="1">
              <w:r w:rsidR="000B33A8" w:rsidRPr="00812559">
                <w:rPr>
                  <w:rStyle w:val="Collegamentoipertestuale"/>
                </w:rPr>
                <w:t>5</w:t>
              </w:r>
            </w:hyperlink>
            <w:r w:rsidR="000B33A8" w:rsidRPr="00B26E1F">
              <w:rPr>
                <w:rFonts w:cs="Arial"/>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Assenza di una disciplina espressa in merito ad alcuni aspetti riguardanti il deposito dei contrassegni dei partiti politici partecipanti alle elezioni.</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7D4070">
            <w:pPr>
              <w:spacing w:before="100" w:beforeAutospacing="1" w:after="100" w:afterAutospacing="1"/>
              <w:ind w:firstLine="0"/>
              <w:rPr>
                <w:rFonts w:cs="Arial"/>
              </w:rPr>
            </w:pPr>
            <w:hyperlink w:anchor="S06a06" w:history="1">
              <w:r w:rsidR="000B33A8" w:rsidRPr="00B26E1F">
                <w:rPr>
                  <w:rStyle w:val="Collegamentoipertestuale"/>
                  <w:rFonts w:cs="Arial"/>
                </w:rPr>
                <w:t>6</w:t>
              </w:r>
            </w:hyperlink>
            <w:r w:rsidR="000B33A8" w:rsidRPr="00B26E1F">
              <w:rPr>
                <w:rStyle w:val="Collegamentoipertestuale"/>
                <w:rFonts w:cs="Arial"/>
              </w:rPr>
              <w:t xml:space="preserve"> </w:t>
            </w:r>
            <w:r w:rsidR="000B33A8">
              <w:t xml:space="preserve">– </w:t>
            </w:r>
            <w:r w:rsidR="000B33A8" w:rsidRPr="00B26E1F">
              <w:rPr>
                <w:rFonts w:cs="Arial"/>
              </w:rPr>
              <w:t>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7D4070">
            <w:pPr>
              <w:spacing w:before="100" w:beforeAutospacing="1" w:after="100" w:afterAutospacing="1"/>
              <w:ind w:firstLine="0"/>
              <w:rPr>
                <w:rFonts w:cs="Arial"/>
              </w:rPr>
            </w:pPr>
            <w:r w:rsidRPr="00B26E1F">
              <w:rPr>
                <w:rFonts w:cs="Arial"/>
              </w:rPr>
              <w:t>Osservazione 2;</w:t>
            </w:r>
          </w:p>
          <w:p w:rsidR="000B33A8" w:rsidRPr="00B26E1F" w:rsidRDefault="000B33A8" w:rsidP="007D4070">
            <w:pPr>
              <w:spacing w:before="100" w:beforeAutospacing="1" w:after="100" w:afterAutospacing="1"/>
              <w:ind w:firstLine="0"/>
              <w:rPr>
                <w:rFonts w:cs="Arial"/>
              </w:rPr>
            </w:pPr>
            <w:r w:rsidRPr="00B26E1F">
              <w:rPr>
                <w:rFonts w:cs="Arial"/>
              </w:rPr>
              <w:t>Osservazione 3.</w:t>
            </w:r>
          </w:p>
        </w:tc>
      </w:tr>
    </w:tbl>
    <w:p w:rsidR="00A87AE9" w:rsidRDefault="00A87AE9"/>
    <w:tbl>
      <w:tblPr>
        <w:tblW w:w="5000" w:type="pct"/>
        <w:jc w:val="center"/>
        <w:tblLook w:val="01E0" w:firstRow="1" w:lastRow="1" w:firstColumn="1" w:lastColumn="1" w:noHBand="0" w:noVBand="0"/>
      </w:tblPr>
      <w:tblGrid>
        <w:gridCol w:w="4076"/>
        <w:gridCol w:w="4076"/>
      </w:tblGrid>
      <w:tr w:rsidR="000B33A8" w:rsidRPr="008B2DCE" w:rsidTr="00B26E1F">
        <w:trPr>
          <w:trHeight w:val="126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6a07" w:history="1">
              <w:r w:rsidR="000B33A8" w:rsidRPr="00B26E1F">
                <w:rPr>
                  <w:rStyle w:val="Collegamentoipertestuale"/>
                  <w:rFonts w:cs="Arial"/>
                </w:rPr>
                <w:t>7</w:t>
              </w:r>
            </w:hyperlink>
            <w:r w:rsidR="000B33A8" w:rsidRPr="00B26E1F">
              <w:rPr>
                <w:rFonts w:cs="Arial"/>
              </w:rPr>
              <w:t xml:space="preserve"> – 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Disposizione che si limita a richiamare una disposizione vigente, peraltro di rango sovraordinato.</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7D4070">
            <w:pPr>
              <w:spacing w:before="100" w:beforeAutospacing="1" w:after="100" w:afterAutospacing="1"/>
              <w:ind w:firstLine="0"/>
              <w:rPr>
                <w:rFonts w:cs="Arial"/>
              </w:rPr>
            </w:pPr>
            <w:hyperlink w:anchor="S06a08" w:history="1">
              <w:r w:rsidR="000B33A8" w:rsidRPr="00B26E1F">
                <w:rPr>
                  <w:rStyle w:val="Collegamentoipertestuale"/>
                  <w:rFonts w:cs="Arial"/>
                </w:rPr>
                <w:t>8</w:t>
              </w:r>
            </w:hyperlink>
            <w:r w:rsidR="000B33A8" w:rsidRPr="00B26E1F">
              <w:rPr>
                <w:rFonts w:cs="Arial"/>
              </w:rPr>
              <w:t xml:space="preserve"> – Disposizioni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t>La formulazione delle disposizioni di delega è in linea con quanto previsto dalla circolare tecnica sui testi normativi e dalla giurisprudenza del Comitato.</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6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6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bl>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p>
        </w:tc>
      </w:tr>
    </w:tbl>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284" w:name="S06a01"/>
      <w:r w:rsidRPr="00B91F58">
        <w:rPr>
          <w:rFonts w:cs="Arial"/>
          <w:szCs w:val="22"/>
        </w:rPr>
        <w:t xml:space="preserve">1 </w:t>
      </w:r>
      <w:bookmarkEnd w:id="284"/>
      <w:r w:rsidRPr="00B91F58">
        <w:rPr>
          <w:rFonts w:cs="Arial"/>
          <w:szCs w:val="22"/>
        </w:rPr>
        <w:t xml:space="preserve">– </w:t>
      </w:r>
      <w:hyperlink w:anchor="premessa06" w:history="1">
        <w:r w:rsidRPr="00B91F58">
          <w:rPr>
            <w:rStyle w:val="Collegamentoipertestuale"/>
            <w:rFonts w:cs="Arial"/>
            <w:b/>
            <w:szCs w:val="22"/>
          </w:rPr>
          <w:t>Premessa</w:t>
        </w:r>
        <w:r w:rsidRPr="00B91F58">
          <w:rPr>
            <w:rStyle w:val="Collegamentoipertestuale"/>
            <w:rFonts w:cs="Arial"/>
            <w:szCs w:val="22"/>
          </w:rPr>
          <w:t>:</w:t>
        </w:r>
      </w:hyperlink>
      <w:r>
        <w:rPr>
          <w:rStyle w:val="Collegamentoipertestuale"/>
          <w:rFonts w:cs="Arial"/>
          <w:szCs w:val="22"/>
        </w:rPr>
        <w:t xml:space="preserve"> </w:t>
      </w:r>
      <w:r w:rsidRPr="00B91F58">
        <w:rPr>
          <w:rFonts w:cs="Arial"/>
          <w:szCs w:val="22"/>
        </w:rPr>
        <w:t>«</w:t>
      </w:r>
      <w:r w:rsidRPr="00DD6A87">
        <w:rPr>
          <w:rFonts w:cs="Arial"/>
          <w:szCs w:val="22"/>
        </w:rPr>
        <w:t xml:space="preserve">la riforma elettorale diverrà </w:t>
      </w:r>
      <w:r w:rsidRPr="00DD6A87">
        <w:rPr>
          <w:rFonts w:cs="Arial"/>
          <w:b/>
          <w:szCs w:val="22"/>
        </w:rPr>
        <w:t>applicabile il 1</w:t>
      </w:r>
      <w:r w:rsidRPr="00DD6A87">
        <w:rPr>
          <w:rFonts w:cs="Arial"/>
          <w:b/>
          <w:szCs w:val="22"/>
          <w:vertAlign w:val="superscript"/>
        </w:rPr>
        <w:t>o</w:t>
      </w:r>
      <w:r w:rsidRPr="00DD6A87">
        <w:rPr>
          <w:rFonts w:cs="Arial"/>
          <w:b/>
          <w:szCs w:val="22"/>
        </w:rPr>
        <w:t xml:space="preserve"> luglio 2016</w:t>
      </w:r>
      <w:r w:rsidRPr="00DD6A87">
        <w:rPr>
          <w:rFonts w:cs="Arial"/>
          <w:szCs w:val="22"/>
        </w:rPr>
        <w:t xml:space="preserve"> e deve essere letta </w:t>
      </w:r>
      <w:r w:rsidRPr="00DD6A87">
        <w:rPr>
          <w:rFonts w:cs="Arial"/>
          <w:b/>
          <w:szCs w:val="22"/>
        </w:rPr>
        <w:t>in congiunzione con il progetto di riforma costituzionale attualmente all'esame del Parlamento</w:t>
      </w:r>
      <w:r w:rsidRPr="00DD6A87">
        <w:rPr>
          <w:rFonts w:cs="Arial"/>
          <w:szCs w:val="22"/>
        </w:rPr>
        <w:t>. Ove l’</w:t>
      </w:r>
      <w:r w:rsidRPr="00DD6A87">
        <w:rPr>
          <w:rFonts w:cs="Arial"/>
          <w:i/>
          <w:iCs/>
          <w:szCs w:val="22"/>
        </w:rPr>
        <w:t>iter</w:t>
      </w:r>
      <w:r w:rsidRPr="00DD6A87">
        <w:rPr>
          <w:rFonts w:cs="Arial"/>
          <w:szCs w:val="22"/>
        </w:rPr>
        <w:t xml:space="preserve"> di approvazione del disegno di legge di riforma costituzionale non fosse concluso alla data del 1</w:t>
      </w:r>
      <w:r w:rsidRPr="00DD6A87">
        <w:rPr>
          <w:rFonts w:cs="Arial"/>
          <w:szCs w:val="22"/>
          <w:vertAlign w:val="superscript"/>
        </w:rPr>
        <w:t>o</w:t>
      </w:r>
      <w:r w:rsidRPr="00DD6A87">
        <w:rPr>
          <w:rFonts w:cs="Arial"/>
          <w:szCs w:val="22"/>
        </w:rPr>
        <w:t xml:space="preserve"> luglio 2016, sarebbero in vigore per la Camera e per il Senato due sistemi elettorali tra loro differenti: un sistema, come delineato dal testo unificato in esame, con premio di maggioranza per la Camera ed un sistema, come risulterebbe dal disposto dalla sentenza della Corte costituzionale n.</w:t>
      </w:r>
      <w:r w:rsidRPr="00DD6A87">
        <w:rPr>
          <w:rFonts w:cs="Arial"/>
          <w:szCs w:val="22"/>
        </w:rPr>
        <w:t> </w:t>
      </w:r>
      <w:r w:rsidRPr="00DD6A87">
        <w:rPr>
          <w:rFonts w:cs="Arial"/>
          <w:szCs w:val="22"/>
        </w:rPr>
        <w:t>1 del 2014, a carattere proporzionale per il Senato, ferma restando, in entrambi i casi, l'applicazione delle rispettive soglie di sbarramento</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285" w:name="S06a02"/>
      <w:r w:rsidRPr="00B91F58">
        <w:rPr>
          <w:rFonts w:cs="Arial"/>
          <w:szCs w:val="22"/>
        </w:rPr>
        <w:t xml:space="preserve">2 </w:t>
      </w:r>
      <w:bookmarkEnd w:id="285"/>
      <w:r w:rsidRPr="00B91F58">
        <w:rPr>
          <w:rFonts w:cs="Arial"/>
          <w:szCs w:val="22"/>
        </w:rPr>
        <w:t xml:space="preserve">– </w:t>
      </w:r>
      <w:hyperlink w:anchor="premessa0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886265">
        <w:rPr>
          <w:rFonts w:cs="Arial"/>
          <w:szCs w:val="22"/>
        </w:rPr>
        <w:t xml:space="preserve">la proposta di legge è </w:t>
      </w:r>
      <w:r w:rsidRPr="00886265">
        <w:rPr>
          <w:rFonts w:cs="Arial"/>
          <w:b/>
          <w:szCs w:val="22"/>
        </w:rPr>
        <w:t>omogenea,</w:t>
      </w:r>
      <w:r w:rsidRPr="00886265">
        <w:rPr>
          <w:rFonts w:cs="Arial"/>
          <w:szCs w:val="22"/>
        </w:rPr>
        <w:t xml:space="preserve"> in quanto reca una riforma della disciplina del sistema elettorale della Camera dei deputati. La proposta, premesse le innovazioni che essa stabilisce (articolo 1), innova il sistema elettorale apportando modificazioni al testo unico elettorale, n.</w:t>
      </w:r>
      <w:r>
        <w:rPr>
          <w:rFonts w:cs="Arial"/>
          <w:szCs w:val="22"/>
        </w:rPr>
        <w:t xml:space="preserve"> </w:t>
      </w:r>
      <w:r w:rsidRPr="00886265">
        <w:rPr>
          <w:rFonts w:cs="Arial"/>
          <w:szCs w:val="22"/>
        </w:rPr>
        <w:t>361 del 1957 (di seguito: TUE) ed alla legge elettorale per la circoscrizione estero, n.</w:t>
      </w:r>
      <w:r>
        <w:rPr>
          <w:rFonts w:cs="Arial"/>
          <w:szCs w:val="22"/>
        </w:rPr>
        <w:t xml:space="preserve"> </w:t>
      </w:r>
      <w:r w:rsidRPr="00886265">
        <w:rPr>
          <w:rFonts w:cs="Arial"/>
          <w:szCs w:val="22"/>
        </w:rPr>
        <w:t xml:space="preserve">459 del 2001 (articolo 2), opera pochi ulteriori correttivi di minore rilievo al medesimo </w:t>
      </w:r>
      <w:r w:rsidRPr="00886265">
        <w:rPr>
          <w:rFonts w:cs="Arial"/>
          <w:szCs w:val="22"/>
        </w:rPr>
        <w:lastRenderedPageBreak/>
        <w:t>TUE (articolo 3), infine delega il Governo a individuare i collegi plurinominali (articolo 4)</w:t>
      </w:r>
      <w:r>
        <w:t xml:space="preserve"> </w:t>
      </w:r>
      <w:r w:rsidRPr="00B91F58">
        <w:rPr>
          <w:rFonts w:cs="Arial"/>
          <w:szCs w:val="22"/>
        </w:rPr>
        <w:t>»;</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286" w:name="S06a03"/>
      <w:r w:rsidRPr="00B91F58">
        <w:rPr>
          <w:rFonts w:cs="Arial"/>
          <w:szCs w:val="22"/>
        </w:rPr>
        <w:t xml:space="preserve">3 </w:t>
      </w:r>
      <w:bookmarkEnd w:id="286"/>
      <w:r w:rsidRPr="00B91F58">
        <w:rPr>
          <w:rFonts w:cs="Arial"/>
          <w:szCs w:val="22"/>
        </w:rPr>
        <w:t xml:space="preserve">– </w:t>
      </w:r>
      <w:hyperlink w:anchor="premessa0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B130F">
        <w:t xml:space="preserve"> </w:t>
      </w:r>
      <w:r w:rsidRPr="009B130F">
        <w:rPr>
          <w:rFonts w:cs="Arial"/>
          <w:szCs w:val="22"/>
        </w:rPr>
        <w:t xml:space="preserve">l'articolo 1, inserito nel corso dell'esame al Senato, </w:t>
      </w:r>
      <w:r w:rsidRPr="009B130F">
        <w:rPr>
          <w:rFonts w:cs="Arial"/>
          <w:b/>
          <w:szCs w:val="22"/>
        </w:rPr>
        <w:t>anticipa, con tecnica normativa inusuale, taluni contenuti degli articoli 2 e 4</w:t>
      </w:r>
      <w:r w:rsidRPr="009B130F">
        <w:rPr>
          <w:rFonts w:cs="Arial"/>
          <w:szCs w:val="22"/>
        </w:rPr>
        <w:t xml:space="preserve"> della proposta di legge, talvolta riassumendoli. Questa tecnica diverge da quella consueta secondo cui i primi articoli di un testo normativo ne indicano elementi generali quali: oggetto, finalità, princìpi e/o campo di applicazione: nel caso in esame, infatti, vengono anticipate disposizioni che risultano replicate successivamente nel corpo della legge in modo più specifico; tale tecnica normativa appare suscettibile di creare talune difficoltà in fase applicativa e interpretativa, in relazione a fattispecie che verrebbero ad essere disciplinate da più disposizioni in ipotesi di non perfetto coordinamento, nonché in caso di emendamenti o future modificazioni</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287" w:name="S06a04"/>
      <w:r w:rsidRPr="00B91F58">
        <w:rPr>
          <w:rFonts w:cs="Arial"/>
          <w:szCs w:val="22"/>
        </w:rPr>
        <w:t xml:space="preserve">4 </w:t>
      </w:r>
      <w:bookmarkEnd w:id="287"/>
      <w:r w:rsidRPr="00B91F58">
        <w:rPr>
          <w:rFonts w:cs="Arial"/>
          <w:szCs w:val="22"/>
        </w:rPr>
        <w:t xml:space="preserve">– </w:t>
      </w:r>
      <w:hyperlink w:anchor="premessa0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B130F">
        <w:rPr>
          <w:rFonts w:cs="Arial"/>
          <w:szCs w:val="22"/>
        </w:rPr>
        <w:t xml:space="preserve">una carenza di </w:t>
      </w:r>
      <w:r w:rsidRPr="009B130F">
        <w:rPr>
          <w:rFonts w:cs="Arial"/>
          <w:b/>
          <w:szCs w:val="22"/>
        </w:rPr>
        <w:t>coordinamento intern</w:t>
      </w:r>
      <w:r w:rsidRPr="002E1E29">
        <w:rPr>
          <w:rFonts w:cs="Arial"/>
          <w:b/>
          <w:szCs w:val="22"/>
        </w:rPr>
        <w:t>o</w:t>
      </w:r>
      <w:r w:rsidRPr="009B130F">
        <w:rPr>
          <w:rFonts w:cs="Arial"/>
          <w:szCs w:val="22"/>
        </w:rPr>
        <w:t xml:space="preserve"> si riscontra nella disposizione concernente le operazioni dell'Ufficio centrale circoscrizionale di Aosta (articolo 93, secondo comma, lettera </w:t>
      </w:r>
      <w:r w:rsidRPr="009B130F">
        <w:rPr>
          <w:rFonts w:cs="Arial"/>
          <w:i/>
          <w:iCs/>
          <w:szCs w:val="22"/>
        </w:rPr>
        <w:t>c)</w:t>
      </w:r>
      <w:r w:rsidRPr="009B130F">
        <w:rPr>
          <w:rFonts w:cs="Arial"/>
          <w:szCs w:val="22"/>
        </w:rPr>
        <w:t xml:space="preserve"> del TUE) ove è stata inserita una disposizione sui seggi proporzionali provvisoriamente assegnati che riguarda invece la Regione Trentino-Alto Adige. Tale disposizione appare comunque applicabile dall'Ufficio centrale circoscrizionale di Trento, per effetto di un rinvio, ma dovrebbe comunque essere più idoneamente collocata alla fine del comma 3 dell'articolo 93-</w:t>
      </w:r>
      <w:r w:rsidRPr="009B130F">
        <w:rPr>
          <w:rFonts w:cs="Arial"/>
          <w:i/>
          <w:iCs/>
          <w:szCs w:val="22"/>
        </w:rPr>
        <w:t>quater</w:t>
      </w:r>
      <w:r w:rsidRPr="00B91F58">
        <w:rPr>
          <w:rFonts w:cs="Arial"/>
          <w:szCs w:val="22"/>
        </w:rPr>
        <w:t>»</w:t>
      </w:r>
      <w:r>
        <w:rPr>
          <w:rFonts w:cs="Arial"/>
          <w:szCs w:val="22"/>
        </w:rPr>
        <w:t xml:space="preserve"> </w:t>
      </w:r>
      <w:r w:rsidRPr="00B91F58">
        <w:rPr>
          <w:rFonts w:cs="Arial"/>
          <w:szCs w:val="22"/>
        </w:rPr>
        <w:t>(</w:t>
      </w:r>
      <w:hyperlink w:anchor="S06o01"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288" w:name="S06a05"/>
      <w:r w:rsidRPr="00B91F58">
        <w:rPr>
          <w:rFonts w:cs="Arial"/>
          <w:szCs w:val="22"/>
        </w:rPr>
        <w:t xml:space="preserve">5 </w:t>
      </w:r>
      <w:bookmarkEnd w:id="288"/>
      <w:r w:rsidRPr="00B91F58">
        <w:rPr>
          <w:rFonts w:cs="Arial"/>
          <w:szCs w:val="22"/>
        </w:rPr>
        <w:t xml:space="preserve">– </w:t>
      </w:r>
      <w:hyperlink w:anchor="premessa0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B32B94">
        <w:rPr>
          <w:rFonts w:cs="Arial"/>
          <w:szCs w:val="22"/>
        </w:rPr>
        <w:t>per poter conseguire una maggiore efficacia nel riordinamento della legislazione vigente, alcune fattispecie appaiono bisognose di essere disciplinate espressamente, anche al fine di ridurre gli spazi affidati all'interpretazione, in sede sia amministrativa sia giurisdizionale, e ciò soprattutto in una materia – quella elettorale – fisiologicamente oggetto di numerose controversie; ciò si riscontra nel seguente caso: il nuovo articolo 14 del TUE, nel testo modificato al Senato, prevede che i partiti depositino, oltre al contrassegno e al programma, altresì «il proprio statuto di cui all'articolo 3 del decreto-legge 28 dicembre 2013, n.</w:t>
      </w:r>
      <w:r>
        <w:rPr>
          <w:rFonts w:cs="Arial"/>
          <w:szCs w:val="22"/>
        </w:rPr>
        <w:t xml:space="preserve"> </w:t>
      </w:r>
      <w:r w:rsidRPr="00B32B94">
        <w:rPr>
          <w:rFonts w:cs="Arial"/>
          <w:szCs w:val="22"/>
        </w:rPr>
        <w:t>149, convertito, con modificazioni, dalla legge 21 febbraio 2014, n.</w:t>
      </w:r>
      <w:r>
        <w:rPr>
          <w:rFonts w:cs="Arial"/>
          <w:szCs w:val="22"/>
        </w:rPr>
        <w:t xml:space="preserve"> </w:t>
      </w:r>
      <w:r w:rsidRPr="00B32B94">
        <w:rPr>
          <w:rFonts w:cs="Arial"/>
          <w:szCs w:val="22"/>
        </w:rPr>
        <w:t xml:space="preserve">13» (detto articolo determina i requisiti dello statuto dei partiti ai fini dell'accesso alle forme di contribuzione previste a seguito dell'abolizione del finanziamento pubblico: nel vigente quadro normativo l'obbligo per i partiti di </w:t>
      </w:r>
      <w:r w:rsidRPr="00B32B94">
        <w:rPr>
          <w:rFonts w:cs="Arial"/>
          <w:szCs w:val="22"/>
        </w:rPr>
        <w:lastRenderedPageBreak/>
        <w:t xml:space="preserve">dotarsi di uno statuto è requisito necessario esclusivamente ai predetti fini). La disposizione in esame: </w:t>
      </w:r>
    </w:p>
    <w:p w:rsidR="000B33A8" w:rsidRDefault="000B33A8" w:rsidP="000B33A8">
      <w:pPr>
        <w:rPr>
          <w:rFonts w:cs="Arial"/>
          <w:szCs w:val="22"/>
        </w:rPr>
      </w:pPr>
      <w:r w:rsidRPr="00B32B94">
        <w:rPr>
          <w:rFonts w:cs="Arial"/>
          <w:szCs w:val="22"/>
        </w:rPr>
        <w:t xml:space="preserve">non reca una disciplina espressa in ordine alla verifica della presenza nello statuto dei requisiti indicati dal sopra citato articolo 3; </w:t>
      </w:r>
    </w:p>
    <w:p w:rsidR="000B33A8" w:rsidRDefault="000B33A8" w:rsidP="000B33A8">
      <w:pPr>
        <w:rPr>
          <w:rFonts w:cs="Arial"/>
          <w:szCs w:val="22"/>
        </w:rPr>
      </w:pPr>
      <w:r w:rsidRPr="00B32B94">
        <w:rPr>
          <w:rFonts w:cs="Arial"/>
          <w:szCs w:val="22"/>
        </w:rPr>
        <w:t xml:space="preserve">non disciplina le conseguenze del mancato deposito dello statuto né – più in generale – chiarisce se lo statuto sia un requisito obbligatorio anche per la partecipazione alle elezioni; </w:t>
      </w:r>
    </w:p>
    <w:p w:rsidR="000B33A8" w:rsidRDefault="000B33A8" w:rsidP="000B33A8">
      <w:pPr>
        <w:rPr>
          <w:rFonts w:cs="Arial"/>
          <w:szCs w:val="22"/>
        </w:rPr>
      </w:pPr>
      <w:r w:rsidRPr="00B32B94">
        <w:rPr>
          <w:rFonts w:cs="Arial"/>
          <w:szCs w:val="22"/>
        </w:rPr>
        <w:t>non prevede una procedura per la sanatoria di eventuali irregolarità connesse al deposito dello statuto che possono pregiudicare la partecipazione del partito o del gruppo politico organizzato alle elezioni, come invece previsto per le irregolarità connesse al deposito del contrassegno (articolo 16 del TUE)</w:t>
      </w:r>
      <w:r>
        <w:rPr>
          <w:rFonts w:cs="Arial"/>
          <w:szCs w:val="22"/>
        </w:rPr>
        <w:t xml:space="preserve"> </w:t>
      </w:r>
      <w:r w:rsidRPr="00B91F58">
        <w:rPr>
          <w:rFonts w:cs="Arial"/>
          <w:szCs w:val="22"/>
        </w:rPr>
        <w:t>»</w:t>
      </w:r>
      <w:r>
        <w:rPr>
          <w:rFonts w:cs="Arial"/>
          <w:szCs w:val="22"/>
        </w:rPr>
        <w:t xml:space="preserve"> </w:t>
      </w:r>
      <w:r w:rsidRPr="00B91F58">
        <w:rPr>
          <w:rFonts w:cs="Arial"/>
          <w:szCs w:val="22"/>
        </w:rPr>
        <w:t>(</w:t>
      </w:r>
      <w:hyperlink w:anchor="S06c01" w:history="1">
        <w:r>
          <w:rPr>
            <w:rStyle w:val="Collegamentoipertestuale"/>
            <w:rFonts w:cs="Arial"/>
            <w:b/>
            <w:szCs w:val="22"/>
          </w:rPr>
          <w:t>conseguente condizione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289" w:name="S06a06"/>
      <w:r w:rsidRPr="00B91F58">
        <w:rPr>
          <w:rFonts w:cs="Arial"/>
          <w:szCs w:val="22"/>
        </w:rPr>
        <w:t xml:space="preserve">6 </w:t>
      </w:r>
      <w:bookmarkEnd w:id="289"/>
      <w:r w:rsidRPr="00B91F58">
        <w:rPr>
          <w:rFonts w:cs="Arial"/>
          <w:szCs w:val="22"/>
        </w:rPr>
        <w:t xml:space="preserve">– </w:t>
      </w:r>
      <w:hyperlink w:anchor="premessa0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139D8">
        <w:rPr>
          <w:rFonts w:cs="Arial"/>
          <w:szCs w:val="22"/>
        </w:rPr>
        <w:t xml:space="preserve">la proposta di legge è caratterizzata da un alto grado di coerenza e uniformità nell'uso della </w:t>
      </w:r>
      <w:r w:rsidRPr="006139D8">
        <w:rPr>
          <w:rFonts w:cs="Arial"/>
          <w:b/>
          <w:szCs w:val="22"/>
        </w:rPr>
        <w:t>terminologia</w:t>
      </w:r>
      <w:r w:rsidRPr="006139D8">
        <w:rPr>
          <w:rFonts w:cs="Arial"/>
          <w:szCs w:val="22"/>
        </w:rPr>
        <w:t xml:space="preserve">, anche per effetto delle numerose modifiche di coordinamento apportate al TUE; tuttavia, in qualche caso si riscontrano </w:t>
      </w:r>
      <w:r w:rsidRPr="006139D8">
        <w:rPr>
          <w:rFonts w:cs="Arial"/>
          <w:b/>
          <w:szCs w:val="22"/>
        </w:rPr>
        <w:t>imprecisioni o incoerenze nelle formulazioni testuali</w:t>
      </w:r>
      <w:r w:rsidRPr="006139D8">
        <w:rPr>
          <w:rFonts w:cs="Arial"/>
          <w:szCs w:val="22"/>
        </w:rPr>
        <w:t xml:space="preserve">; limitandosi, come detto, ad esaminare in seconda lettura le parti modificate dal Senato: </w:t>
      </w:r>
    </w:p>
    <w:p w:rsidR="000B33A8" w:rsidRDefault="000B33A8" w:rsidP="000B33A8">
      <w:pPr>
        <w:rPr>
          <w:rFonts w:cs="Arial"/>
          <w:szCs w:val="22"/>
        </w:rPr>
      </w:pPr>
      <w:r w:rsidRPr="006139D8">
        <w:rPr>
          <w:rFonts w:cs="Arial"/>
          <w:i/>
          <w:iCs/>
          <w:szCs w:val="22"/>
        </w:rPr>
        <w:t>a)</w:t>
      </w:r>
      <w:r w:rsidRPr="006139D8">
        <w:rPr>
          <w:rFonts w:cs="Arial"/>
          <w:szCs w:val="22"/>
        </w:rPr>
        <w:t xml:space="preserve"> l'articolo 53 del TUE, riguardante il voto </w:t>
      </w:r>
      <w:r w:rsidRPr="006139D8">
        <w:rPr>
          <w:rFonts w:cs="Arial"/>
          <w:i/>
          <w:iCs/>
          <w:szCs w:val="22"/>
        </w:rPr>
        <w:t>in loco</w:t>
      </w:r>
      <w:r w:rsidRPr="006139D8">
        <w:rPr>
          <w:rFonts w:cs="Arial"/>
          <w:szCs w:val="22"/>
        </w:rPr>
        <w:t xml:space="preserve"> negli ospedali minori, attualmente fissa quali sono i compiti del presidente di sezione «</w:t>
      </w:r>
      <w:r w:rsidRPr="006139D8">
        <w:rPr>
          <w:rFonts w:cs="Arial"/>
          <w:i/>
          <w:iCs/>
          <w:szCs w:val="22"/>
        </w:rPr>
        <w:t>nella cui circoscrizione è posto il luogo di cura</w:t>
      </w:r>
      <w:r w:rsidRPr="006139D8">
        <w:rPr>
          <w:rFonts w:cs="Arial"/>
          <w:szCs w:val="22"/>
        </w:rPr>
        <w:t xml:space="preserve">»: la proposta di legge in esame (articolo 2, comma 19) sostituisce </w:t>
      </w:r>
      <w:r w:rsidRPr="006139D8">
        <w:rPr>
          <w:rFonts w:cs="Arial"/>
          <w:b/>
          <w:szCs w:val="22"/>
        </w:rPr>
        <w:t>l'espressione</w:t>
      </w:r>
      <w:r w:rsidRPr="006139D8">
        <w:rPr>
          <w:rFonts w:cs="Arial"/>
          <w:szCs w:val="22"/>
        </w:rPr>
        <w:t xml:space="preserve"> «nella cui circoscrizione» con l'espressione «nel cui collegio plurinominale»; tale sostituzione, da un lato, appare equivoca in quanto – nel contesto – la parola «circoscrizione» ha sempre chiaramente indicato il circondario o territorio cui si estende la competenza della sezione, e certamente non la «circoscrizione elettorale» (ora equivalente a una regione), e infatti il testo modificato attribuirebbe i doveri di raccolta del voto al «</w:t>
      </w:r>
      <w:r w:rsidRPr="006139D8">
        <w:rPr>
          <w:rFonts w:cs="Arial"/>
          <w:i/>
          <w:iCs/>
          <w:szCs w:val="22"/>
        </w:rPr>
        <w:t>presidente della sezione elettorale nel cui collegio plurinominale si trova il luogo di cura</w:t>
      </w:r>
      <w:r w:rsidRPr="006139D8">
        <w:rPr>
          <w:rFonts w:cs="Arial"/>
          <w:szCs w:val="22"/>
        </w:rPr>
        <w:t>», dicitura decisamente equivoca se si considera che il collegio è un circondario territoriale più ampio di una sezione e che il riferimento al «collegio plurinominale» non risulterebbe applicabile ai luoghi di cura ubicati nei collegi uninominali (presenti nella Valle d'Aosta e nel Trentino-Alto Adige)</w:t>
      </w:r>
      <w:r>
        <w:rPr>
          <w:rFonts w:cs="Arial"/>
          <w:szCs w:val="22"/>
        </w:rPr>
        <w:t xml:space="preserve"> </w:t>
      </w:r>
      <w:r w:rsidRPr="00B91F58">
        <w:rPr>
          <w:rFonts w:cs="Arial"/>
          <w:szCs w:val="22"/>
        </w:rPr>
        <w:t>(</w:t>
      </w:r>
      <w:hyperlink w:anchor="S06o02" w:history="1">
        <w:r>
          <w:rPr>
            <w:rStyle w:val="Collegamentoipertestuale"/>
            <w:rFonts w:cs="Arial"/>
            <w:b/>
            <w:szCs w:val="22"/>
          </w:rPr>
          <w:t>conseguente osservazione</w:t>
        </w:r>
      </w:hyperlink>
      <w:r w:rsidRPr="00B91F58">
        <w:rPr>
          <w:rFonts w:cs="Arial"/>
          <w:szCs w:val="22"/>
        </w:rPr>
        <w:t>)</w:t>
      </w:r>
      <w:r w:rsidRPr="006139D8">
        <w:rPr>
          <w:rFonts w:cs="Arial"/>
          <w:szCs w:val="22"/>
        </w:rPr>
        <w:t xml:space="preserve">; </w:t>
      </w:r>
    </w:p>
    <w:p w:rsidR="000B33A8" w:rsidRPr="00B91F58" w:rsidRDefault="000B33A8" w:rsidP="000B33A8">
      <w:pPr>
        <w:rPr>
          <w:rFonts w:cs="Arial"/>
          <w:szCs w:val="22"/>
        </w:rPr>
      </w:pPr>
      <w:r w:rsidRPr="006139D8">
        <w:rPr>
          <w:rFonts w:cs="Arial"/>
          <w:i/>
          <w:iCs/>
          <w:szCs w:val="22"/>
        </w:rPr>
        <w:t>b)</w:t>
      </w:r>
      <w:r w:rsidRPr="006139D8">
        <w:rPr>
          <w:rFonts w:cs="Arial"/>
          <w:szCs w:val="22"/>
        </w:rPr>
        <w:t xml:space="preserve"> all'articolo 4, comma 1, della proposta di legge, le lettere </w:t>
      </w:r>
      <w:r w:rsidRPr="006139D8">
        <w:rPr>
          <w:rFonts w:cs="Arial"/>
          <w:i/>
          <w:iCs/>
          <w:szCs w:val="22"/>
        </w:rPr>
        <w:t>d)</w:t>
      </w:r>
      <w:r w:rsidRPr="006139D8">
        <w:rPr>
          <w:rFonts w:cs="Arial"/>
          <w:szCs w:val="22"/>
        </w:rPr>
        <w:t xml:space="preserve"> ed </w:t>
      </w:r>
      <w:r w:rsidRPr="006139D8">
        <w:rPr>
          <w:rFonts w:cs="Arial"/>
          <w:i/>
          <w:iCs/>
          <w:szCs w:val="22"/>
        </w:rPr>
        <w:t>e)</w:t>
      </w:r>
      <w:r w:rsidRPr="006139D8">
        <w:rPr>
          <w:rFonts w:cs="Arial"/>
          <w:szCs w:val="22"/>
        </w:rPr>
        <w:t xml:space="preserve"> </w:t>
      </w:r>
      <w:r w:rsidRPr="006139D8">
        <w:rPr>
          <w:rFonts w:cs="Arial"/>
          <w:b/>
          <w:szCs w:val="22"/>
        </w:rPr>
        <w:t>si riferiscono alle province ma non alle città metropolitane</w:t>
      </w:r>
      <w:r w:rsidRPr="006139D8">
        <w:rPr>
          <w:rFonts w:cs="Arial"/>
          <w:szCs w:val="22"/>
        </w:rPr>
        <w:t>, che in otto casi sono subentrate alle province stesse a seguito dell'entrata in vigore della legge n.</w:t>
      </w:r>
      <w:r>
        <w:rPr>
          <w:rFonts w:cs="Arial"/>
          <w:szCs w:val="22"/>
        </w:rPr>
        <w:t xml:space="preserve"> </w:t>
      </w:r>
      <w:r w:rsidRPr="006139D8">
        <w:rPr>
          <w:rFonts w:cs="Arial"/>
          <w:szCs w:val="22"/>
        </w:rPr>
        <w:t>56 del 2014</w:t>
      </w:r>
      <w:r w:rsidRPr="00B91F58">
        <w:rPr>
          <w:rFonts w:cs="Arial"/>
          <w:szCs w:val="22"/>
        </w:rPr>
        <w:t>»</w:t>
      </w:r>
      <w:r>
        <w:rPr>
          <w:rFonts w:cs="Arial"/>
          <w:szCs w:val="22"/>
        </w:rPr>
        <w:t xml:space="preserve"> </w:t>
      </w:r>
      <w:r w:rsidRPr="00B91F58">
        <w:rPr>
          <w:rFonts w:cs="Arial"/>
          <w:szCs w:val="22"/>
        </w:rPr>
        <w:t>(</w:t>
      </w:r>
      <w:hyperlink w:anchor="S06o03" w:history="1">
        <w:r>
          <w:rPr>
            <w:rStyle w:val="Collegamentoipertestuale"/>
            <w:rFonts w:cs="Arial"/>
            <w:b/>
            <w:szCs w:val="22"/>
          </w:rPr>
          <w:t>conseguente osservazione</w:t>
        </w:r>
      </w:hyperlink>
      <w:r w:rsidRPr="00B91F58">
        <w:rPr>
          <w:rFonts w:cs="Arial"/>
          <w:szCs w:val="22"/>
        </w:rPr>
        <w:t>)</w:t>
      </w:r>
      <w:r>
        <w:rPr>
          <w:rFonts w:cs="Arial"/>
          <w:szCs w:val="22"/>
        </w:rPr>
        <w:t>;</w:t>
      </w:r>
      <w:r w:rsidRPr="00B91F58">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290" w:name="S06a07"/>
      <w:r w:rsidRPr="00B91F58">
        <w:rPr>
          <w:rFonts w:cs="Arial"/>
          <w:szCs w:val="22"/>
        </w:rPr>
        <w:lastRenderedPageBreak/>
        <w:t xml:space="preserve">7 </w:t>
      </w:r>
      <w:bookmarkEnd w:id="290"/>
      <w:r w:rsidRPr="00B91F58">
        <w:rPr>
          <w:rFonts w:cs="Arial"/>
          <w:szCs w:val="22"/>
        </w:rPr>
        <w:t xml:space="preserve">– </w:t>
      </w:r>
      <w:hyperlink w:anchor="premessa0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87EC6">
        <w:rPr>
          <w:rFonts w:cs="Arial"/>
          <w:szCs w:val="22"/>
        </w:rPr>
        <w:t>l'articolo 14</w:t>
      </w:r>
      <w:r w:rsidRPr="00387EC6">
        <w:rPr>
          <w:rFonts w:cs="Arial"/>
          <w:i/>
          <w:iCs/>
          <w:szCs w:val="22"/>
        </w:rPr>
        <w:t>-bis</w:t>
      </w:r>
      <w:r w:rsidRPr="00387EC6">
        <w:rPr>
          <w:rFonts w:cs="Arial"/>
          <w:szCs w:val="22"/>
        </w:rPr>
        <w:t xml:space="preserve"> del TUE (come novellato dall'articolo 2, comma 8, della proposta di legge in esame), prevede che le forze politiche dichiarino, fra l'altro, «il nome e cognome della persona da loro indicata come capo della forza politica», e fa salve le prerogative che l'articolo 92, secondo comma, della Costituzione attribuisce al Presidente della Repubblica: tale previsione – che di per sé parrebbe priva di </w:t>
      </w:r>
      <w:r w:rsidRPr="00387EC6">
        <w:rPr>
          <w:rFonts w:cs="Arial"/>
          <w:b/>
          <w:szCs w:val="22"/>
        </w:rPr>
        <w:t>portata normativa</w:t>
      </w:r>
      <w:r w:rsidRPr="00387EC6">
        <w:rPr>
          <w:rFonts w:cs="Arial"/>
          <w:szCs w:val="22"/>
        </w:rPr>
        <w:t xml:space="preserve"> in quanto si limita a richiamare una disposizione vigente, peraltro di rango sovraordinato – tuttavia nel predetto contesto normativo può essere considerata come finalizzata ad orientare maggiormente la lettura della disposizione in senso costituzionalmente orientato; la previsione è, inoltre, già presente, negli stessi termini benché riferita sia alle liste singole sia alle coalizioni, nel TUE, essendo stata inserita dalla riforma elettorale di cui alla legge n.</w:t>
      </w:r>
      <w:r>
        <w:rPr>
          <w:rFonts w:cs="Arial"/>
          <w:szCs w:val="22"/>
        </w:rPr>
        <w:t xml:space="preserve"> </w:t>
      </w:r>
      <w:r w:rsidRPr="00387EC6">
        <w:rPr>
          <w:rFonts w:cs="Arial"/>
          <w:szCs w:val="22"/>
        </w:rPr>
        <w:t>270 del 2005</w:t>
      </w:r>
      <w:r w:rsidRPr="00B91F58">
        <w:rPr>
          <w:rFonts w:cs="Arial"/>
          <w:szCs w:val="22"/>
        </w:rPr>
        <w:t>»</w:t>
      </w:r>
      <w:r>
        <w:rPr>
          <w:rFonts w:cs="Arial"/>
          <w:szCs w:val="22"/>
        </w:rPr>
        <w:t>;</w:t>
      </w: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291" w:name="S06a08"/>
      <w:r>
        <w:rPr>
          <w:rFonts w:cs="Arial"/>
          <w:szCs w:val="22"/>
        </w:rPr>
        <w:t xml:space="preserve">8 </w:t>
      </w:r>
      <w:bookmarkEnd w:id="291"/>
      <w:r>
        <w:rPr>
          <w:rFonts w:cs="Arial"/>
          <w:szCs w:val="22"/>
        </w:rPr>
        <w:t xml:space="preserve">- </w:t>
      </w:r>
      <w:hyperlink w:anchor="premessa06" w:history="1">
        <w:r w:rsidRPr="00B91F58">
          <w:rPr>
            <w:rStyle w:val="Collegamentoipertestuale"/>
            <w:rFonts w:cs="Arial"/>
            <w:b/>
            <w:szCs w:val="22"/>
          </w:rPr>
          <w:t>Premessa</w:t>
        </w:r>
        <w:r w:rsidRPr="00B91F58">
          <w:rPr>
            <w:rStyle w:val="Collegamentoipertestuale"/>
            <w:rFonts w:cs="Arial"/>
            <w:szCs w:val="22"/>
          </w:rPr>
          <w:t>:</w:t>
        </w:r>
      </w:hyperlink>
      <w:r>
        <w:rPr>
          <w:rStyle w:val="Collegamentoipertestuale"/>
          <w:rFonts w:cs="Arial"/>
          <w:szCs w:val="22"/>
        </w:rPr>
        <w:t xml:space="preserve"> </w:t>
      </w:r>
      <w:r w:rsidRPr="00B91F58">
        <w:rPr>
          <w:rFonts w:cs="Arial"/>
          <w:szCs w:val="22"/>
        </w:rPr>
        <w:t>«</w:t>
      </w:r>
      <w:r w:rsidRPr="00387EC6">
        <w:rPr>
          <w:rFonts w:cs="Arial"/>
          <w:szCs w:val="22"/>
        </w:rPr>
        <w:t xml:space="preserve">la </w:t>
      </w:r>
      <w:r w:rsidRPr="00387EC6">
        <w:rPr>
          <w:rFonts w:cs="Arial"/>
          <w:b/>
          <w:szCs w:val="22"/>
        </w:rPr>
        <w:t>delegazione legislativa</w:t>
      </w:r>
      <w:r w:rsidRPr="00387EC6">
        <w:rPr>
          <w:rFonts w:cs="Arial"/>
          <w:szCs w:val="22"/>
        </w:rPr>
        <w:t xml:space="preserve"> di cui all'articolo 4 reca un oggetto ben individuato, un termine stabilito in modo univoco ed agevolmente conoscibile, princìpi e criteri direttivi distinti dall'oggetto della delega e idonei a definire puntualmente i poteri dispositivi conferiti al legislatore delegato: essa dunque ottempera alle regole fissate dalla circolare del 2001 sulla formulazione tecnica dei testi legislativi (punto 2) ed è in linea con la giurisprudenza del Comitato</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szCs w:val="22"/>
        </w:rPr>
      </w:pPr>
      <w:bookmarkStart w:id="292" w:name="S06C"/>
      <w:r w:rsidRPr="00B91F58">
        <w:rPr>
          <w:rFonts w:cs="Arial"/>
          <w:b/>
          <w:szCs w:val="22"/>
        </w:rPr>
        <w:t>Condizioni</w:t>
      </w:r>
      <w:r w:rsidRPr="00B91F58">
        <w:rPr>
          <w:rFonts w:cs="Arial"/>
          <w:szCs w:val="22"/>
        </w:rPr>
        <w:t xml:space="preserve">: </w:t>
      </w:r>
    </w:p>
    <w:bookmarkEnd w:id="292"/>
    <w:p w:rsidR="000B33A8" w:rsidRDefault="000B33A8" w:rsidP="000B33A8">
      <w:pPr>
        <w:keepNext/>
        <w:ind w:firstLine="0"/>
        <w:rPr>
          <w:rFonts w:cs="Arial"/>
          <w:i/>
          <w:szCs w:val="22"/>
        </w:rPr>
      </w:pPr>
      <w:r w:rsidRPr="00C733BB">
        <w:rPr>
          <w:rFonts w:cs="Arial"/>
          <w:i/>
          <w:szCs w:val="22"/>
        </w:rPr>
        <w:t>sotto il profilo della chiarezza e della proprietà della formulazione</w:t>
      </w:r>
      <w:r w:rsidRPr="00D249C1">
        <w:rPr>
          <w:rFonts w:cs="Arial"/>
          <w:i/>
          <w:szCs w:val="22"/>
        </w:rPr>
        <w:t>:</w:t>
      </w:r>
    </w:p>
    <w:p w:rsidR="000B33A8" w:rsidRPr="00B91F58" w:rsidRDefault="000B33A8" w:rsidP="00B26E1F">
      <w:pPr>
        <w:pStyle w:val="Paragrafoelenco"/>
        <w:numPr>
          <w:ilvl w:val="0"/>
          <w:numId w:val="58"/>
        </w:numPr>
        <w:ind w:left="567" w:hanging="283"/>
        <w:rPr>
          <w:rFonts w:cs="Arial"/>
          <w:szCs w:val="22"/>
        </w:rPr>
      </w:pPr>
      <w:bookmarkStart w:id="293" w:name="S06c01"/>
      <w:r w:rsidRPr="0048034C">
        <w:rPr>
          <w:rFonts w:cs="Arial"/>
          <w:szCs w:val="22"/>
        </w:rPr>
        <w:t xml:space="preserve">per le ragioni specificate </w:t>
      </w:r>
      <w:bookmarkEnd w:id="293"/>
      <w:r w:rsidRPr="0048034C">
        <w:rPr>
          <w:rFonts w:cs="Arial"/>
          <w:szCs w:val="22"/>
        </w:rPr>
        <w:t>in premessa, cui si rinvia, si valuti l'opportunità di disciplinare il deposito dello statuto dei partiti</w:t>
      </w:r>
      <w:r>
        <w:rPr>
          <w:rFonts w:cs="Arial"/>
          <w:szCs w:val="22"/>
        </w:rPr>
        <w:t xml:space="preserve">; </w:t>
      </w:r>
      <w:hyperlink w:anchor="premessa06" w:history="1">
        <w:r w:rsidRPr="00D249C1">
          <w:rPr>
            <w:rStyle w:val="Collegamentoipertestuale"/>
            <w:rFonts w:cs="Arial"/>
            <w:szCs w:val="22"/>
          </w:rPr>
          <w:t>[torna su]</w:t>
        </w:r>
      </w:hyperlink>
      <w:r>
        <w:rPr>
          <w:rStyle w:val="Collegamentoipertestuale"/>
          <w:rFonts w:cs="Arial"/>
          <w:szCs w:val="22"/>
        </w:rPr>
        <w:t xml:space="preserve"> </w:t>
      </w:r>
      <w:r>
        <w:rPr>
          <w:rStyle w:val="Collegamentoipertestuale"/>
          <w:rFonts w:cs="Arial"/>
          <w:szCs w:val="22"/>
        </w:rPr>
        <w:br/>
      </w:r>
    </w:p>
    <w:p w:rsidR="000B33A8" w:rsidRPr="00B91F58" w:rsidRDefault="000B33A8" w:rsidP="000B33A8">
      <w:pPr>
        <w:keepNext/>
        <w:tabs>
          <w:tab w:val="num" w:pos="567"/>
        </w:tabs>
        <w:ind w:firstLine="0"/>
        <w:rPr>
          <w:rFonts w:cs="Arial"/>
          <w:szCs w:val="22"/>
        </w:rPr>
      </w:pP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294" w:name="S06O"/>
      <w:r>
        <w:rPr>
          <w:rFonts w:cs="Arial"/>
          <w:b/>
          <w:szCs w:val="22"/>
        </w:rPr>
        <w:t>Osservazioni</w:t>
      </w:r>
      <w:r w:rsidRPr="00B91F58">
        <w:rPr>
          <w:rFonts w:cs="Arial"/>
          <w:szCs w:val="22"/>
        </w:rPr>
        <w:t xml:space="preserve">: </w:t>
      </w:r>
    </w:p>
    <w:bookmarkEnd w:id="294"/>
    <w:p w:rsidR="000B33A8" w:rsidRDefault="000B33A8" w:rsidP="000B33A8">
      <w:pPr>
        <w:keepNext/>
        <w:ind w:firstLine="0"/>
        <w:rPr>
          <w:rFonts w:cs="Arial"/>
          <w:i/>
          <w:szCs w:val="22"/>
        </w:rPr>
      </w:pPr>
      <w:r w:rsidRPr="00C733BB">
        <w:rPr>
          <w:rFonts w:cs="Arial"/>
          <w:i/>
          <w:szCs w:val="22"/>
        </w:rPr>
        <w:t>sotto il profilo della chiarezza e della proprietà della formulazione</w:t>
      </w:r>
      <w:r w:rsidRPr="00D249C1">
        <w:rPr>
          <w:rFonts w:cs="Arial"/>
          <w:i/>
          <w:szCs w:val="22"/>
        </w:rPr>
        <w:t>:</w:t>
      </w:r>
      <w:r>
        <w:rPr>
          <w:rFonts w:cs="Arial"/>
          <w:i/>
          <w:szCs w:val="22"/>
        </w:rPr>
        <w:t xml:space="preserve"> </w:t>
      </w:r>
    </w:p>
    <w:p w:rsidR="000B33A8" w:rsidRPr="007B3F20" w:rsidRDefault="000B33A8" w:rsidP="00B26E1F">
      <w:pPr>
        <w:pStyle w:val="Paragrafoelenco"/>
        <w:numPr>
          <w:ilvl w:val="0"/>
          <w:numId w:val="34"/>
        </w:numPr>
        <w:ind w:left="567" w:hanging="283"/>
        <w:rPr>
          <w:rStyle w:val="Collegamentoipertestuale"/>
          <w:rFonts w:cs="Arial"/>
          <w:szCs w:val="22"/>
        </w:rPr>
      </w:pPr>
      <w:bookmarkStart w:id="295" w:name="S06o01"/>
      <w:r w:rsidRPr="006370EC">
        <w:rPr>
          <w:rFonts w:cs="Arial"/>
          <w:szCs w:val="22"/>
        </w:rPr>
        <w:t xml:space="preserve">la disposizione sui seggi </w:t>
      </w:r>
      <w:bookmarkEnd w:id="295"/>
      <w:r w:rsidRPr="006370EC">
        <w:rPr>
          <w:rFonts w:cs="Arial"/>
          <w:szCs w:val="22"/>
        </w:rPr>
        <w:t xml:space="preserve">proporzionali provvisoriamente assegnati – che riguarda il Trentino-Alto Adige ma è inserita all'articolo 93, secondo comma, lettera </w:t>
      </w:r>
      <w:r w:rsidRPr="006370EC">
        <w:rPr>
          <w:rFonts w:cs="Arial"/>
          <w:i/>
          <w:iCs/>
          <w:szCs w:val="22"/>
        </w:rPr>
        <w:t>c)</w:t>
      </w:r>
      <w:r w:rsidRPr="006370EC">
        <w:rPr>
          <w:rFonts w:cs="Arial"/>
          <w:szCs w:val="22"/>
        </w:rPr>
        <w:t xml:space="preserve"> del TUE, che concerne la Valle d'Aosta – dovrebbe essere collocata alla fine del comma 3 dell'articolo 93-</w:t>
      </w:r>
      <w:r w:rsidRPr="006370EC">
        <w:rPr>
          <w:rFonts w:cs="Arial"/>
          <w:i/>
          <w:iCs/>
          <w:szCs w:val="22"/>
        </w:rPr>
        <w:t>quater</w:t>
      </w:r>
      <w:r>
        <w:rPr>
          <w:rFonts w:cs="Arial"/>
          <w:szCs w:val="22"/>
        </w:rPr>
        <w:t xml:space="preserve">; </w:t>
      </w:r>
      <w:hyperlink w:anchor="premessa06" w:history="1">
        <w:r w:rsidRPr="00D249C1">
          <w:rPr>
            <w:rStyle w:val="Collegamentoipertestuale"/>
            <w:rFonts w:cs="Arial"/>
            <w:szCs w:val="22"/>
          </w:rPr>
          <w:t>[torna su]</w:t>
        </w:r>
      </w:hyperlink>
      <w:r>
        <w:rPr>
          <w:rStyle w:val="Collegamentoipertestuale"/>
          <w:rFonts w:cs="Arial"/>
          <w:szCs w:val="22"/>
        </w:rPr>
        <w:t xml:space="preserve"> </w:t>
      </w:r>
    </w:p>
    <w:p w:rsidR="000B33A8" w:rsidRPr="0048034C" w:rsidRDefault="000B33A8" w:rsidP="00B26E1F">
      <w:pPr>
        <w:pStyle w:val="Paragrafoelenco"/>
        <w:numPr>
          <w:ilvl w:val="0"/>
          <w:numId w:val="34"/>
        </w:numPr>
        <w:ind w:left="567" w:hanging="283"/>
        <w:rPr>
          <w:rStyle w:val="Collegamentoipertestuale"/>
          <w:rFonts w:cs="Arial"/>
          <w:szCs w:val="22"/>
        </w:rPr>
      </w:pPr>
      <w:bookmarkStart w:id="296" w:name="S06o02"/>
      <w:r w:rsidRPr="006370EC">
        <w:rPr>
          <w:rFonts w:cs="Arial"/>
          <w:szCs w:val="22"/>
        </w:rPr>
        <w:t>all'articolo 2, comma 59</w:t>
      </w:r>
      <w:bookmarkEnd w:id="296"/>
      <w:r w:rsidRPr="006370EC">
        <w:rPr>
          <w:rFonts w:cs="Arial"/>
          <w:szCs w:val="22"/>
        </w:rPr>
        <w:t>, concernente i luoghi di cura minori, l'espressione «collegio plurinominale» dovrebbe essere sostituita dall'espressione «circoscrizione»,</w:t>
      </w:r>
      <w:r w:rsidRPr="006370EC">
        <w:t xml:space="preserve"> </w:t>
      </w:r>
      <w:r w:rsidRPr="006370EC">
        <w:rPr>
          <w:rFonts w:cs="Arial"/>
          <w:szCs w:val="22"/>
        </w:rPr>
        <w:t>come nel testo attualmente vigente, oppure anche «circondario», «territorio», «area di competenza» o simili</w:t>
      </w:r>
      <w:r>
        <w:rPr>
          <w:rFonts w:cs="Arial"/>
          <w:szCs w:val="22"/>
        </w:rPr>
        <w:t xml:space="preserve">; </w:t>
      </w:r>
      <w:hyperlink w:anchor="premessa06" w:history="1">
        <w:r w:rsidRPr="00D249C1">
          <w:rPr>
            <w:rStyle w:val="Collegamentoipertestuale"/>
            <w:rFonts w:cs="Arial"/>
            <w:szCs w:val="22"/>
          </w:rPr>
          <w:t>[torna su]</w:t>
        </w:r>
      </w:hyperlink>
      <w:r>
        <w:rPr>
          <w:rStyle w:val="Collegamentoipertestuale"/>
          <w:rFonts w:cs="Arial"/>
          <w:szCs w:val="22"/>
        </w:rPr>
        <w:t xml:space="preserve"> </w:t>
      </w:r>
      <w:r>
        <w:rPr>
          <w:rStyle w:val="Collegamentoipertestuale"/>
          <w:rFonts w:cs="Arial"/>
          <w:szCs w:val="22"/>
        </w:rPr>
        <w:br/>
      </w:r>
    </w:p>
    <w:p w:rsidR="000B33A8" w:rsidRDefault="000B33A8" w:rsidP="000B33A8">
      <w:pPr>
        <w:pStyle w:val="Paragrafoelenco"/>
        <w:ind w:left="0" w:firstLine="0"/>
        <w:rPr>
          <w:rFonts w:cs="Arial"/>
          <w:szCs w:val="22"/>
        </w:rPr>
      </w:pPr>
      <w:r w:rsidRPr="00D249C1">
        <w:rPr>
          <w:rFonts w:cs="Arial"/>
          <w:i/>
          <w:szCs w:val="22"/>
        </w:rPr>
        <w:lastRenderedPageBreak/>
        <w:t>sotto il profilo dell'efficacia del testo per la semplificazione e il riordino della legislazione vigente:</w:t>
      </w:r>
    </w:p>
    <w:p w:rsidR="000B33A8" w:rsidRPr="00A732FE" w:rsidRDefault="000B33A8" w:rsidP="00B26E1F">
      <w:pPr>
        <w:pStyle w:val="Paragrafoelenco"/>
        <w:numPr>
          <w:ilvl w:val="0"/>
          <w:numId w:val="34"/>
        </w:numPr>
        <w:ind w:left="567" w:hanging="283"/>
        <w:rPr>
          <w:rStyle w:val="Collegamentoipertestuale"/>
          <w:rFonts w:cs="Arial"/>
          <w:szCs w:val="22"/>
        </w:rPr>
      </w:pPr>
      <w:bookmarkStart w:id="297" w:name="S06o03"/>
      <w:r w:rsidRPr="006370EC">
        <w:rPr>
          <w:rFonts w:cs="Arial"/>
          <w:szCs w:val="22"/>
        </w:rPr>
        <w:t xml:space="preserve">all'articolo 4, comma </w:t>
      </w:r>
      <w:bookmarkEnd w:id="297"/>
      <w:r w:rsidRPr="006370EC">
        <w:rPr>
          <w:rFonts w:cs="Arial"/>
          <w:szCs w:val="22"/>
        </w:rPr>
        <w:t xml:space="preserve">1, lettere </w:t>
      </w:r>
      <w:r w:rsidRPr="006370EC">
        <w:rPr>
          <w:rFonts w:cs="Arial"/>
          <w:i/>
          <w:iCs/>
          <w:szCs w:val="22"/>
        </w:rPr>
        <w:t>d)</w:t>
      </w:r>
      <w:r w:rsidRPr="006370EC">
        <w:rPr>
          <w:rFonts w:cs="Arial"/>
          <w:szCs w:val="22"/>
        </w:rPr>
        <w:t xml:space="preserve"> ed </w:t>
      </w:r>
      <w:r w:rsidRPr="006370EC">
        <w:rPr>
          <w:rFonts w:cs="Arial"/>
          <w:i/>
          <w:iCs/>
          <w:szCs w:val="22"/>
        </w:rPr>
        <w:t>e)</w:t>
      </w:r>
      <w:r w:rsidRPr="006370EC">
        <w:rPr>
          <w:rFonts w:cs="Arial"/>
          <w:szCs w:val="22"/>
        </w:rPr>
        <w:t>, della proposta di legge, il riferimento alle province dovrebbe essere integrato con un richiamo alle città metropolitane.</w:t>
      </w:r>
      <w:r>
        <w:rPr>
          <w:rFonts w:cs="Arial"/>
          <w:szCs w:val="22"/>
        </w:rPr>
        <w:t xml:space="preserve"> </w:t>
      </w:r>
      <w:hyperlink w:anchor="premessa06" w:history="1">
        <w:r w:rsidRPr="00D249C1">
          <w:rPr>
            <w:rStyle w:val="Collegamentoipertestuale"/>
            <w:rFonts w:cs="Arial"/>
            <w:szCs w:val="22"/>
          </w:rPr>
          <w:t>[torna su]</w:t>
        </w:r>
      </w:hyperlink>
      <w:r>
        <w:rPr>
          <w:rStyle w:val="Collegamentoipertestuale"/>
          <w:rFonts w:cs="Arial"/>
          <w:szCs w:val="22"/>
        </w:rPr>
        <w:t xml:space="preserve"> </w:t>
      </w:r>
    </w:p>
    <w:p w:rsidR="000B33A8" w:rsidRPr="00B91F58" w:rsidRDefault="000B33A8" w:rsidP="000B33A8">
      <w:pPr>
        <w:ind w:left="567" w:hanging="283"/>
        <w:rPr>
          <w:rFonts w:cs="Arial"/>
          <w:szCs w:val="22"/>
        </w:rPr>
      </w:pPr>
    </w:p>
    <w:p w:rsidR="000B33A8" w:rsidRDefault="000B33A8" w:rsidP="000B33A8">
      <w:pPr>
        <w:ind w:left="567" w:hanging="283"/>
        <w:rPr>
          <w:rFonts w:cs="Arial"/>
          <w:szCs w:val="22"/>
        </w:rPr>
      </w:pPr>
    </w:p>
    <w:p w:rsidR="000B33A8" w:rsidRDefault="000B33A8" w:rsidP="000B33A8">
      <w:pPr>
        <w:ind w:left="567" w:hanging="283"/>
        <w:rPr>
          <w:rFonts w:cs="Arial"/>
          <w:szCs w:val="22"/>
        </w:rPr>
        <w:sectPr w:rsidR="000B33A8" w:rsidSect="000B33A8">
          <w:headerReference w:type="default" r:id="rId307"/>
          <w:footerReference w:type="even" r:id="rId308"/>
          <w:footerReference w:type="default" r:id="rId309"/>
          <w:pgSz w:w="11906" w:h="16838" w:code="9"/>
          <w:pgMar w:top="1985" w:right="1985" w:bottom="1985" w:left="1985" w:header="1134" w:footer="1134" w:gutter="0"/>
          <w:cols w:space="720"/>
          <w:formProt w:val="0"/>
        </w:sectPr>
      </w:pPr>
    </w:p>
    <w:p w:rsidR="000B33A8" w:rsidRPr="00B91F58" w:rsidRDefault="000B33A8" w:rsidP="000B33A8">
      <w:pPr>
        <w:ind w:left="567" w:hanging="283"/>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0007</w:t>
            </w:r>
          </w:p>
        </w:tc>
        <w:tc>
          <w:tcPr>
            <w:tcW w:w="750" w:type="pct"/>
            <w:shd w:val="clear" w:color="auto" w:fill="auto"/>
          </w:tcPr>
          <w:p w:rsidR="000B33A8" w:rsidRPr="00B26E1F" w:rsidRDefault="000B33A8" w:rsidP="000B33A8">
            <w:pPr>
              <w:pStyle w:val="Collegamento"/>
              <w:rPr>
                <w:rFonts w:cs="Arial"/>
              </w:rPr>
            </w:pPr>
            <w:r w:rsidRPr="00B26E1F">
              <w:rPr>
                <w:rFonts w:cs="Arial"/>
              </w:rPr>
              <w:t>3059</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10" w:history="1">
              <w:r w:rsidR="000B33A8" w:rsidRPr="00B26E1F">
                <w:rPr>
                  <w:rStyle w:val="Collegamentoipertestuale"/>
                  <w:rFonts w:cs="Arial"/>
                </w:rPr>
                <w:t>DL 27/2015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Elezioni regionali e amministrative 2015</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11" w:anchor="data.20150428.com48.bollettino.sede00020.tit00010" w:history="1">
              <w:r w:rsidR="000B33A8">
                <w:rPr>
                  <w:rStyle w:val="Collegamentoipertestuale"/>
                </w:rPr>
                <w:t>28/04/2015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298" w:name="premessa07"/>
            <w:r w:rsidRPr="00B26E1F">
              <w:rPr>
                <w:rFonts w:cs="Arial"/>
                <w:b/>
                <w:color w:val="0000FF"/>
                <w:sz w:val="24"/>
                <w:szCs w:val="24"/>
              </w:rPr>
              <w:t>Premessa</w:t>
            </w:r>
            <w:bookmarkEnd w:id="298"/>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nessun rilievo</w:t>
            </w:r>
          </w:p>
        </w:tc>
      </w:tr>
      <w:tr w:rsidR="000B33A8" w:rsidRPr="008B2DCE" w:rsidTr="00B26E1F">
        <w:trPr>
          <w:trHeight w:val="70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7a01" w:history="1">
              <w:r w:rsidR="000B33A8" w:rsidRPr="00D40FBA">
                <w:rPr>
                  <w:rStyle w:val="Collegamentoipertestuale"/>
                </w:rPr>
                <w:t>1</w:t>
              </w:r>
            </w:hyperlink>
            <w:r w:rsidR="000B33A8" w:rsidRPr="00B26E1F">
              <w:rPr>
                <w:rFonts w:cs="Arial"/>
              </w:rPr>
              <w:t xml:space="preserve"> – Contenuto puntuale e specifico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1705"/>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5a02" w:history="1">
              <w:r w:rsidR="000B33A8" w:rsidRPr="00812559">
                <w:rPr>
                  <w:rStyle w:val="Collegamentoipertestuale"/>
                </w:rPr>
                <w:t>2</w:t>
              </w:r>
            </w:hyperlink>
            <w:r w:rsidR="000B33A8" w:rsidRPr="00B26E1F">
              <w:rPr>
                <w:rFonts w:cs="Arial"/>
              </w:rPr>
              <w:t xml:space="preserve"> – Limiti di contenuto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Disposizioni riguardanti limitati aspetti del procedimento elettorale in un decreto-legge: richiamo all’articolo 15, comma 2, lettera </w:t>
            </w:r>
            <w:r w:rsidRPr="00B26E1F">
              <w:rPr>
                <w:rFonts w:cs="Arial"/>
                <w:i/>
              </w:rPr>
              <w:t>b)</w:t>
            </w:r>
            <w:r w:rsidRPr="00B26E1F">
              <w:rPr>
                <w:rFonts w:cs="Arial"/>
              </w:rPr>
              <w:t>, della legge n. 400/1988; richiamo all’articolo 72, quarto comma, della Costituzione; richiamo all’ordine del giorno G1 della Commissione di merito del Senato, approvato il 21/04/2015 dall’Assemblea del Senato.</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7a03" w:history="1">
              <w:r w:rsidR="000B33A8" w:rsidRPr="00812559">
                <w:rPr>
                  <w:rStyle w:val="Collegamentoipertestuale"/>
                </w:rPr>
                <w:t>3</w:t>
              </w:r>
            </w:hyperlink>
            <w:r w:rsidR="000B33A8" w:rsidRPr="00B26E1F">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ATN presente; AIR assente, ma con richiesta di esenzione, ai sensi dell’articolo 9 del DPCM n. 170/2008, e con giustificazione.</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8152"/>
      </w:tblGrid>
      <w:tr w:rsidR="000B33A8" w:rsidRPr="00A33B28"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7D4070" w:rsidRPr="00A33B28" w:rsidTr="00B26E1F">
        <w:tc>
          <w:tcPr>
            <w:tcW w:w="5000" w:type="pct"/>
            <w:shd w:val="clear" w:color="auto" w:fill="auto"/>
          </w:tcPr>
          <w:p w:rsidR="007D4070" w:rsidRPr="00B26E1F" w:rsidRDefault="007D4070" w:rsidP="007D4070">
            <w:pPr>
              <w:keepNext/>
              <w:spacing w:before="100" w:beforeAutospacing="1" w:after="100" w:afterAutospacing="1"/>
              <w:ind w:firstLine="0"/>
              <w:rPr>
                <w:rFonts w:cs="Arial"/>
                <w:b/>
                <w:color w:val="0000FF"/>
              </w:rPr>
            </w:pPr>
            <w:r w:rsidRPr="007D4070">
              <w:rPr>
                <w:rFonts w:cs="Arial"/>
                <w:i/>
              </w:rPr>
              <w:t>nessun rilievo</w:t>
            </w:r>
            <w:r>
              <w:rPr>
                <w:rFonts w:cs="Arial"/>
                <w:i/>
              </w:rPr>
              <w:t>.</w:t>
            </w:r>
          </w:p>
        </w:tc>
      </w:tr>
    </w:tbl>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lastRenderedPageBreak/>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rPr>
                <w:rFonts w:cs="Arial"/>
                <w:i/>
                <w:sz w:val="24"/>
              </w:rPr>
            </w:pPr>
            <w:r w:rsidRPr="00B26E1F">
              <w:rPr>
                <w:rFonts w:cs="Arial"/>
                <w:i/>
              </w:rPr>
              <w:t xml:space="preserve">Articolo 72, quarto comma, della Costituzione; articolo 15, c. 2, lettera </w:t>
            </w:r>
            <w:r w:rsidRPr="00B26E1F">
              <w:rPr>
                <w:rFonts w:cs="Arial"/>
              </w:rPr>
              <w:t>b)</w:t>
            </w:r>
            <w:r w:rsidRPr="00B26E1F">
              <w:rPr>
                <w:rFonts w:cs="Arial"/>
                <w:i/>
              </w:rPr>
              <w:t>, della legge n. 400/1988; articolo 9 del DPCM n. 170/2008.</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299" w:name="S07a01"/>
      <w:r w:rsidRPr="00B91F58">
        <w:rPr>
          <w:rFonts w:cs="Arial"/>
          <w:szCs w:val="22"/>
        </w:rPr>
        <w:t xml:space="preserve">1 </w:t>
      </w:r>
      <w:bookmarkEnd w:id="299"/>
      <w:r w:rsidRPr="00B91F58">
        <w:rPr>
          <w:rFonts w:cs="Arial"/>
          <w:szCs w:val="22"/>
        </w:rPr>
        <w:t xml:space="preserve">– </w:t>
      </w:r>
      <w:hyperlink w:anchor="premessa07" w:history="1">
        <w:r w:rsidRPr="00B91F58">
          <w:rPr>
            <w:rStyle w:val="Collegamentoipertestuale"/>
            <w:rFonts w:cs="Arial"/>
            <w:b/>
            <w:szCs w:val="22"/>
          </w:rPr>
          <w:t>Premessa</w:t>
        </w:r>
        <w:r w:rsidRPr="00B91F58">
          <w:rPr>
            <w:rStyle w:val="Collegamentoipertestuale"/>
            <w:rFonts w:cs="Arial"/>
            <w:szCs w:val="22"/>
          </w:rPr>
          <w:t>:</w:t>
        </w:r>
      </w:hyperlink>
      <w:r w:rsidRPr="000E2EB4">
        <w:rPr>
          <w:rStyle w:val="Collegamentoipertestuale"/>
          <w:rFonts w:cs="Arial"/>
          <w:szCs w:val="22"/>
        </w:rPr>
        <w:t xml:space="preserve"> </w:t>
      </w:r>
      <w:r w:rsidRPr="00B91F58">
        <w:rPr>
          <w:rFonts w:cs="Arial"/>
          <w:szCs w:val="22"/>
        </w:rPr>
        <w:t>«</w:t>
      </w:r>
      <w:r w:rsidRPr="00B544BF">
        <w:rPr>
          <w:rFonts w:cs="Arial"/>
          <w:szCs w:val="22"/>
        </w:rPr>
        <w:t xml:space="preserve">sotto il profilo dell'omogeneità, </w:t>
      </w:r>
      <w:r w:rsidRPr="00B544BF">
        <w:rPr>
          <w:rFonts w:cs="Arial"/>
          <w:b/>
          <w:szCs w:val="22"/>
        </w:rPr>
        <w:t>il contenuto del provvedimento è puntuale e specifico</w:t>
      </w:r>
      <w:r w:rsidRPr="00B544BF">
        <w:rPr>
          <w:rFonts w:cs="Arial"/>
          <w:szCs w:val="22"/>
        </w:rPr>
        <w:t>;</w:t>
      </w:r>
      <w:r>
        <w:rPr>
          <w:rFonts w:cs="Arial"/>
          <w:szCs w:val="22"/>
        </w:rPr>
        <w:t xml:space="preserve"> </w:t>
      </w:r>
      <w:r w:rsidRPr="00B544BF">
        <w:rPr>
          <w:rFonts w:cs="Arial"/>
          <w:szCs w:val="22"/>
        </w:rPr>
        <w:t xml:space="preserve">come indicato nella relazione illustrativa, il decreto-legge </w:t>
      </w:r>
      <w:r>
        <w:rPr>
          <w:rFonts w:cs="Arial"/>
          <w:szCs w:val="22"/>
        </w:rPr>
        <w:t>“</w:t>
      </w:r>
      <w:r w:rsidRPr="00B544BF">
        <w:rPr>
          <w:rFonts w:cs="Arial"/>
          <w:szCs w:val="22"/>
        </w:rPr>
        <w:t>interviene sistematicamente per flessibilizzare l'arco temporale entro il quale può realizzarsi la condizione per lo svolgimento in forma abbinata di tutte le consultazioni elettorali (</w:t>
      </w:r>
      <w:r w:rsidRPr="00B544BF">
        <w:rPr>
          <w:rFonts w:cs="Arial"/>
          <w:i/>
          <w:iCs/>
          <w:szCs w:val="22"/>
        </w:rPr>
        <w:t>election day</w:t>
      </w:r>
      <w:r w:rsidRPr="00B544BF">
        <w:rPr>
          <w:rFonts w:cs="Arial"/>
          <w:szCs w:val="22"/>
        </w:rPr>
        <w:t>), stabilendo, con riguardo alle elezioni regionali, che la loro celebrazione può avvenire nella prima domenica successiva alla scadenza</w:t>
      </w:r>
      <w:r>
        <w:rPr>
          <w:rFonts w:cs="Arial"/>
          <w:szCs w:val="22"/>
        </w:rPr>
        <w:t>”</w:t>
      </w:r>
      <w:r w:rsidRPr="00B544BF">
        <w:rPr>
          <w:rFonts w:cs="Arial"/>
          <w:szCs w:val="22"/>
        </w:rPr>
        <w:t xml:space="preserve"> del termine di sessanta giorni successivi al termine del quinquennio di durata delle Assemblee regionali; a tal fine il provvedimento novella l'articolo 5 della citata legge del 2004 integrando il termine di sessanta giorni già aggiunto dall'articolo 1, comma 501, della legge 23 dicembre 2014, n.</w:t>
      </w:r>
      <w:r>
        <w:rPr>
          <w:rFonts w:cs="Arial"/>
          <w:szCs w:val="22"/>
        </w:rPr>
        <w:t xml:space="preserve"> </w:t>
      </w:r>
      <w:r w:rsidRPr="00B544BF">
        <w:rPr>
          <w:rFonts w:cs="Arial"/>
          <w:szCs w:val="22"/>
        </w:rPr>
        <w:t>190</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Default="000B33A8" w:rsidP="000B33A8">
      <w:pPr>
        <w:rPr>
          <w:rFonts w:cs="Arial"/>
          <w:szCs w:val="22"/>
        </w:rPr>
      </w:pPr>
      <w:bookmarkStart w:id="300" w:name="S07a02"/>
      <w:r w:rsidRPr="00B91F58">
        <w:rPr>
          <w:rFonts w:cs="Arial"/>
          <w:szCs w:val="22"/>
        </w:rPr>
        <w:t>2 –</w:t>
      </w:r>
      <w:bookmarkEnd w:id="300"/>
      <w:r w:rsidRPr="00B91F58">
        <w:rPr>
          <w:rFonts w:cs="Arial"/>
          <w:szCs w:val="22"/>
        </w:rPr>
        <w:t xml:space="preserve"> </w:t>
      </w:r>
      <w:hyperlink w:anchor="premessa07"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2754B">
        <w:rPr>
          <w:rFonts w:cs="Arial"/>
          <w:szCs w:val="22"/>
        </w:rPr>
        <w:t xml:space="preserve">è circostanza non infrequente in prossimità di scadenze elettorali che </w:t>
      </w:r>
      <w:r w:rsidRPr="0092754B">
        <w:rPr>
          <w:rFonts w:cs="Arial"/>
          <w:b/>
          <w:szCs w:val="22"/>
        </w:rPr>
        <w:t>con provvedimenti d'urgenza</w:t>
      </w:r>
      <w:r w:rsidRPr="0092754B">
        <w:rPr>
          <w:rFonts w:cs="Arial"/>
          <w:szCs w:val="22"/>
        </w:rPr>
        <w:t xml:space="preserve"> siano dettate </w:t>
      </w:r>
      <w:r w:rsidRPr="0092754B">
        <w:rPr>
          <w:rFonts w:cs="Arial"/>
          <w:b/>
          <w:szCs w:val="22"/>
        </w:rPr>
        <w:t>disposizioni in materia elettorale</w:t>
      </w:r>
      <w:r w:rsidRPr="0092754B">
        <w:rPr>
          <w:rFonts w:cs="Arial"/>
          <w:szCs w:val="22"/>
        </w:rPr>
        <w:t xml:space="preserve"> finalizzate a regolare </w:t>
      </w:r>
      <w:r w:rsidRPr="0092754B">
        <w:rPr>
          <w:rFonts w:cs="Arial"/>
          <w:b/>
          <w:szCs w:val="22"/>
        </w:rPr>
        <w:t>limitati aspetti di carattere organizzativo</w:t>
      </w:r>
      <w:r w:rsidRPr="0092754B">
        <w:rPr>
          <w:rFonts w:cs="Arial"/>
          <w:szCs w:val="22"/>
        </w:rPr>
        <w:t xml:space="preserve"> ovvero a consentire lo </w:t>
      </w:r>
      <w:r w:rsidRPr="001B3ABA">
        <w:rPr>
          <w:rFonts w:cs="Arial"/>
          <w:szCs w:val="22"/>
        </w:rPr>
        <w:t>svolgimento contemporaneo di più consultazioni elettorali (si considerino</w:t>
      </w:r>
      <w:r w:rsidRPr="0092754B">
        <w:rPr>
          <w:rFonts w:cs="Arial"/>
          <w:szCs w:val="22"/>
        </w:rPr>
        <w:t xml:space="preserve"> ad esempio i decreti-legge n.</w:t>
      </w:r>
      <w:r>
        <w:rPr>
          <w:rFonts w:cs="Arial"/>
          <w:szCs w:val="22"/>
        </w:rPr>
        <w:t xml:space="preserve"> </w:t>
      </w:r>
      <w:r w:rsidRPr="0092754B">
        <w:rPr>
          <w:rFonts w:cs="Arial"/>
          <w:szCs w:val="22"/>
        </w:rPr>
        <w:t>43 del 2000, n.</w:t>
      </w:r>
      <w:r>
        <w:rPr>
          <w:rFonts w:cs="Arial"/>
          <w:szCs w:val="22"/>
        </w:rPr>
        <w:t xml:space="preserve"> </w:t>
      </w:r>
      <w:r w:rsidRPr="0092754B">
        <w:rPr>
          <w:rFonts w:cs="Arial"/>
          <w:szCs w:val="22"/>
        </w:rPr>
        <w:t>111 del 2000, n.</w:t>
      </w:r>
      <w:r>
        <w:rPr>
          <w:rFonts w:cs="Arial"/>
          <w:szCs w:val="22"/>
        </w:rPr>
        <w:t xml:space="preserve"> </w:t>
      </w:r>
      <w:r w:rsidRPr="0092754B">
        <w:rPr>
          <w:rFonts w:cs="Arial"/>
          <w:szCs w:val="22"/>
        </w:rPr>
        <w:t>166 del 2001, n.</w:t>
      </w:r>
      <w:r>
        <w:rPr>
          <w:rFonts w:cs="Arial"/>
          <w:szCs w:val="22"/>
        </w:rPr>
        <w:t xml:space="preserve"> </w:t>
      </w:r>
      <w:r w:rsidRPr="0092754B">
        <w:rPr>
          <w:rFonts w:cs="Arial"/>
          <w:szCs w:val="22"/>
        </w:rPr>
        <w:t>8 del 2005, n.</w:t>
      </w:r>
      <w:r>
        <w:rPr>
          <w:rFonts w:cs="Arial"/>
          <w:szCs w:val="22"/>
        </w:rPr>
        <w:t xml:space="preserve"> </w:t>
      </w:r>
      <w:r w:rsidRPr="0092754B">
        <w:rPr>
          <w:rFonts w:cs="Arial"/>
          <w:szCs w:val="22"/>
        </w:rPr>
        <w:t>1 e n.</w:t>
      </w:r>
      <w:r>
        <w:rPr>
          <w:rFonts w:cs="Arial"/>
          <w:szCs w:val="22"/>
        </w:rPr>
        <w:t xml:space="preserve"> </w:t>
      </w:r>
      <w:r w:rsidRPr="0092754B">
        <w:rPr>
          <w:rFonts w:cs="Arial"/>
          <w:szCs w:val="22"/>
        </w:rPr>
        <w:t>75 del 2006, n.</w:t>
      </w:r>
      <w:r>
        <w:rPr>
          <w:rFonts w:cs="Arial"/>
          <w:szCs w:val="22"/>
        </w:rPr>
        <w:t xml:space="preserve"> </w:t>
      </w:r>
      <w:r w:rsidRPr="0092754B">
        <w:rPr>
          <w:rFonts w:cs="Arial"/>
          <w:szCs w:val="22"/>
        </w:rPr>
        <w:t>24 del 2008): il provvedimento, anche alla luce dei sopracitati precedenti, non appare ingenerare dubbi di compatibilità con l'</w:t>
      </w:r>
      <w:r w:rsidRPr="0092754B">
        <w:rPr>
          <w:rFonts w:cs="Arial"/>
          <w:b/>
          <w:szCs w:val="22"/>
        </w:rPr>
        <w:t xml:space="preserve">articolo 15, comma 2, lettera </w:t>
      </w:r>
      <w:r w:rsidRPr="0092754B">
        <w:rPr>
          <w:rFonts w:cs="Arial"/>
          <w:b/>
          <w:i/>
          <w:iCs/>
          <w:szCs w:val="22"/>
        </w:rPr>
        <w:t>b)</w:t>
      </w:r>
      <w:r w:rsidRPr="0092754B">
        <w:rPr>
          <w:rFonts w:cs="Arial"/>
          <w:b/>
          <w:szCs w:val="22"/>
        </w:rPr>
        <w:t xml:space="preserve">, della legge n. 400 del 1988 </w:t>
      </w:r>
      <w:r w:rsidRPr="0092754B">
        <w:rPr>
          <w:rFonts w:cs="Arial"/>
          <w:szCs w:val="22"/>
        </w:rPr>
        <w:t>– secondo cui il Governo non può, mediante decreto-legge, provvedere nelle materie indicate nell'</w:t>
      </w:r>
      <w:r w:rsidRPr="0092754B">
        <w:rPr>
          <w:rFonts w:cs="Arial"/>
          <w:b/>
          <w:szCs w:val="22"/>
        </w:rPr>
        <w:t xml:space="preserve">articolo 72, quarto comma, </w:t>
      </w:r>
      <w:r w:rsidRPr="001B3ABA">
        <w:rPr>
          <w:rFonts w:cs="Arial"/>
          <w:szCs w:val="22"/>
        </w:rPr>
        <w:t xml:space="preserve">della </w:t>
      </w:r>
      <w:r w:rsidRPr="0092754B">
        <w:rPr>
          <w:rFonts w:cs="Arial"/>
          <w:b/>
          <w:szCs w:val="22"/>
        </w:rPr>
        <w:t>Costituzione</w:t>
      </w:r>
      <w:r w:rsidRPr="0092754B">
        <w:rPr>
          <w:rFonts w:cs="Arial"/>
          <w:szCs w:val="22"/>
        </w:rPr>
        <w:t xml:space="preserve"> (fra cui è compresa la materia elettorale);</w:t>
      </w:r>
    </w:p>
    <w:p w:rsidR="000B33A8" w:rsidRPr="00B91F58" w:rsidRDefault="000B33A8" w:rsidP="000B33A8">
      <w:pPr>
        <w:rPr>
          <w:rFonts w:cs="Arial"/>
          <w:szCs w:val="22"/>
        </w:rPr>
      </w:pPr>
      <w:r w:rsidRPr="0092754B">
        <w:rPr>
          <w:rFonts w:cs="Arial"/>
          <w:szCs w:val="22"/>
        </w:rPr>
        <w:t xml:space="preserve">durante l'esame al Senato non sono stati introdotti emendamenti; nella seduta del 21 aprile 2015 l'Assemblea del Senato ha approvato </w:t>
      </w:r>
      <w:r w:rsidRPr="0092754B">
        <w:rPr>
          <w:rFonts w:cs="Arial"/>
          <w:b/>
          <w:szCs w:val="22"/>
        </w:rPr>
        <w:t>l'ordine del giorno G1</w:t>
      </w:r>
      <w:r w:rsidRPr="0092754B">
        <w:rPr>
          <w:rFonts w:cs="Arial"/>
          <w:szCs w:val="22"/>
        </w:rPr>
        <w:t>, della Commissione, con il quale – premesso di ritenere il disegno di legge in esame non rientrante nel sopra menzionato divieto di provvedere mediante decreto-legge in materia elettorale – impegna il Governo, in sede di emanazione di decreti-legge, all'assoluto rispetto dell'</w:t>
      </w:r>
      <w:r w:rsidRPr="0092754B">
        <w:rPr>
          <w:rFonts w:cs="Arial"/>
          <w:b/>
          <w:szCs w:val="22"/>
        </w:rPr>
        <w:t>articolo 15 della legge n. 400 del 1988</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301" w:name="S07a03"/>
      <w:r w:rsidRPr="00B91F58">
        <w:rPr>
          <w:rFonts w:cs="Arial"/>
          <w:szCs w:val="22"/>
        </w:rPr>
        <w:t xml:space="preserve">3 </w:t>
      </w:r>
      <w:bookmarkEnd w:id="301"/>
      <w:r w:rsidRPr="00B91F58">
        <w:rPr>
          <w:rFonts w:cs="Arial"/>
          <w:szCs w:val="22"/>
        </w:rPr>
        <w:t xml:space="preserve">– </w:t>
      </w:r>
      <w:hyperlink w:anchor="premessa07"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D738E">
        <w:rPr>
          <w:rFonts w:cs="Arial"/>
          <w:szCs w:val="22"/>
        </w:rPr>
        <w:t>il disegno di legge di conversione, presentato al Senato, è corredato della relazione sull'analisi tecnico-normativa (</w:t>
      </w:r>
      <w:r w:rsidRPr="009D738E">
        <w:rPr>
          <w:rFonts w:cs="Arial"/>
          <w:b/>
          <w:szCs w:val="22"/>
        </w:rPr>
        <w:t>ATN</w:t>
      </w:r>
      <w:r w:rsidRPr="009D738E">
        <w:rPr>
          <w:rFonts w:cs="Arial"/>
          <w:szCs w:val="22"/>
        </w:rPr>
        <w:t xml:space="preserve">); la relazione illustrativa dichiara che «Tenuto conto dell'urgenza che riveste il provvedimento e del limitato impatto ai fini della relazione </w:t>
      </w:r>
      <w:r w:rsidRPr="009D738E">
        <w:rPr>
          <w:rFonts w:cs="Arial"/>
          <w:b/>
          <w:szCs w:val="22"/>
        </w:rPr>
        <w:t>AIR</w:t>
      </w:r>
      <w:r w:rsidRPr="009D738E">
        <w:rPr>
          <w:rFonts w:cs="Arial"/>
          <w:szCs w:val="22"/>
        </w:rPr>
        <w:t>, ai sensi dell'articolo 9 decreto del presidente del Consiglio dei ministri 11 settembre 2008, n.</w:t>
      </w:r>
      <w:r>
        <w:rPr>
          <w:rFonts w:cs="Arial"/>
          <w:szCs w:val="22"/>
        </w:rPr>
        <w:t xml:space="preserve"> </w:t>
      </w:r>
      <w:r w:rsidRPr="009D738E">
        <w:rPr>
          <w:rFonts w:cs="Arial"/>
          <w:szCs w:val="22"/>
        </w:rPr>
        <w:t>170, è stata richiesta l</w:t>
      </w:r>
      <w:r w:rsidRPr="009D738E">
        <w:rPr>
          <w:rFonts w:cs="Arial"/>
          <w:b/>
          <w:szCs w:val="22"/>
        </w:rPr>
        <w:t>'esenzione</w:t>
      </w:r>
      <w:r w:rsidRPr="009D738E">
        <w:rPr>
          <w:rFonts w:cs="Arial"/>
          <w:szCs w:val="22"/>
        </w:rPr>
        <w:t xml:space="preserve"> dalla relazione AIR</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ind w:left="567" w:hanging="283"/>
        <w:rPr>
          <w:rFonts w:cs="Arial"/>
          <w:szCs w:val="22"/>
        </w:rPr>
        <w:sectPr w:rsidR="000B33A8" w:rsidSect="000B33A8">
          <w:headerReference w:type="default" r:id="rId312"/>
          <w:footerReference w:type="even" r:id="rId313"/>
          <w:footerReference w:type="default" r:id="rId314"/>
          <w:pgSz w:w="11906" w:h="16838" w:code="9"/>
          <w:pgMar w:top="1985" w:right="1985" w:bottom="1985" w:left="1985" w:header="1134" w:footer="1134" w:gutter="0"/>
          <w:cols w:space="720"/>
          <w:formProt w:val="0"/>
        </w:sectPr>
      </w:pPr>
    </w:p>
    <w:p w:rsidR="000B33A8" w:rsidRPr="00B91F58" w:rsidRDefault="000B33A8" w:rsidP="000B33A8">
      <w:pPr>
        <w:ind w:left="567" w:hanging="283"/>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0008</w:t>
            </w:r>
          </w:p>
        </w:tc>
        <w:tc>
          <w:tcPr>
            <w:tcW w:w="750" w:type="pct"/>
            <w:shd w:val="clear" w:color="auto" w:fill="auto"/>
          </w:tcPr>
          <w:p w:rsidR="000B33A8" w:rsidRPr="00B26E1F" w:rsidRDefault="000B33A8" w:rsidP="000B33A8">
            <w:pPr>
              <w:pStyle w:val="Collegamento"/>
              <w:rPr>
                <w:rFonts w:cs="Arial"/>
              </w:rPr>
            </w:pPr>
            <w:r w:rsidRPr="00B26E1F">
              <w:rPr>
                <w:rFonts w:cs="Arial"/>
              </w:rPr>
              <w:t>2722</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15" w:history="1">
              <w:r w:rsidR="000B33A8" w:rsidRPr="00B26E1F">
                <w:rPr>
                  <w:rStyle w:val="Collegamentoipertestuale"/>
                  <w:rFonts w:cs="Arial"/>
                </w:rPr>
                <w:t>ddl Governo</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Delega riforma codice nautica da diporto</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16" w:anchor="data.20150428.com48.bollettino.sede00030.tit00010" w:history="1">
              <w:r w:rsidR="000B33A8">
                <w:rPr>
                  <w:rStyle w:val="Collegamentoipertestuale"/>
                </w:rPr>
                <w:t>28/04/2015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6-</w:t>
            </w:r>
            <w:r w:rsidRPr="00B26E1F">
              <w:rPr>
                <w:rFonts w:cs="Arial"/>
                <w:b/>
                <w:bCs/>
                <w:i/>
                <w:sz w:val="24"/>
              </w:rPr>
              <w:t>BIS</w:t>
            </w:r>
            <w:r w:rsidRPr="00B26E1F">
              <w:rPr>
                <w:rFonts w:cs="Arial"/>
                <w:b/>
                <w:bCs/>
                <w:sz w:val="24"/>
              </w:rPr>
              <w:t>,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302" w:name="premessa08"/>
            <w:r w:rsidRPr="00B26E1F">
              <w:rPr>
                <w:rFonts w:cs="Arial"/>
                <w:b/>
                <w:color w:val="0000FF"/>
                <w:sz w:val="24"/>
                <w:szCs w:val="24"/>
              </w:rPr>
              <w:t>Premessa</w:t>
            </w:r>
            <w:bookmarkEnd w:id="302"/>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1 Condizione, 3 Osservazioni</w:t>
            </w:r>
          </w:p>
        </w:tc>
      </w:tr>
      <w:tr w:rsidR="000B33A8" w:rsidRPr="008B2DCE" w:rsidTr="00B26E1F">
        <w:trPr>
          <w:trHeight w:val="69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8a01" w:history="1">
              <w:r w:rsidR="000B33A8" w:rsidRPr="00D40FBA">
                <w:rPr>
                  <w:rStyle w:val="Collegamentoipertestuale"/>
                </w:rPr>
                <w:t>1</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127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8a02" w:history="1">
              <w:r w:rsidR="000B33A8" w:rsidRPr="00812559">
                <w:rPr>
                  <w:rStyle w:val="Collegamentoipertestuale"/>
                </w:rPr>
                <w:t>2</w:t>
              </w:r>
            </w:hyperlink>
            <w:r w:rsidR="000B33A8" w:rsidRPr="00B26E1F">
              <w:rPr>
                <w:rFonts w:cs="Arial"/>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Sovrapposizione tra oggetti di delega e criteri direttivi. Richiamo al punto 2, lettera </w:t>
            </w:r>
            <w:r w:rsidRPr="00B26E1F">
              <w:rPr>
                <w:rFonts w:cs="Arial"/>
                <w:i/>
              </w:rPr>
              <w:t>d)</w:t>
            </w:r>
            <w:r w:rsidRPr="00B26E1F">
              <w:rPr>
                <w:rFonts w:cs="Arial"/>
              </w:rPr>
              <w:t>, della circolare sulla formulazione tecnica dei testi normativi.</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8a03" w:history="1">
              <w:r w:rsidR="000B33A8" w:rsidRPr="00812559">
                <w:rPr>
                  <w:rStyle w:val="Collegamentoipertestuale"/>
                </w:rPr>
                <w:t>3</w:t>
              </w:r>
            </w:hyperlink>
            <w:r w:rsidR="000B33A8" w:rsidRPr="00B26E1F">
              <w:rPr>
                <w:rFonts w:cs="Arial"/>
              </w:rPr>
              <w:t xml:space="preserve"> – Disposizioni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Fissazione di un limite generale posto al legislatore delegato ed indicazione di una specifica finalità dell’intervento legislativo.</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8a04" w:history="1">
              <w:r w:rsidR="000B33A8" w:rsidRPr="00812559">
                <w:rPr>
                  <w:rStyle w:val="Collegamentoipertestuale"/>
                </w:rPr>
                <w:t>4</w:t>
              </w:r>
            </w:hyperlink>
            <w:r w:rsidR="000B33A8" w:rsidRPr="00B26E1F">
              <w:rPr>
                <w:rFonts w:cs="Arial"/>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Genericità dei principi e criteri direttivi rispetto al criterio generale della semplificazione.</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70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08a05" w:history="1">
              <w:r w:rsidR="000B33A8" w:rsidRPr="00812559">
                <w:rPr>
                  <w:rStyle w:val="Collegamentoipertestuale"/>
                </w:rPr>
                <w:t>5</w:t>
              </w:r>
            </w:hyperlink>
            <w:r w:rsidR="000B33A8" w:rsidRPr="00B26E1F">
              <w:rPr>
                <w:rFonts w:cs="Arial"/>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Principi e criteri direttivi formulati con espressioni che fanno riferimento a mere eventualità o ad opzioni alternative selezionabili dal Governo delegato. Richiamo alle sentenze n. 68/1991 e n. 340/2007 della Corte costituzionale.</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bl>
    <w:p w:rsidR="00FC05F5" w:rsidRDefault="00FC05F5"/>
    <w:tbl>
      <w:tblPr>
        <w:tblW w:w="5000" w:type="pct"/>
        <w:jc w:val="center"/>
        <w:tblLook w:val="01E0" w:firstRow="1" w:lastRow="1" w:firstColumn="1" w:lastColumn="1" w:noHBand="0" w:noVBand="0"/>
      </w:tblPr>
      <w:tblGrid>
        <w:gridCol w:w="4076"/>
        <w:gridCol w:w="4076"/>
      </w:tblGrid>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CC2F77" w:rsidRDefault="00EB0878" w:rsidP="00B26E1F">
            <w:pPr>
              <w:spacing w:before="100" w:beforeAutospacing="1" w:after="100" w:afterAutospacing="1"/>
              <w:ind w:firstLine="0"/>
            </w:pPr>
            <w:hyperlink w:anchor="S08a05bis" w:history="1">
              <w:r w:rsidR="000B33A8" w:rsidRPr="00BF6CFE">
                <w:rPr>
                  <w:rStyle w:val="Collegamentoipertestuale"/>
                </w:rPr>
                <w:t>5-</w:t>
              </w:r>
              <w:r w:rsidR="000B33A8" w:rsidRPr="00B26E1F">
                <w:rPr>
                  <w:rStyle w:val="Collegamentoipertestuale"/>
                  <w:i/>
                </w:rPr>
                <w:t>bis</w:t>
              </w:r>
            </w:hyperlink>
            <w:r w:rsidR="000B33A8">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Principi e criteri direttivi formulati con espressioni che fanno riferimento a mere eventualità o ad opzioni alternative selezionabili dal Governo delegato, peraltor con disposizione di incerta portata normativa.</w:t>
            </w:r>
          </w:p>
          <w:p w:rsidR="000B33A8" w:rsidRPr="00B26E1F" w:rsidRDefault="000B33A8" w:rsidP="00B26E1F">
            <w:pPr>
              <w:spacing w:before="100" w:beforeAutospacing="1" w:after="100" w:afterAutospacing="1"/>
              <w:ind w:firstLine="0"/>
              <w:rPr>
                <w:rFonts w:cs="Arial"/>
              </w:rPr>
            </w:pPr>
            <w:r w:rsidRPr="00B26E1F">
              <w:rPr>
                <w:rFonts w:cs="Arial"/>
              </w:rPr>
              <w:t>Osservazione 2</w:t>
            </w:r>
          </w:p>
        </w:tc>
      </w:tr>
      <w:tr w:rsidR="000B33A8" w:rsidRPr="008B2DCE" w:rsidTr="00B26E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jc w:val="center"/>
        </w:trPr>
        <w:tc>
          <w:tcPr>
            <w:tcW w:w="2500" w:type="pct"/>
            <w:shd w:val="clear" w:color="auto" w:fill="auto"/>
          </w:tcPr>
          <w:p w:rsidR="000B33A8" w:rsidRPr="00B26E1F" w:rsidRDefault="00EB0878" w:rsidP="00FC05F5">
            <w:pPr>
              <w:spacing w:before="100" w:beforeAutospacing="1" w:after="100" w:afterAutospacing="1"/>
              <w:ind w:firstLine="0"/>
              <w:rPr>
                <w:rFonts w:cs="Arial"/>
              </w:rPr>
            </w:pPr>
            <w:hyperlink w:anchor="S08a06" w:history="1">
              <w:r w:rsidR="000B33A8" w:rsidRPr="00B26E1F">
                <w:rPr>
                  <w:rStyle w:val="Collegamentoipertestuale"/>
                  <w:rFonts w:cs="Arial"/>
                </w:rPr>
                <w:t>6</w:t>
              </w:r>
            </w:hyperlink>
            <w:r w:rsidR="000B33A8" w:rsidRPr="00B26E1F">
              <w:rPr>
                <w:rStyle w:val="Collegamentoipertestuale"/>
                <w:rFonts w:cs="Arial"/>
              </w:rPr>
              <w:t xml:space="preserve"> </w:t>
            </w:r>
            <w:r w:rsidR="000B33A8">
              <w:t xml:space="preserve">– </w:t>
            </w:r>
            <w:r w:rsidR="000B33A8" w:rsidRPr="00B26E1F">
              <w:rPr>
                <w:rFonts w:cs="Arial"/>
              </w:rPr>
              <w:t>Coordinamento interno del testo</w:t>
            </w:r>
          </w:p>
        </w:tc>
        <w:tc>
          <w:tcPr>
            <w:tcW w:w="2500" w:type="pct"/>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3.</w:t>
            </w:r>
          </w:p>
        </w:tc>
      </w:tr>
      <w:tr w:rsidR="000B33A8" w:rsidRPr="008B2DCE" w:rsidTr="00B26E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2500" w:type="pct"/>
            <w:shd w:val="clear" w:color="auto" w:fill="auto"/>
          </w:tcPr>
          <w:p w:rsidR="000B33A8" w:rsidRDefault="00EB0878" w:rsidP="00B26E1F">
            <w:pPr>
              <w:spacing w:before="100" w:beforeAutospacing="1" w:after="100" w:afterAutospacing="1"/>
              <w:ind w:firstLine="0"/>
            </w:pPr>
            <w:hyperlink w:anchor="S08a07" w:history="1">
              <w:r w:rsidR="000B33A8" w:rsidRPr="00B26E1F">
                <w:rPr>
                  <w:rStyle w:val="Collegamentoipertestuale"/>
                  <w:rFonts w:cs="Arial"/>
                </w:rPr>
                <w:t>7</w:t>
              </w:r>
            </w:hyperlink>
            <w:r w:rsidR="000B33A8" w:rsidRPr="00B26E1F">
              <w:rPr>
                <w:rFonts w:cs="Arial"/>
              </w:rPr>
              <w:t xml:space="preserve"> – AIR e ATN</w:t>
            </w:r>
          </w:p>
        </w:tc>
        <w:tc>
          <w:tcPr>
            <w:tcW w:w="2500" w:type="pct"/>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Presenti.</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8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8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bl>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rPr>
                <w:rFonts w:cs="Arial"/>
                <w:i/>
                <w:sz w:val="24"/>
              </w:rPr>
            </w:pPr>
            <w:r w:rsidRPr="00B26E1F">
              <w:rPr>
                <w:rFonts w:cs="Arial"/>
                <w:i/>
                <w:sz w:val="24"/>
              </w:rPr>
              <w:t xml:space="preserve">Sentenze della Corte costituzionale n. 68/1991 e n. 340/2007; punto 2, lettera </w:t>
            </w:r>
            <w:r w:rsidRPr="00B26E1F">
              <w:rPr>
                <w:rFonts w:cs="Arial"/>
                <w:sz w:val="24"/>
              </w:rPr>
              <w:t>d)</w:t>
            </w:r>
            <w:r w:rsidRPr="00B26E1F">
              <w:rPr>
                <w:rFonts w:cs="Arial"/>
                <w:i/>
                <w:sz w:val="24"/>
              </w:rPr>
              <w:t>, della circolare sulla formulazione tecnica dei testi normativi.</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303" w:name="S08a01"/>
      <w:r w:rsidRPr="00B91F58">
        <w:rPr>
          <w:rFonts w:cs="Arial"/>
          <w:szCs w:val="22"/>
        </w:rPr>
        <w:t>1 –</w:t>
      </w:r>
      <w:bookmarkEnd w:id="303"/>
      <w:r w:rsidRPr="00B91F58">
        <w:rPr>
          <w:rFonts w:cs="Arial"/>
          <w:szCs w:val="22"/>
        </w:rPr>
        <w:t xml:space="preserve"> </w:t>
      </w:r>
      <w:hyperlink w:anchor="premessa08" w:history="1">
        <w:r w:rsidRPr="00B91F58">
          <w:rPr>
            <w:rStyle w:val="Collegamentoipertestuale"/>
            <w:rFonts w:cs="Arial"/>
            <w:b/>
            <w:szCs w:val="22"/>
          </w:rPr>
          <w:t>Premessa</w:t>
        </w:r>
        <w:r w:rsidRPr="00B91F58">
          <w:rPr>
            <w:rStyle w:val="Collegamentoipertestuale"/>
            <w:rFonts w:cs="Arial"/>
            <w:szCs w:val="22"/>
          </w:rPr>
          <w:t>:</w:t>
        </w:r>
      </w:hyperlink>
      <w:r w:rsidRPr="000E2EB4">
        <w:rPr>
          <w:rStyle w:val="Collegamentoipertestuale"/>
          <w:rFonts w:cs="Arial"/>
          <w:szCs w:val="22"/>
        </w:rPr>
        <w:t xml:space="preserve"> </w:t>
      </w:r>
      <w:r w:rsidRPr="00B91F58">
        <w:rPr>
          <w:rFonts w:cs="Arial"/>
          <w:szCs w:val="22"/>
        </w:rPr>
        <w:t>«</w:t>
      </w:r>
      <w:r>
        <w:rPr>
          <w:rFonts w:cs="Arial"/>
          <w:szCs w:val="22"/>
        </w:rPr>
        <w:t xml:space="preserve">[il provvedimento] </w:t>
      </w:r>
      <w:r w:rsidRPr="00CB3F5A">
        <w:rPr>
          <w:rFonts w:cs="Arial"/>
          <w:szCs w:val="22"/>
        </w:rPr>
        <w:t xml:space="preserve">consta di un unico articolo e reca un </w:t>
      </w:r>
      <w:r w:rsidRPr="00CB3F5A">
        <w:rPr>
          <w:rFonts w:cs="Arial"/>
          <w:b/>
          <w:szCs w:val="22"/>
        </w:rPr>
        <w:t>contenuto omogeneo</w:t>
      </w:r>
      <w:r w:rsidRPr="00CB3F5A">
        <w:rPr>
          <w:rFonts w:cs="Arial"/>
          <w:szCs w:val="22"/>
        </w:rPr>
        <w:t>, essendo volto a conferire una delega al Governo per il riordino e la riforma del codice della nautica da diporto (decreto legislativo 18 luglio 2005, n.</w:t>
      </w:r>
      <w:r>
        <w:rPr>
          <w:rFonts w:cs="Arial"/>
          <w:szCs w:val="22"/>
        </w:rPr>
        <w:t xml:space="preserve"> </w:t>
      </w:r>
      <w:r w:rsidRPr="00CB3F5A">
        <w:rPr>
          <w:rFonts w:cs="Arial"/>
          <w:szCs w:val="22"/>
        </w:rPr>
        <w:t>171), al fine di pervenire ad un adeguamento della disciplina di taluni aspetti di tale settore normativo; alla delega si accompagna l'autorizzazione al Ministro delle infrastrutture e dei trasporti, di concerto con i Ministri interessati, per l'adeguamento del regolamento di attuazione del Codice della nautica da diporto (decreto ministeriale 29 luglio 2008, n.</w:t>
      </w:r>
      <w:r>
        <w:rPr>
          <w:rFonts w:cs="Arial"/>
          <w:szCs w:val="22"/>
        </w:rPr>
        <w:t xml:space="preserve"> </w:t>
      </w:r>
      <w:r w:rsidRPr="00CB3F5A">
        <w:rPr>
          <w:rFonts w:cs="Arial"/>
          <w:szCs w:val="22"/>
        </w:rPr>
        <w:t>146)</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304" w:name="S08a02"/>
      <w:r w:rsidRPr="00B91F58">
        <w:rPr>
          <w:rFonts w:cs="Arial"/>
          <w:szCs w:val="22"/>
        </w:rPr>
        <w:t>2 –</w:t>
      </w:r>
      <w:bookmarkEnd w:id="304"/>
      <w:r w:rsidRPr="00B91F58">
        <w:rPr>
          <w:rFonts w:cs="Arial"/>
          <w:szCs w:val="22"/>
        </w:rPr>
        <w:t xml:space="preserve"> </w:t>
      </w:r>
      <w:hyperlink w:anchor="premessa08"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A4B85">
        <w:rPr>
          <w:rFonts w:cs="Arial"/>
          <w:szCs w:val="22"/>
        </w:rPr>
        <w:t xml:space="preserve">con riferimento ai </w:t>
      </w:r>
      <w:r w:rsidRPr="006A4B85">
        <w:rPr>
          <w:rFonts w:cs="Arial"/>
          <w:b/>
          <w:szCs w:val="22"/>
        </w:rPr>
        <w:t>princìpi e criteri direttivi</w:t>
      </w:r>
      <w:r w:rsidRPr="006A4B85">
        <w:rPr>
          <w:rFonts w:cs="Arial"/>
          <w:szCs w:val="22"/>
        </w:rPr>
        <w:t xml:space="preserve"> cui il Governo si deve attenere nell'esercizio della delega che gli viene conferita, nel </w:t>
      </w:r>
      <w:r w:rsidRPr="006A4B85">
        <w:rPr>
          <w:rFonts w:cs="Arial"/>
          <w:szCs w:val="22"/>
        </w:rPr>
        <w:lastRenderedPageBreak/>
        <w:t xml:space="preserve">provvedimento si riscontra che gli oggetti di delega sono indicati sia al comma 1, con formulazione più generale, sia, più analiticamente, al comma 2, ove risultano essere in congiunzione con i criteri direttivi, laddove la </w:t>
      </w:r>
      <w:r w:rsidRPr="006A4B85">
        <w:rPr>
          <w:rFonts w:cs="Arial"/>
          <w:b/>
          <w:szCs w:val="22"/>
        </w:rPr>
        <w:t>circolare del 2001</w:t>
      </w:r>
      <w:r w:rsidRPr="006A4B85">
        <w:rPr>
          <w:rFonts w:cs="Arial"/>
          <w:szCs w:val="22"/>
        </w:rPr>
        <w:t xml:space="preserve"> sulla formulazione tecnica dei testi legislativi prevede che «i principi e i criteri direttivi (...) devono essere distinti dall'oggetto della delega» </w:t>
      </w:r>
      <w:r w:rsidRPr="006A4B85">
        <w:rPr>
          <w:rFonts w:cs="Arial"/>
          <w:b/>
          <w:szCs w:val="22"/>
        </w:rPr>
        <w:t xml:space="preserve">(punto 2, lettera </w:t>
      </w:r>
      <w:r w:rsidRPr="006A4B85">
        <w:rPr>
          <w:rFonts w:cs="Arial"/>
          <w:b/>
          <w:i/>
          <w:iCs/>
          <w:szCs w:val="22"/>
        </w:rPr>
        <w:t>d</w:t>
      </w:r>
      <w:r w:rsidRPr="006A4B85">
        <w:rPr>
          <w:rFonts w:cs="Arial"/>
          <w:b/>
          <w:szCs w:val="22"/>
        </w:rPr>
        <w:t>)</w:t>
      </w:r>
      <w:r w:rsidRPr="00B91F58">
        <w:rPr>
          <w:rFonts w:cs="Arial"/>
          <w:szCs w:val="22"/>
        </w:rPr>
        <w:t>»;</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305" w:name="S08a03"/>
      <w:r w:rsidRPr="00B91F58">
        <w:rPr>
          <w:rFonts w:cs="Arial"/>
          <w:szCs w:val="22"/>
        </w:rPr>
        <w:t>3 –</w:t>
      </w:r>
      <w:bookmarkEnd w:id="305"/>
      <w:r w:rsidRPr="00B91F58">
        <w:rPr>
          <w:rFonts w:cs="Arial"/>
          <w:szCs w:val="22"/>
        </w:rPr>
        <w:t xml:space="preserve"> </w:t>
      </w:r>
      <w:hyperlink w:anchor="premessa08"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4F1024">
        <w:t xml:space="preserve">con riferimento ai </w:t>
      </w:r>
      <w:r w:rsidRPr="004F1024">
        <w:rPr>
          <w:b/>
        </w:rPr>
        <w:t>princìpi e criteri direttivi</w:t>
      </w:r>
      <w:r w:rsidRPr="004F1024">
        <w:t>, questi, prima di essere indicati partitamente nelle lettere del comma 2, sono preceduti all'alinea del medesimo comma dalla fissazione di un limite generale posto al legislatore delegato (il mantenimento dell'assetto e del riparto delle competenze previste dal codice della nautica da diporto), cui si accompagna l'indicazione di una specifica finalità dell'intervento legislativo (il miglioramento delle condizioni di effettiva concorrenzialità del settore nell'ambito della Strategia europea per una maggiore crescita e occupazione nel turismo costiero e marittimo COM(2014)86)</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306" w:name="S08a04"/>
      <w:r w:rsidRPr="00B91F58">
        <w:rPr>
          <w:rFonts w:cs="Arial"/>
          <w:szCs w:val="22"/>
        </w:rPr>
        <w:t>4 –</w:t>
      </w:r>
      <w:bookmarkEnd w:id="306"/>
      <w:r w:rsidRPr="00B91F58">
        <w:rPr>
          <w:rFonts w:cs="Arial"/>
          <w:szCs w:val="22"/>
        </w:rPr>
        <w:t xml:space="preserve"> </w:t>
      </w:r>
      <w:hyperlink w:anchor="premessa08"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C40E5B">
        <w:rPr>
          <w:rFonts w:cs="Arial"/>
          <w:szCs w:val="22"/>
        </w:rPr>
        <w:t xml:space="preserve">all'alinea del comma 2 è contenuta la previsione che i decreti delegati dovranno essere conformi ai </w:t>
      </w:r>
      <w:r>
        <w:rPr>
          <w:rFonts w:cs="Arial"/>
          <w:szCs w:val="22"/>
        </w:rPr>
        <w:t>“</w:t>
      </w:r>
      <w:r w:rsidRPr="00C8186B">
        <w:rPr>
          <w:rFonts w:cs="Arial"/>
          <w:b/>
          <w:szCs w:val="22"/>
        </w:rPr>
        <w:t>criteri di semplificazione delle procedure</w:t>
      </w:r>
      <w:r>
        <w:rPr>
          <w:rFonts w:cs="Arial"/>
          <w:szCs w:val="22"/>
        </w:rPr>
        <w:t>”</w:t>
      </w:r>
      <w:r w:rsidRPr="00C40E5B">
        <w:rPr>
          <w:rFonts w:cs="Arial"/>
          <w:szCs w:val="22"/>
        </w:rPr>
        <w:t xml:space="preserve"> (che sono contenuti nelle successive lettere del comma). Va peraltro rilevato che nei casi previsti in tali lettere il termine </w:t>
      </w:r>
      <w:r w:rsidRPr="00C40E5B">
        <w:rPr>
          <w:rFonts w:cs="Arial"/>
          <w:i/>
          <w:iCs/>
          <w:szCs w:val="22"/>
        </w:rPr>
        <w:t>semplificazione</w:t>
      </w:r>
      <w:r w:rsidRPr="00C40E5B">
        <w:rPr>
          <w:rFonts w:cs="Arial"/>
          <w:szCs w:val="22"/>
        </w:rPr>
        <w:t xml:space="preserve">, pur trovando un definito limite in ragione dei ristretti ambiti oggettivi o materiali cui viene correlato, non è mai seguito da particolari specificazioni che consentano di desumerne l'estensione e la portata; tale fenomeno si riscontra in particolar modo alla lettera </w:t>
      </w:r>
      <w:r w:rsidRPr="00C40E5B">
        <w:rPr>
          <w:rFonts w:cs="Arial"/>
          <w:i/>
          <w:iCs/>
          <w:szCs w:val="22"/>
        </w:rPr>
        <w:t>l)</w:t>
      </w:r>
      <w:r w:rsidRPr="00C40E5B">
        <w:rPr>
          <w:rFonts w:cs="Arial"/>
          <w:szCs w:val="22"/>
        </w:rPr>
        <w:t xml:space="preserve"> del comma 2, ove si prevede che il Governo possa procedere alla «rivalutazione e semplificazione dei requisiti psicofisici, con particolare riferimento a quelli visivi e uditivi, per il conseguimento e il rinnovo delle patenti nautiche», senza indicazione di ulteriori princìpi o criteri direttivi; in questo caso, infatti, l'impiego del concetto di «semplificazione» – che appare di immediata deducibilità quando si riferisca a norme, procedure, sistemi o simili – appare di significato più incerto con riferimento ad oggetti</w:t>
      </w:r>
      <w:r>
        <w:rPr>
          <w:rFonts w:cs="Arial"/>
          <w:szCs w:val="22"/>
        </w:rPr>
        <w:t xml:space="preserve"> quali i requisiti psicofisici</w:t>
      </w:r>
      <w:r w:rsidRPr="00B91F58">
        <w:rPr>
          <w:rFonts w:cs="Arial"/>
          <w:szCs w:val="22"/>
        </w:rPr>
        <w:t>»</w:t>
      </w:r>
      <w:r>
        <w:rPr>
          <w:rFonts w:cs="Arial"/>
          <w:szCs w:val="22"/>
        </w:rPr>
        <w:t xml:space="preserve"> </w:t>
      </w:r>
      <w:r w:rsidRPr="00B91F58">
        <w:rPr>
          <w:rFonts w:cs="Arial"/>
          <w:szCs w:val="22"/>
        </w:rPr>
        <w:t>(</w:t>
      </w:r>
      <w:hyperlink w:anchor="S08o01"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307" w:name="S08a05"/>
      <w:r w:rsidRPr="00B91F58">
        <w:rPr>
          <w:rFonts w:cs="Arial"/>
          <w:szCs w:val="22"/>
        </w:rPr>
        <w:t>5 –</w:t>
      </w:r>
      <w:bookmarkEnd w:id="307"/>
      <w:r w:rsidRPr="00B91F58">
        <w:rPr>
          <w:rFonts w:cs="Arial"/>
          <w:szCs w:val="22"/>
        </w:rPr>
        <w:t xml:space="preserve"> </w:t>
      </w:r>
      <w:hyperlink w:anchor="premessa08"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95E41">
        <w:rPr>
          <w:rFonts w:cs="Arial"/>
          <w:szCs w:val="22"/>
        </w:rPr>
        <w:t xml:space="preserve">in un caso il principio e criterio direttivo è formulato con espressioni che fanno riferimento ad una </w:t>
      </w:r>
      <w:r w:rsidRPr="00395E41">
        <w:rPr>
          <w:rFonts w:cs="Arial"/>
          <w:b/>
          <w:szCs w:val="22"/>
        </w:rPr>
        <w:t>opzione eventualmente selezionabile dal Governo delegato</w:t>
      </w:r>
      <w:r w:rsidRPr="00395E41">
        <w:rPr>
          <w:rFonts w:cs="Arial"/>
          <w:szCs w:val="22"/>
        </w:rPr>
        <w:t xml:space="preserve">; al riguardo, in un </w:t>
      </w:r>
      <w:r w:rsidRPr="00395E41">
        <w:rPr>
          <w:rFonts w:cs="Arial"/>
          <w:i/>
          <w:iCs/>
          <w:szCs w:val="22"/>
        </w:rPr>
        <w:t>obiter dictum</w:t>
      </w:r>
      <w:r w:rsidRPr="00395E41">
        <w:rPr>
          <w:rFonts w:cs="Arial"/>
          <w:szCs w:val="22"/>
        </w:rPr>
        <w:t xml:space="preserve"> la </w:t>
      </w:r>
      <w:r w:rsidRPr="00395E41">
        <w:rPr>
          <w:rFonts w:cs="Arial"/>
          <w:b/>
          <w:szCs w:val="22"/>
        </w:rPr>
        <w:t>Corte costituzionale</w:t>
      </w:r>
      <w:r w:rsidRPr="00395E41">
        <w:rPr>
          <w:rFonts w:cs="Arial"/>
          <w:szCs w:val="22"/>
        </w:rPr>
        <w:t xml:space="preserve"> ha rilevato che: «il libero apprezzamento del legislatore delegato non può mai assurgere a principio od a criterio direttivo, in quanto agli antipodi di una legislazione vincolata, quale è, per definizione, la legislazione su delega» </w:t>
      </w:r>
      <w:r w:rsidRPr="00395E41">
        <w:rPr>
          <w:rFonts w:cs="Arial"/>
          <w:szCs w:val="22"/>
        </w:rPr>
        <w:lastRenderedPageBreak/>
        <w:t>(</w:t>
      </w:r>
      <w:r w:rsidRPr="00395E41">
        <w:rPr>
          <w:rFonts w:cs="Arial"/>
          <w:b/>
          <w:szCs w:val="22"/>
        </w:rPr>
        <w:t>sentenze n.</w:t>
      </w:r>
      <w:r>
        <w:rPr>
          <w:rFonts w:cs="Arial"/>
          <w:b/>
          <w:szCs w:val="22"/>
        </w:rPr>
        <w:t xml:space="preserve"> </w:t>
      </w:r>
      <w:r w:rsidRPr="00395E41">
        <w:rPr>
          <w:rFonts w:cs="Arial"/>
          <w:b/>
          <w:szCs w:val="22"/>
        </w:rPr>
        <w:t xml:space="preserve">68 del 1991 </w:t>
      </w:r>
      <w:r w:rsidRPr="00395E41">
        <w:rPr>
          <w:rFonts w:cs="Arial"/>
          <w:szCs w:val="22"/>
        </w:rPr>
        <w:t>e</w:t>
      </w:r>
      <w:r w:rsidRPr="00395E41">
        <w:rPr>
          <w:rFonts w:cs="Arial"/>
          <w:b/>
          <w:szCs w:val="22"/>
        </w:rPr>
        <w:t xml:space="preserve"> n.</w:t>
      </w:r>
      <w:r>
        <w:rPr>
          <w:rFonts w:cs="Arial"/>
          <w:b/>
          <w:szCs w:val="22"/>
        </w:rPr>
        <w:t xml:space="preserve"> </w:t>
      </w:r>
      <w:r w:rsidRPr="00395E41">
        <w:rPr>
          <w:rFonts w:cs="Arial"/>
          <w:b/>
          <w:szCs w:val="22"/>
        </w:rPr>
        <w:t>340 del 2007</w:t>
      </w:r>
      <w:r w:rsidRPr="00395E41">
        <w:rPr>
          <w:rFonts w:cs="Arial"/>
          <w:szCs w:val="22"/>
        </w:rPr>
        <w:t xml:space="preserve">). Ciò si riscontra al comma 2, lettera </w:t>
      </w:r>
      <w:r w:rsidRPr="00395E41">
        <w:rPr>
          <w:rFonts w:cs="Arial"/>
          <w:i/>
          <w:iCs/>
          <w:szCs w:val="22"/>
        </w:rPr>
        <w:t>s)</w:t>
      </w:r>
      <w:r w:rsidRPr="00395E41">
        <w:rPr>
          <w:rFonts w:cs="Arial"/>
          <w:szCs w:val="22"/>
        </w:rPr>
        <w:t>, che lascia alla facoltà del legislatore delegato l’</w:t>
      </w:r>
      <w:r w:rsidRPr="00395E41">
        <w:rPr>
          <w:rFonts w:cs="Arial"/>
          <w:i/>
          <w:iCs/>
          <w:szCs w:val="22"/>
        </w:rPr>
        <w:t>eventuale</w:t>
      </w:r>
      <w:r w:rsidRPr="00395E41">
        <w:rPr>
          <w:rFonts w:cs="Arial"/>
          <w:szCs w:val="22"/>
        </w:rPr>
        <w:t xml:space="preserve"> inserimento nei piani formativi scolastici della cultura del mare e dell'insegna</w:t>
      </w:r>
      <w:r>
        <w:rPr>
          <w:rFonts w:cs="Arial"/>
          <w:szCs w:val="22"/>
        </w:rPr>
        <w:t>mento dell'educazione marinara</w:t>
      </w:r>
      <w:r w:rsidRPr="00B91F58">
        <w:rPr>
          <w:rFonts w:cs="Arial"/>
          <w:szCs w:val="22"/>
        </w:rPr>
        <w:t>»</w:t>
      </w:r>
      <w:r>
        <w:rPr>
          <w:rFonts w:cs="Arial"/>
          <w:szCs w:val="22"/>
        </w:rPr>
        <w:t xml:space="preserve"> </w:t>
      </w:r>
      <w:r w:rsidRPr="00B91F58">
        <w:rPr>
          <w:rFonts w:cs="Arial"/>
          <w:szCs w:val="22"/>
        </w:rPr>
        <w:t>(</w:t>
      </w:r>
      <w:hyperlink w:anchor="S08c01" w:history="1">
        <w:r>
          <w:rPr>
            <w:rStyle w:val="Collegamentoipertestuale"/>
            <w:rFonts w:cs="Arial"/>
            <w:b/>
            <w:szCs w:val="22"/>
          </w:rPr>
          <w:t>conseguente condizione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1E068A" w:rsidRDefault="000B33A8" w:rsidP="000B33A8">
      <w:pPr>
        <w:rPr>
          <w:rFonts w:cs="Arial"/>
          <w:szCs w:val="22"/>
        </w:rPr>
      </w:pPr>
      <w:bookmarkStart w:id="308" w:name="S08a05bis"/>
      <w:r>
        <w:rPr>
          <w:rFonts w:cs="Arial"/>
          <w:szCs w:val="22"/>
        </w:rPr>
        <w:t>5-</w:t>
      </w:r>
      <w:r>
        <w:rPr>
          <w:rFonts w:cs="Arial"/>
          <w:i/>
          <w:szCs w:val="22"/>
        </w:rPr>
        <w:t>bis</w:t>
      </w:r>
      <w:r>
        <w:rPr>
          <w:rFonts w:cs="Arial"/>
          <w:szCs w:val="22"/>
        </w:rPr>
        <w:t xml:space="preserve"> </w:t>
      </w:r>
      <w:bookmarkEnd w:id="308"/>
      <w:r>
        <w:rPr>
          <w:rFonts w:cs="Arial"/>
          <w:szCs w:val="22"/>
        </w:rPr>
        <w:t xml:space="preserve">- </w:t>
      </w:r>
      <w:hyperlink w:anchor="premessa08"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95E41">
        <w:rPr>
          <w:rFonts w:cs="Arial"/>
          <w:szCs w:val="22"/>
        </w:rPr>
        <w:t xml:space="preserve">Una caratterizzazione in parte analoga si riscontra alla lettera </w:t>
      </w:r>
      <w:r w:rsidRPr="00395E41">
        <w:rPr>
          <w:rFonts w:cs="Arial"/>
          <w:i/>
          <w:iCs/>
          <w:szCs w:val="22"/>
        </w:rPr>
        <w:t>o)</w:t>
      </w:r>
      <w:r w:rsidRPr="00395E41">
        <w:rPr>
          <w:rFonts w:cs="Arial"/>
          <w:szCs w:val="22"/>
        </w:rPr>
        <w:t xml:space="preserve"> del medesimo comma, ove, con formulazione di non chiara portata normativa, si attribuiscono in via esclusiva al Corpo delle capitanerie di porto-Guardia costiera le competenze relative alla pianificazione ed al coordinamento dei controlli in materia di sicurezza della navigazione condizionatamente alla previsione da parte del Governo </w:t>
      </w:r>
      <w:r>
        <w:rPr>
          <w:rFonts w:cs="Arial"/>
          <w:szCs w:val="22"/>
        </w:rPr>
        <w:t>“</w:t>
      </w:r>
      <w:r w:rsidRPr="00395E41">
        <w:rPr>
          <w:rFonts w:cs="Arial"/>
          <w:szCs w:val="22"/>
        </w:rPr>
        <w:t>di criteri di razionalizzazione ed economia delle risorse istituzionali» destinate a tali attività e «tenuto conto delle vigenti attribuzioni istituzionali in tale settore</w:t>
      </w:r>
      <w:r>
        <w:rPr>
          <w:rFonts w:cs="Arial"/>
          <w:szCs w:val="22"/>
        </w:rPr>
        <w:t>”</w:t>
      </w:r>
      <w:r w:rsidRPr="00B91F58">
        <w:rPr>
          <w:rFonts w:cs="Arial"/>
          <w:szCs w:val="22"/>
        </w:rPr>
        <w:t>»</w:t>
      </w:r>
      <w:r>
        <w:rPr>
          <w:rFonts w:cs="Arial"/>
          <w:szCs w:val="22"/>
        </w:rPr>
        <w:t xml:space="preserve"> </w:t>
      </w:r>
      <w:r w:rsidRPr="00B91F58">
        <w:rPr>
          <w:rFonts w:cs="Arial"/>
          <w:szCs w:val="22"/>
        </w:rPr>
        <w:t>(</w:t>
      </w:r>
      <w:hyperlink w:anchor="S08o02" w:history="1">
        <w:r>
          <w:rPr>
            <w:rStyle w:val="Collegamentoipertestuale"/>
            <w:rFonts w:cs="Arial"/>
            <w:b/>
            <w:szCs w:val="22"/>
          </w:rPr>
          <w:t>conseguente osservazione</w:t>
        </w:r>
      </w:hyperlink>
      <w:r w:rsidRPr="00B91F58">
        <w:rPr>
          <w:rFonts w:cs="Arial"/>
          <w:szCs w:val="22"/>
        </w:rPr>
        <w:t>)</w:t>
      </w:r>
      <w:r>
        <w:rPr>
          <w:rFonts w:cs="Arial"/>
          <w:szCs w:val="22"/>
        </w:rPr>
        <w:t>;</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309" w:name="S08a06"/>
      <w:r w:rsidRPr="00B91F58">
        <w:rPr>
          <w:rFonts w:cs="Arial"/>
          <w:szCs w:val="22"/>
        </w:rPr>
        <w:t>6 –</w:t>
      </w:r>
      <w:bookmarkEnd w:id="309"/>
      <w:r w:rsidRPr="00B91F58">
        <w:rPr>
          <w:rFonts w:cs="Arial"/>
          <w:szCs w:val="22"/>
        </w:rPr>
        <w:t xml:space="preserve"> </w:t>
      </w:r>
      <w:hyperlink w:anchor="premessa08"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A72FEA">
        <w:rPr>
          <w:rFonts w:cs="Arial"/>
          <w:szCs w:val="22"/>
        </w:rPr>
        <w:t xml:space="preserve">in tema di </w:t>
      </w:r>
      <w:r w:rsidRPr="00A72FEA">
        <w:rPr>
          <w:rFonts w:cs="Arial"/>
          <w:b/>
          <w:szCs w:val="22"/>
        </w:rPr>
        <w:t>coordinamento interno</w:t>
      </w:r>
      <w:r w:rsidRPr="00A72FEA">
        <w:rPr>
          <w:rFonts w:cs="Arial"/>
          <w:szCs w:val="22"/>
        </w:rPr>
        <w:t xml:space="preserve">, appare necessario coordinare la lettera </w:t>
      </w:r>
      <w:r w:rsidRPr="00A72FEA">
        <w:rPr>
          <w:rFonts w:cs="Arial"/>
          <w:i/>
          <w:iCs/>
          <w:szCs w:val="22"/>
        </w:rPr>
        <w:t>i)</w:t>
      </w:r>
      <w:r w:rsidRPr="00A72FEA">
        <w:rPr>
          <w:rFonts w:cs="Arial"/>
          <w:szCs w:val="22"/>
        </w:rPr>
        <w:t xml:space="preserve"> del comma 2, che prevede la «revisione della disciplina della mediazione nei contratti di costruzione, di compravendita, di locazione, di noleggio di navi e nei contratti di trasporto marittimo al fine di adattarla alle specifiche esigenze e caratteristiche del settore della nautica da diporto» con la successiva lettera </w:t>
      </w:r>
      <w:r w:rsidRPr="00A72FEA">
        <w:rPr>
          <w:rFonts w:cs="Arial"/>
          <w:i/>
          <w:iCs/>
          <w:szCs w:val="22"/>
        </w:rPr>
        <w:t>m)</w:t>
      </w:r>
      <w:r w:rsidRPr="00A72FEA">
        <w:rPr>
          <w:rFonts w:cs="Arial"/>
          <w:szCs w:val="22"/>
        </w:rPr>
        <w:t xml:space="preserve">, recante «l'introduzione di una normativa semplificata della mediazione nel diporto», di contenuto in buona parte sovrapponibile; analoga esigenza di coordinamento si pone tra il comma 2, lettera </w:t>
      </w:r>
      <w:r w:rsidRPr="00A72FEA">
        <w:rPr>
          <w:rFonts w:cs="Arial"/>
          <w:i/>
          <w:iCs/>
          <w:szCs w:val="22"/>
        </w:rPr>
        <w:t>p)</w:t>
      </w:r>
      <w:r w:rsidRPr="00A72FEA">
        <w:rPr>
          <w:rFonts w:cs="Arial"/>
          <w:szCs w:val="22"/>
        </w:rPr>
        <w:t>, che prevede la modifica del decreto legislativo n.</w:t>
      </w:r>
      <w:r>
        <w:rPr>
          <w:rFonts w:cs="Arial"/>
          <w:szCs w:val="22"/>
        </w:rPr>
        <w:t xml:space="preserve"> </w:t>
      </w:r>
      <w:r w:rsidRPr="00A72FEA">
        <w:rPr>
          <w:rFonts w:cs="Arial"/>
          <w:szCs w:val="22"/>
        </w:rPr>
        <w:t>53 del 2011, con il comma 1 del provvedimento che, nel definire l'oggetto della delega, prevede la sola modifica del decreto legislativo n.</w:t>
      </w:r>
      <w:r>
        <w:rPr>
          <w:rFonts w:cs="Arial"/>
          <w:szCs w:val="22"/>
        </w:rPr>
        <w:t xml:space="preserve"> </w:t>
      </w:r>
      <w:r w:rsidRPr="00A72FEA">
        <w:rPr>
          <w:rFonts w:cs="Arial"/>
          <w:szCs w:val="22"/>
        </w:rPr>
        <w:t>171 del 2005 (codice della nautica da diporto) e non anche quella del decreto legislativo n.</w:t>
      </w:r>
      <w:r>
        <w:rPr>
          <w:rFonts w:cs="Arial"/>
          <w:szCs w:val="22"/>
        </w:rPr>
        <w:t xml:space="preserve"> </w:t>
      </w:r>
      <w:r w:rsidRPr="00A72FEA">
        <w:rPr>
          <w:rFonts w:cs="Arial"/>
          <w:szCs w:val="22"/>
        </w:rPr>
        <w:t>53 del 2011</w:t>
      </w:r>
      <w:r>
        <w:rPr>
          <w:rFonts w:cs="Arial"/>
          <w:szCs w:val="22"/>
        </w:rPr>
        <w:t xml:space="preserve"> </w:t>
      </w:r>
      <w:r w:rsidRPr="00B91F58">
        <w:rPr>
          <w:rFonts w:cs="Arial"/>
          <w:szCs w:val="22"/>
        </w:rPr>
        <w:t>»</w:t>
      </w:r>
      <w:r>
        <w:rPr>
          <w:rFonts w:cs="Arial"/>
          <w:szCs w:val="22"/>
        </w:rPr>
        <w:t xml:space="preserve"> </w:t>
      </w:r>
      <w:r w:rsidRPr="00B91F58">
        <w:rPr>
          <w:rFonts w:cs="Arial"/>
          <w:szCs w:val="22"/>
        </w:rPr>
        <w:t>(</w:t>
      </w:r>
      <w:hyperlink w:anchor="S08o03" w:history="1">
        <w:r>
          <w:rPr>
            <w:rStyle w:val="Collegamentoipertestuale"/>
            <w:rFonts w:cs="Arial"/>
            <w:b/>
            <w:szCs w:val="22"/>
          </w:rPr>
          <w:t>conseguente osservazione</w:t>
        </w:r>
      </w:hyperlink>
      <w:r w:rsidRPr="00B91F58">
        <w:rPr>
          <w:rFonts w:cs="Arial"/>
          <w:szCs w:val="22"/>
        </w:rPr>
        <w:t>)</w:t>
      </w:r>
      <w:r>
        <w:rPr>
          <w:rFonts w:cs="Arial"/>
          <w:szCs w:val="22"/>
        </w:rPr>
        <w:t>;</w:t>
      </w:r>
      <w:r w:rsidRPr="00B91F58">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310" w:name="S08a07"/>
      <w:r w:rsidRPr="00B91F58">
        <w:rPr>
          <w:rFonts w:cs="Arial"/>
          <w:szCs w:val="22"/>
        </w:rPr>
        <w:t>7 –</w:t>
      </w:r>
      <w:bookmarkEnd w:id="310"/>
      <w:r w:rsidRPr="00B91F58">
        <w:rPr>
          <w:rFonts w:cs="Arial"/>
          <w:szCs w:val="22"/>
        </w:rPr>
        <w:t xml:space="preserve"> </w:t>
      </w:r>
      <w:hyperlink w:anchor="premessa08"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54398">
        <w:rPr>
          <w:rFonts w:cs="Arial"/>
          <w:szCs w:val="22"/>
        </w:rPr>
        <w:t>il disegno di legge è corredato sia dalla relazione per l'analisi tecnico-normativa (</w:t>
      </w:r>
      <w:r w:rsidRPr="00654398">
        <w:rPr>
          <w:rFonts w:cs="Arial"/>
          <w:b/>
          <w:szCs w:val="22"/>
        </w:rPr>
        <w:t>ATN</w:t>
      </w:r>
      <w:r w:rsidRPr="00654398">
        <w:rPr>
          <w:rFonts w:cs="Arial"/>
          <w:szCs w:val="22"/>
        </w:rPr>
        <w:t>), sia dalla relazione per l'analisi di impat</w:t>
      </w:r>
      <w:r>
        <w:rPr>
          <w:rFonts w:cs="Arial"/>
          <w:szCs w:val="22"/>
        </w:rPr>
        <w:t>to della regolamentazione (</w:t>
      </w:r>
      <w:r w:rsidRPr="00654398">
        <w:rPr>
          <w:rFonts w:cs="Arial"/>
          <w:b/>
          <w:szCs w:val="22"/>
        </w:rPr>
        <w:t>AIR</w:t>
      </w:r>
      <w:r>
        <w:rPr>
          <w:rFonts w:cs="Arial"/>
          <w:szCs w:val="22"/>
        </w:rPr>
        <w:t>)</w:t>
      </w:r>
      <w:r w:rsidRPr="00B91F58">
        <w:rPr>
          <w:rFonts w:cs="Arial"/>
          <w:szCs w:val="22"/>
        </w:rPr>
        <w:t>»</w:t>
      </w:r>
      <w:r>
        <w:rPr>
          <w:rFonts w:cs="Arial"/>
          <w:szCs w:val="22"/>
        </w:rPr>
        <w:t>;</w:t>
      </w: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szCs w:val="22"/>
        </w:rPr>
      </w:pPr>
      <w:bookmarkStart w:id="311" w:name="S08C"/>
      <w:r w:rsidRPr="00B91F58">
        <w:rPr>
          <w:rFonts w:cs="Arial"/>
          <w:b/>
          <w:szCs w:val="22"/>
        </w:rPr>
        <w:t>Condizioni</w:t>
      </w:r>
      <w:r w:rsidRPr="00B91F58">
        <w:rPr>
          <w:rFonts w:cs="Arial"/>
          <w:szCs w:val="22"/>
        </w:rPr>
        <w:t xml:space="preserve">: </w:t>
      </w:r>
    </w:p>
    <w:bookmarkEnd w:id="311"/>
    <w:p w:rsidR="000B33A8" w:rsidRDefault="000B33A8" w:rsidP="000B33A8">
      <w:pPr>
        <w:keepNext/>
        <w:ind w:firstLine="0"/>
        <w:rPr>
          <w:rFonts w:cs="Arial"/>
          <w:i/>
          <w:szCs w:val="22"/>
        </w:rPr>
      </w:pPr>
      <w:r w:rsidRPr="00C733BB">
        <w:rPr>
          <w:rFonts w:cs="Arial"/>
          <w:i/>
          <w:szCs w:val="22"/>
        </w:rPr>
        <w:t>sotto il profilo della chiarezza e della proprietà della formulazione</w:t>
      </w:r>
      <w:r w:rsidRPr="00D249C1">
        <w:rPr>
          <w:rFonts w:cs="Arial"/>
          <w:i/>
          <w:szCs w:val="22"/>
        </w:rPr>
        <w:t>:</w:t>
      </w:r>
    </w:p>
    <w:p w:rsidR="000B33A8" w:rsidRPr="00B91F58" w:rsidRDefault="000B33A8" w:rsidP="00B26E1F">
      <w:pPr>
        <w:pStyle w:val="Paragrafoelenco"/>
        <w:numPr>
          <w:ilvl w:val="0"/>
          <w:numId w:val="35"/>
        </w:numPr>
        <w:ind w:left="567" w:hanging="283"/>
        <w:rPr>
          <w:rFonts w:cs="Arial"/>
          <w:szCs w:val="22"/>
        </w:rPr>
      </w:pPr>
      <w:bookmarkStart w:id="312" w:name="S08c01"/>
      <w:r w:rsidRPr="00947C37">
        <w:rPr>
          <w:rFonts w:cs="Arial"/>
          <w:szCs w:val="22"/>
        </w:rPr>
        <w:t xml:space="preserve">per quanto detto in </w:t>
      </w:r>
      <w:bookmarkEnd w:id="312"/>
      <w:r w:rsidRPr="00947C37">
        <w:rPr>
          <w:rFonts w:cs="Arial"/>
          <w:szCs w:val="22"/>
        </w:rPr>
        <w:t xml:space="preserve">premessa, si specifichino i principi e i criteri direttivi, di cui al comma 2, lettera </w:t>
      </w:r>
      <w:r w:rsidRPr="00947C37">
        <w:rPr>
          <w:rFonts w:cs="Arial"/>
          <w:i/>
          <w:iCs/>
          <w:szCs w:val="22"/>
        </w:rPr>
        <w:t>s)</w:t>
      </w:r>
      <w:r w:rsidRPr="00947C37">
        <w:rPr>
          <w:rFonts w:cs="Arial"/>
          <w:szCs w:val="22"/>
        </w:rPr>
        <w:t>, che fanno riferimento al libero apprezz</w:t>
      </w:r>
      <w:r>
        <w:rPr>
          <w:rFonts w:cs="Arial"/>
          <w:szCs w:val="22"/>
        </w:rPr>
        <w:t xml:space="preserve">amento del legislatore delegato; </w:t>
      </w:r>
      <w:hyperlink w:anchor="premessa08" w:history="1">
        <w:r w:rsidRPr="00D249C1">
          <w:rPr>
            <w:rStyle w:val="Collegamentoipertestuale"/>
            <w:rFonts w:cs="Arial"/>
            <w:szCs w:val="22"/>
          </w:rPr>
          <w:t>[torna su]</w:t>
        </w:r>
      </w:hyperlink>
      <w:r>
        <w:rPr>
          <w:rStyle w:val="Collegamentoipertestuale"/>
          <w:rFonts w:cs="Arial"/>
          <w:szCs w:val="22"/>
        </w:rPr>
        <w:t xml:space="preserve"> </w:t>
      </w:r>
      <w:r>
        <w:rPr>
          <w:rStyle w:val="Collegamentoipertestuale"/>
          <w:rFonts w:cs="Arial"/>
          <w:szCs w:val="22"/>
        </w:rPr>
        <w:br/>
      </w:r>
    </w:p>
    <w:p w:rsidR="000B33A8" w:rsidRPr="00B91F58" w:rsidRDefault="000B33A8" w:rsidP="000B33A8">
      <w:pPr>
        <w:keepNext/>
        <w:tabs>
          <w:tab w:val="num" w:pos="567"/>
        </w:tabs>
        <w:ind w:firstLine="0"/>
        <w:rPr>
          <w:rFonts w:cs="Arial"/>
          <w:szCs w:val="22"/>
        </w:rPr>
      </w:pP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313" w:name="S08O"/>
      <w:r>
        <w:rPr>
          <w:rFonts w:cs="Arial"/>
          <w:b/>
          <w:szCs w:val="22"/>
        </w:rPr>
        <w:t>Osservazioni</w:t>
      </w:r>
      <w:r w:rsidRPr="00B91F58">
        <w:rPr>
          <w:rFonts w:cs="Arial"/>
          <w:szCs w:val="22"/>
        </w:rPr>
        <w:t xml:space="preserve">: </w:t>
      </w:r>
    </w:p>
    <w:bookmarkEnd w:id="313"/>
    <w:p w:rsidR="000B33A8" w:rsidRDefault="000B33A8" w:rsidP="000B33A8">
      <w:pPr>
        <w:keepNext/>
        <w:ind w:firstLine="0"/>
        <w:rPr>
          <w:rFonts w:cs="Arial"/>
          <w:i/>
          <w:szCs w:val="22"/>
        </w:rPr>
      </w:pPr>
      <w:r w:rsidRPr="00C733BB">
        <w:rPr>
          <w:rFonts w:cs="Arial"/>
          <w:i/>
          <w:szCs w:val="22"/>
        </w:rPr>
        <w:t>sotto il profilo della chiarezza e della proprietà della formulazione</w:t>
      </w:r>
      <w:r w:rsidRPr="00D249C1">
        <w:rPr>
          <w:rFonts w:cs="Arial"/>
          <w:i/>
          <w:szCs w:val="22"/>
        </w:rPr>
        <w:t>:</w:t>
      </w:r>
      <w:r>
        <w:rPr>
          <w:rFonts w:cs="Arial"/>
          <w:i/>
          <w:szCs w:val="22"/>
        </w:rPr>
        <w:t xml:space="preserve"> </w:t>
      </w:r>
    </w:p>
    <w:p w:rsidR="000B33A8" w:rsidRPr="007B3F20" w:rsidRDefault="000B33A8" w:rsidP="00B26E1F">
      <w:pPr>
        <w:pStyle w:val="Paragrafoelenco"/>
        <w:numPr>
          <w:ilvl w:val="0"/>
          <w:numId w:val="36"/>
        </w:numPr>
        <w:ind w:left="567" w:hanging="283"/>
        <w:rPr>
          <w:rStyle w:val="Collegamentoipertestuale"/>
          <w:rFonts w:cs="Arial"/>
          <w:szCs w:val="22"/>
        </w:rPr>
      </w:pPr>
      <w:bookmarkStart w:id="314" w:name="S08o01"/>
      <w:r w:rsidRPr="00947C37">
        <w:rPr>
          <w:rFonts w:cs="Arial"/>
          <w:szCs w:val="22"/>
        </w:rPr>
        <w:t xml:space="preserve">andrebbe valutata l'opportunità </w:t>
      </w:r>
      <w:bookmarkEnd w:id="314"/>
      <w:r w:rsidRPr="00947C37">
        <w:rPr>
          <w:rFonts w:cs="Arial"/>
          <w:szCs w:val="22"/>
        </w:rPr>
        <w:t xml:space="preserve">di specificare maggiormente i princìpi e i criteri direttivi che fanno riferimento al criterio della semplificazione, con particolare riferimento al comma 2, lettera </w:t>
      </w:r>
      <w:r w:rsidRPr="00947C37">
        <w:rPr>
          <w:rFonts w:cs="Arial"/>
          <w:i/>
          <w:iCs/>
          <w:szCs w:val="22"/>
        </w:rPr>
        <w:t>l)</w:t>
      </w:r>
      <w:r>
        <w:rPr>
          <w:rFonts w:cs="Arial"/>
          <w:szCs w:val="22"/>
        </w:rPr>
        <w:t xml:space="preserve">; </w:t>
      </w:r>
      <w:hyperlink w:anchor="premessa08" w:history="1">
        <w:r w:rsidRPr="00D249C1">
          <w:rPr>
            <w:rStyle w:val="Collegamentoipertestuale"/>
            <w:rFonts w:cs="Arial"/>
            <w:szCs w:val="22"/>
          </w:rPr>
          <w:t>[torna su]</w:t>
        </w:r>
      </w:hyperlink>
      <w:r>
        <w:rPr>
          <w:rStyle w:val="Collegamentoipertestuale"/>
          <w:rFonts w:cs="Arial"/>
          <w:szCs w:val="22"/>
        </w:rPr>
        <w:t xml:space="preserve"> </w:t>
      </w:r>
    </w:p>
    <w:p w:rsidR="000B33A8" w:rsidRPr="0048034C" w:rsidRDefault="000B33A8" w:rsidP="00B26E1F">
      <w:pPr>
        <w:pStyle w:val="Paragrafoelenco"/>
        <w:numPr>
          <w:ilvl w:val="0"/>
          <w:numId w:val="36"/>
        </w:numPr>
        <w:ind w:left="567" w:hanging="283"/>
        <w:rPr>
          <w:rStyle w:val="Collegamentoipertestuale"/>
          <w:rFonts w:cs="Arial"/>
          <w:szCs w:val="22"/>
        </w:rPr>
      </w:pPr>
      <w:bookmarkStart w:id="315" w:name="S08o02"/>
      <w:r w:rsidRPr="00947C37">
        <w:rPr>
          <w:rFonts w:cs="Arial"/>
          <w:szCs w:val="22"/>
        </w:rPr>
        <w:t xml:space="preserve">al comma 2, lettera </w:t>
      </w:r>
      <w:r w:rsidRPr="00947C37">
        <w:rPr>
          <w:rFonts w:cs="Arial"/>
          <w:i/>
          <w:iCs/>
          <w:szCs w:val="22"/>
        </w:rPr>
        <w:t>o)</w:t>
      </w:r>
      <w:r w:rsidRPr="00947C37">
        <w:rPr>
          <w:rFonts w:cs="Arial"/>
          <w:szCs w:val="22"/>
        </w:rPr>
        <w:t xml:space="preserve">, </w:t>
      </w:r>
      <w:bookmarkEnd w:id="315"/>
      <w:r w:rsidRPr="00947C37">
        <w:rPr>
          <w:rFonts w:cs="Arial"/>
          <w:szCs w:val="22"/>
        </w:rPr>
        <w:t>andrebbe valutata l'opportunità di rafforzare l'efficacia cogente della disposizione, eventualmente prevedendo l'inserimento di un termine</w:t>
      </w:r>
      <w:r>
        <w:rPr>
          <w:rFonts w:cs="Arial"/>
          <w:szCs w:val="22"/>
        </w:rPr>
        <w:t xml:space="preserve"> </w:t>
      </w:r>
      <w:r w:rsidRPr="00947C37">
        <w:rPr>
          <w:rFonts w:cs="Arial"/>
          <w:szCs w:val="22"/>
        </w:rPr>
        <w:t>a decorrere dal quale operino le competenze esclusive del Corpo delle capitanerie di porto</w:t>
      </w:r>
      <w:r>
        <w:rPr>
          <w:rFonts w:cs="Arial"/>
          <w:szCs w:val="22"/>
        </w:rPr>
        <w:t xml:space="preserve">; </w:t>
      </w:r>
      <w:hyperlink w:anchor="premessa08" w:history="1">
        <w:r w:rsidRPr="00D249C1">
          <w:rPr>
            <w:rStyle w:val="Collegamentoipertestuale"/>
            <w:rFonts w:cs="Arial"/>
            <w:szCs w:val="22"/>
          </w:rPr>
          <w:t>[torna su]</w:t>
        </w:r>
      </w:hyperlink>
      <w:r>
        <w:rPr>
          <w:rStyle w:val="Collegamentoipertestuale"/>
          <w:rFonts w:cs="Arial"/>
          <w:szCs w:val="22"/>
        </w:rPr>
        <w:t xml:space="preserve"> </w:t>
      </w:r>
    </w:p>
    <w:p w:rsidR="000B33A8" w:rsidRPr="00A732FE" w:rsidRDefault="000B33A8" w:rsidP="00B26E1F">
      <w:pPr>
        <w:pStyle w:val="Paragrafoelenco"/>
        <w:numPr>
          <w:ilvl w:val="0"/>
          <w:numId w:val="36"/>
        </w:numPr>
        <w:ind w:left="567" w:hanging="283"/>
        <w:rPr>
          <w:rStyle w:val="Collegamentoipertestuale"/>
          <w:rFonts w:cs="Arial"/>
          <w:szCs w:val="22"/>
        </w:rPr>
      </w:pPr>
      <w:bookmarkStart w:id="316" w:name="S08o03"/>
      <w:r w:rsidRPr="00947C37">
        <w:rPr>
          <w:rFonts w:cs="Arial"/>
          <w:szCs w:val="22"/>
        </w:rPr>
        <w:t xml:space="preserve">si dovrebbe assicurare il </w:t>
      </w:r>
      <w:bookmarkEnd w:id="316"/>
      <w:r w:rsidRPr="00947C37">
        <w:rPr>
          <w:rFonts w:cs="Arial"/>
          <w:szCs w:val="22"/>
        </w:rPr>
        <w:t xml:space="preserve">coordinamento interno tra il comma 1 ed il comma 2, lettera </w:t>
      </w:r>
      <w:r w:rsidRPr="00947C37">
        <w:rPr>
          <w:rFonts w:cs="Arial"/>
          <w:i/>
          <w:iCs/>
          <w:szCs w:val="22"/>
        </w:rPr>
        <w:t>p)</w:t>
      </w:r>
      <w:r w:rsidRPr="00947C37">
        <w:rPr>
          <w:rFonts w:cs="Arial"/>
          <w:szCs w:val="22"/>
        </w:rPr>
        <w:t xml:space="preserve">, e fra le lettere </w:t>
      </w:r>
      <w:r w:rsidRPr="00947C37">
        <w:rPr>
          <w:rFonts w:cs="Arial"/>
          <w:i/>
          <w:iCs/>
          <w:szCs w:val="22"/>
        </w:rPr>
        <w:t>i)</w:t>
      </w:r>
      <w:r w:rsidRPr="00947C37">
        <w:rPr>
          <w:rFonts w:cs="Arial"/>
          <w:szCs w:val="22"/>
        </w:rPr>
        <w:t xml:space="preserve"> ed </w:t>
      </w:r>
      <w:r w:rsidRPr="00947C37">
        <w:rPr>
          <w:rFonts w:cs="Arial"/>
          <w:i/>
          <w:iCs/>
          <w:szCs w:val="22"/>
        </w:rPr>
        <w:t>m)</w:t>
      </w:r>
      <w:r w:rsidRPr="00947C37">
        <w:rPr>
          <w:rFonts w:cs="Arial"/>
          <w:szCs w:val="22"/>
        </w:rPr>
        <w:t xml:space="preserve"> del comma 2</w:t>
      </w:r>
      <w:r w:rsidRPr="006370EC">
        <w:rPr>
          <w:rFonts w:cs="Arial"/>
          <w:szCs w:val="22"/>
        </w:rPr>
        <w:t>.</w:t>
      </w:r>
      <w:r>
        <w:rPr>
          <w:rFonts w:cs="Arial"/>
          <w:szCs w:val="22"/>
        </w:rPr>
        <w:t xml:space="preserve"> </w:t>
      </w:r>
      <w:hyperlink w:anchor="premessa08"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ind w:left="567" w:hanging="283"/>
        <w:rPr>
          <w:rFonts w:cs="Arial"/>
          <w:i/>
          <w:szCs w:val="22"/>
        </w:rPr>
      </w:pPr>
    </w:p>
    <w:p w:rsidR="000B33A8" w:rsidRDefault="000B33A8" w:rsidP="000B33A8">
      <w:pPr>
        <w:ind w:left="567" w:hanging="283"/>
        <w:rPr>
          <w:rFonts w:cs="Arial"/>
          <w:szCs w:val="22"/>
        </w:rPr>
        <w:sectPr w:rsidR="000B33A8" w:rsidSect="000B33A8">
          <w:headerReference w:type="default" r:id="rId317"/>
          <w:footerReference w:type="even" r:id="rId318"/>
          <w:footerReference w:type="default" r:id="rId319"/>
          <w:pgSz w:w="11906" w:h="16838" w:code="9"/>
          <w:pgMar w:top="1985" w:right="1985" w:bottom="1985" w:left="1985" w:header="1134" w:footer="1134" w:gutter="0"/>
          <w:cols w:space="720"/>
          <w:formProt w:val="0"/>
        </w:sectPr>
      </w:pPr>
    </w:p>
    <w:p w:rsidR="000B33A8" w:rsidRPr="00B91F58" w:rsidRDefault="000B33A8" w:rsidP="000B33A8">
      <w:pPr>
        <w:ind w:left="567" w:hanging="283"/>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0009</w:t>
            </w:r>
          </w:p>
        </w:tc>
        <w:tc>
          <w:tcPr>
            <w:tcW w:w="750" w:type="pct"/>
            <w:shd w:val="clear" w:color="auto" w:fill="auto"/>
          </w:tcPr>
          <w:p w:rsidR="000B33A8" w:rsidRPr="00B26E1F" w:rsidRDefault="000B33A8" w:rsidP="000B33A8">
            <w:pPr>
              <w:pStyle w:val="Collegamento"/>
              <w:rPr>
                <w:rFonts w:cs="Arial"/>
              </w:rPr>
            </w:pPr>
            <w:r w:rsidRPr="00B26E1F">
              <w:rPr>
                <w:rFonts w:cs="Arial"/>
              </w:rPr>
              <w:t>2994</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20" w:history="1">
              <w:r w:rsidR="000B33A8" w:rsidRPr="00B26E1F">
                <w:rPr>
                  <w:rStyle w:val="Collegamentoipertestuale"/>
                  <w:rFonts w:cs="Arial"/>
                </w:rPr>
                <w:t>ddl Governo</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Delega per la “buona scuola”</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21" w:anchor="data.20150428.com48.bollettino.sede00030.tit00020" w:history="1">
              <w:r w:rsidR="000B33A8">
                <w:rPr>
                  <w:rStyle w:val="Collegamentoipertestuale"/>
                </w:rPr>
                <w:t>28/04/2015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6-</w:t>
            </w:r>
            <w:r w:rsidRPr="00B26E1F">
              <w:rPr>
                <w:rFonts w:cs="Arial"/>
                <w:b/>
                <w:bCs/>
                <w:i/>
                <w:sz w:val="24"/>
              </w:rPr>
              <w:t>BIS</w:t>
            </w:r>
            <w:r w:rsidRPr="00B26E1F">
              <w:rPr>
                <w:rFonts w:cs="Arial"/>
                <w:b/>
                <w:bCs/>
                <w:sz w:val="24"/>
              </w:rPr>
              <w:t>,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317" w:name="premessa09"/>
            <w:r w:rsidRPr="00B26E1F">
              <w:rPr>
                <w:rFonts w:cs="Arial"/>
                <w:b/>
                <w:color w:val="0000FF"/>
                <w:sz w:val="24"/>
                <w:szCs w:val="24"/>
              </w:rPr>
              <w:t>Premessa</w:t>
            </w:r>
            <w:bookmarkEnd w:id="317"/>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10 Condizioni, 19 Osservazioni</w:t>
            </w:r>
          </w:p>
        </w:tc>
      </w:tr>
      <w:tr w:rsidR="000B33A8" w:rsidRPr="008B2DCE" w:rsidTr="00B26E1F">
        <w:trPr>
          <w:trHeight w:val="55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9a01" w:history="1">
              <w:r w:rsidR="000B33A8" w:rsidRPr="00D40FBA">
                <w:rPr>
                  <w:rStyle w:val="Collegamentoipertestuale"/>
                </w:rPr>
                <w:t>1</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520217" w:rsidRDefault="00EB0878" w:rsidP="00B26E1F">
            <w:pPr>
              <w:spacing w:before="100" w:beforeAutospacing="1" w:after="100" w:afterAutospacing="1"/>
              <w:ind w:firstLine="0"/>
            </w:pPr>
            <w:hyperlink w:anchor="S09a01bis" w:history="1">
              <w:r w:rsidR="000B33A8" w:rsidRPr="00915ED9">
                <w:rPr>
                  <w:rStyle w:val="Collegamentoipertestuale"/>
                </w:rPr>
                <w:t>1-</w:t>
              </w:r>
              <w:r w:rsidR="000B33A8" w:rsidRPr="00B26E1F">
                <w:rPr>
                  <w:rStyle w:val="Collegamentoipertestuale"/>
                  <w:i/>
                </w:rPr>
                <w:t>bis</w:t>
              </w:r>
            </w:hyperlink>
            <w:r w:rsidR="000B33A8" w:rsidRPr="00B26E1F">
              <w:rPr>
                <w:i/>
              </w:rPr>
              <w:t xml:space="preserve"> – </w:t>
            </w:r>
            <w:r w:rsidR="000B33A8">
              <w:t>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Modifiche non testuali; stratificazione normativa.</w:t>
            </w:r>
          </w:p>
        </w:tc>
      </w:tr>
      <w:tr w:rsidR="000B33A8" w:rsidRPr="008B2DCE" w:rsidTr="00B26E1F">
        <w:trPr>
          <w:trHeight w:val="697"/>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9a02" w:history="1">
              <w:r w:rsidR="000B33A8" w:rsidRPr="00812559">
                <w:rPr>
                  <w:rStyle w:val="Collegamentoipertestuale"/>
                </w:rPr>
                <w:t>2</w:t>
              </w:r>
            </w:hyperlink>
            <w:r w:rsidR="000B33A8" w:rsidRPr="00B26E1F">
              <w:rPr>
                <w:rFonts w:cs="Arial"/>
              </w:rPr>
              <w:t xml:space="preserve"> – Procedure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Termini per l’esercizio della delega compilativa.</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9a03" w:history="1">
              <w:r w:rsidR="000B33A8" w:rsidRPr="00812559">
                <w:rPr>
                  <w:rStyle w:val="Collegamentoipertestuale"/>
                </w:rPr>
                <w:t>3</w:t>
              </w:r>
            </w:hyperlink>
            <w:r w:rsidR="000B33A8" w:rsidRPr="00B26E1F">
              <w:rPr>
                <w:rFonts w:cs="Arial"/>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Principi e criteri direttivi vaghi e non dettagliati, in alcuni casi sovrapposti all’oggetto della delega. Richiamo al punto 2, lettera </w:t>
            </w:r>
            <w:r w:rsidRPr="00B26E1F">
              <w:rPr>
                <w:rFonts w:cs="Arial"/>
                <w:i/>
              </w:rPr>
              <w:t>d)</w:t>
            </w:r>
            <w:r w:rsidRPr="00B26E1F">
              <w:rPr>
                <w:rFonts w:cs="Arial"/>
              </w:rPr>
              <w:t xml:space="preserve"> della circolare sulla formulazione tecnica dei testi normativi.</w:t>
            </w:r>
          </w:p>
          <w:p w:rsidR="000B33A8" w:rsidRPr="00B26E1F" w:rsidRDefault="000B33A8" w:rsidP="00B26E1F">
            <w:pPr>
              <w:spacing w:before="100" w:beforeAutospacing="1" w:after="100" w:afterAutospacing="1"/>
              <w:ind w:firstLine="0"/>
              <w:rPr>
                <w:rFonts w:cs="Arial"/>
              </w:rPr>
            </w:pPr>
            <w:r w:rsidRPr="00B26E1F">
              <w:rPr>
                <w:rFonts w:cs="Arial"/>
              </w:rPr>
              <w:t>Condizione 3</w:t>
            </w:r>
          </w:p>
        </w:tc>
      </w:tr>
      <w:tr w:rsidR="000B33A8" w:rsidRPr="008B2DCE" w:rsidTr="00B26E1F">
        <w:trPr>
          <w:trHeight w:val="94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2204D6" w:rsidRDefault="00EB0878" w:rsidP="00B26E1F">
            <w:pPr>
              <w:spacing w:before="100" w:beforeAutospacing="1" w:after="100" w:afterAutospacing="1"/>
              <w:ind w:firstLine="0"/>
            </w:pPr>
            <w:hyperlink w:anchor="S09a03bis" w:history="1">
              <w:r w:rsidR="000B33A8" w:rsidRPr="00915ED9">
                <w:rPr>
                  <w:rStyle w:val="Collegamentoipertestuale"/>
                </w:rPr>
                <w:t>3-</w:t>
              </w:r>
              <w:r w:rsidR="000B33A8" w:rsidRPr="00B26E1F">
                <w:rPr>
                  <w:rStyle w:val="Collegamentoipertestuale"/>
                  <w:i/>
                </w:rPr>
                <w:t>bis</w:t>
              </w:r>
            </w:hyperlink>
            <w:r w:rsidR="000B33A8">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Criterio direttivo non afferente all’oggetto di delega al quale è riferito;</w:t>
            </w:r>
          </w:p>
          <w:p w:rsidR="000B33A8" w:rsidRPr="00B26E1F" w:rsidRDefault="000B33A8" w:rsidP="00B26E1F">
            <w:pPr>
              <w:spacing w:before="100" w:beforeAutospacing="1" w:after="100" w:afterAutospacing="1"/>
              <w:ind w:firstLine="0"/>
              <w:rPr>
                <w:rFonts w:cs="Arial"/>
              </w:rPr>
            </w:pPr>
            <w:r w:rsidRPr="00B26E1F">
              <w:rPr>
                <w:rFonts w:cs="Arial"/>
              </w:rPr>
              <w:t>Condizione 4</w:t>
            </w:r>
          </w:p>
        </w:tc>
      </w:tr>
      <w:tr w:rsidR="000B33A8" w:rsidRPr="008B2DCE" w:rsidTr="00FC05F5">
        <w:trPr>
          <w:trHeight w:val="41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9a04" w:history="1">
              <w:r w:rsidR="000B33A8" w:rsidRPr="00812559">
                <w:rPr>
                  <w:rStyle w:val="Collegamentoipertestuale"/>
                </w:rPr>
                <w:t>4</w:t>
              </w:r>
            </w:hyperlink>
            <w:r w:rsidR="000B33A8" w:rsidRPr="00B26E1F">
              <w:rPr>
                <w:rFonts w:cs="Arial"/>
              </w:rPr>
              <w:t xml:space="preserve"> – Procedure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Scorrimento dei termini per l’esercizio della delega principale e di quelle correttive e integrative. Richiamo al parere del Comitato sull’AC 2617 (11/12/2014, turno on. Taglialatela, Scheda 31).</w:t>
            </w:r>
          </w:p>
          <w:p w:rsidR="000B33A8" w:rsidRPr="00B26E1F" w:rsidRDefault="000B33A8" w:rsidP="00B26E1F">
            <w:pPr>
              <w:spacing w:before="100" w:beforeAutospacing="1" w:after="100" w:afterAutospacing="1"/>
              <w:ind w:firstLine="0"/>
              <w:rPr>
                <w:rFonts w:cs="Arial"/>
              </w:rPr>
            </w:pPr>
            <w:r w:rsidRPr="00B26E1F">
              <w:rPr>
                <w:rFonts w:cs="Arial"/>
              </w:rPr>
              <w:t>Condizione 5</w:t>
            </w:r>
          </w:p>
        </w:tc>
      </w:tr>
    </w:tbl>
    <w:p w:rsidR="00FC05F5" w:rsidRDefault="00FC05F5"/>
    <w:tbl>
      <w:tblPr>
        <w:tblW w:w="5000" w:type="pct"/>
        <w:jc w:val="center"/>
        <w:tblLook w:val="01E0" w:firstRow="1" w:lastRow="1" w:firstColumn="1" w:lastColumn="1" w:noHBand="0" w:noVBand="0"/>
      </w:tblPr>
      <w:tblGrid>
        <w:gridCol w:w="4076"/>
        <w:gridCol w:w="4076"/>
      </w:tblGrid>
      <w:tr w:rsidR="000B33A8" w:rsidRPr="008B2DCE" w:rsidTr="00B26E1F">
        <w:trPr>
          <w:trHeight w:val="170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09a05" w:history="1">
              <w:r w:rsidR="000B33A8" w:rsidRPr="00812559">
                <w:rPr>
                  <w:rStyle w:val="Collegamentoipertestuale"/>
                </w:rPr>
                <w:t>5</w:t>
              </w:r>
            </w:hyperlink>
            <w:r w:rsidR="000B33A8" w:rsidRPr="00B26E1F">
              <w:rPr>
                <w:rFonts w:cs="Arial"/>
              </w:rPr>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Numerosi casi nei quali le carenze di coordinamento interno del testo possono inficiare la comprensione e l’applicabilità delle disposizioni.</w:t>
            </w:r>
          </w:p>
          <w:p w:rsidR="000B33A8" w:rsidRPr="00B26E1F" w:rsidRDefault="000B33A8" w:rsidP="00B26E1F">
            <w:pPr>
              <w:spacing w:before="100" w:beforeAutospacing="1" w:after="100" w:afterAutospacing="1"/>
              <w:ind w:firstLine="0"/>
              <w:rPr>
                <w:rFonts w:cs="Arial"/>
              </w:rPr>
            </w:pPr>
            <w:r w:rsidRPr="00B26E1F">
              <w:rPr>
                <w:rFonts w:cs="Arial"/>
              </w:rPr>
              <w:t>Osservazione 6; Osservazione 7; Osservazione 10; Condizione 8; Osservazione 14; Osservazione 15; Osservazione 16; Osservazione 17.</w:t>
            </w:r>
          </w:p>
        </w:tc>
      </w:tr>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9a06" w:history="1">
              <w:r w:rsidR="000B33A8" w:rsidRPr="00B26E1F">
                <w:rPr>
                  <w:rStyle w:val="Collegamentoipertestuale"/>
                  <w:rFonts w:cs="Arial"/>
                </w:rPr>
                <w:t>6</w:t>
              </w:r>
            </w:hyperlink>
            <w:r w:rsidR="000B33A8" w:rsidRPr="00B26E1F">
              <w:rPr>
                <w:rStyle w:val="Collegamentoipertestuale"/>
                <w:rFonts w:cs="Arial"/>
              </w:rPr>
              <w:t xml:space="preserve"> </w:t>
            </w:r>
            <w:r w:rsidR="000B33A8">
              <w:t xml:space="preserve">– </w:t>
            </w:r>
            <w:r w:rsidR="000B33A8" w:rsidRPr="00B26E1F">
              <w:rPr>
                <w:rFonts w:cs="Arial"/>
              </w:rPr>
              <w:t>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Disposizioni di dubbia o nulla portata normativa, in quanto si limitano ad esplicitare le finalità; hanno carattere puramente programmatico o dichiarativo; recano previsioni già risultanti dalla normativa vigente o contenute nel medesimo provvedimento; compiono una ricognizione della normativa vigente ovvero la mantengono ferma; fanno riferimento al carattere provvisorio di talune disposizioni, destinate ad operare nelle more della realizzazione di adempimenti successivi, talora eventuali.</w:t>
            </w:r>
          </w:p>
          <w:p w:rsidR="000B33A8" w:rsidRPr="00B26E1F" w:rsidRDefault="000B33A8" w:rsidP="00B26E1F">
            <w:pPr>
              <w:spacing w:before="100" w:beforeAutospacing="1" w:after="100" w:afterAutospacing="1"/>
              <w:ind w:firstLine="0"/>
              <w:rPr>
                <w:rFonts w:cs="Arial"/>
              </w:rPr>
            </w:pPr>
            <w:r w:rsidRPr="00B26E1F">
              <w:rPr>
                <w:rFonts w:cs="Arial"/>
              </w:rPr>
              <w:t>Osservazione 8</w:t>
            </w:r>
          </w:p>
        </w:tc>
      </w:tr>
      <w:tr w:rsidR="000B33A8" w:rsidRPr="008B2DCE" w:rsidTr="00B26E1F">
        <w:trPr>
          <w:trHeight w:val="126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9a07" w:history="1">
              <w:r w:rsidR="000B33A8" w:rsidRPr="00B26E1F">
                <w:rPr>
                  <w:rStyle w:val="Collegamentoipertestuale"/>
                  <w:rFonts w:cs="Arial"/>
                </w:rPr>
                <w:t>7</w:t>
              </w:r>
            </w:hyperlink>
            <w:r w:rsidR="000B33A8" w:rsidRPr="00B26E1F">
              <w:rPr>
                <w:rFonts w:cs="Arial"/>
              </w:rPr>
              <w:t xml:space="preserve"> – 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Disposizione che si limita a richiamare la normativa vigente, peraltro con riferimento errato.</w:t>
            </w:r>
          </w:p>
          <w:p w:rsidR="000B33A8" w:rsidRPr="00B26E1F" w:rsidRDefault="000B33A8" w:rsidP="00B26E1F">
            <w:pPr>
              <w:spacing w:before="100" w:beforeAutospacing="1" w:after="100" w:afterAutospacing="1"/>
              <w:ind w:firstLine="0"/>
              <w:rPr>
                <w:rFonts w:cs="Arial"/>
              </w:rPr>
            </w:pPr>
            <w:r w:rsidRPr="00B26E1F">
              <w:rPr>
                <w:rFonts w:cs="Arial"/>
              </w:rPr>
              <w:t>Osservazione 8</w:t>
            </w:r>
          </w:p>
        </w:tc>
      </w:tr>
      <w:tr w:rsidR="000B33A8" w:rsidRPr="008B2DCE" w:rsidTr="00FC05F5">
        <w:trPr>
          <w:trHeight w:val="55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09a08" w:history="1">
              <w:r w:rsidR="000B33A8" w:rsidRPr="00B26E1F">
                <w:rPr>
                  <w:rStyle w:val="Collegamentoipertestuale"/>
                  <w:rFonts w:cs="Arial"/>
                </w:rPr>
                <w:t>8</w:t>
              </w:r>
            </w:hyperlink>
            <w:r w:rsidR="000B33A8" w:rsidRPr="00B26E1F">
              <w:rPr>
                <w:rFonts w:cs="Arial"/>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Espressioni imprecise ovvero suscettibili di ingenerare incertezze sull’effettivo significato tecnico-normativo.</w:t>
            </w:r>
          </w:p>
          <w:p w:rsidR="000B33A8" w:rsidRDefault="000B33A8" w:rsidP="00B26E1F">
            <w:pPr>
              <w:spacing w:before="100" w:beforeAutospacing="1" w:after="100" w:afterAutospacing="1"/>
              <w:ind w:firstLine="0"/>
            </w:pPr>
            <w:r>
              <w:t>Osservazione 4; Osservazione 9;</w:t>
            </w:r>
          </w:p>
          <w:p w:rsidR="000B33A8" w:rsidRPr="00B26E1F" w:rsidRDefault="000B33A8" w:rsidP="00B26E1F">
            <w:pPr>
              <w:spacing w:before="100" w:beforeAutospacing="1" w:after="100" w:afterAutospacing="1"/>
              <w:ind w:firstLine="0"/>
              <w:rPr>
                <w:rFonts w:cs="Arial"/>
              </w:rPr>
            </w:pPr>
            <w:r>
              <w:t>Osservazione 13.</w:t>
            </w:r>
          </w:p>
        </w:tc>
      </w:tr>
    </w:tbl>
    <w:p w:rsidR="00FC05F5" w:rsidRDefault="00FC05F5"/>
    <w:tbl>
      <w:tblPr>
        <w:tblW w:w="5000" w:type="pct"/>
        <w:jc w:val="center"/>
        <w:tblLook w:val="01E0" w:firstRow="1" w:lastRow="1" w:firstColumn="1" w:lastColumn="1" w:noHBand="0" w:noVBand="0"/>
      </w:tblPr>
      <w:tblGrid>
        <w:gridCol w:w="4076"/>
        <w:gridCol w:w="4076"/>
      </w:tblGrid>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FC05F5">
            <w:pPr>
              <w:spacing w:before="100" w:beforeAutospacing="1" w:after="100" w:afterAutospacing="1"/>
              <w:ind w:firstLine="0"/>
            </w:pPr>
            <w:hyperlink w:anchor="S09a09" w:history="1">
              <w:r w:rsidR="000B33A8" w:rsidRPr="00915ED9">
                <w:rPr>
                  <w:rStyle w:val="Collegamentoipertestuale"/>
                </w:rPr>
                <w:t>9</w:t>
              </w:r>
            </w:hyperlink>
            <w:r w:rsidR="000B33A8">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FC05F5">
            <w:pPr>
              <w:spacing w:before="100" w:beforeAutospacing="1" w:after="100" w:afterAutospacing="1"/>
              <w:ind w:firstLine="0"/>
            </w:pPr>
            <w:r>
              <w:t xml:space="preserve">Disposizioni che necessitano integrazioni e specificazioni al fine della </w:t>
            </w:r>
            <w:r>
              <w:lastRenderedPageBreak/>
              <w:t>chiarezza e della proprietà della formulazione.</w:t>
            </w:r>
          </w:p>
          <w:p w:rsidR="000B33A8" w:rsidRDefault="000B33A8" w:rsidP="00FC05F5">
            <w:pPr>
              <w:spacing w:before="100" w:beforeAutospacing="1" w:after="100" w:afterAutospacing="1"/>
              <w:ind w:firstLine="0"/>
            </w:pPr>
            <w:r>
              <w:t>Osservazione 5; Condizione 6; Condizione 1; Condizione 7; Condizione 9; Condizione 10; Osservazione 18.</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9a10" w:history="1">
              <w:r w:rsidR="000B33A8" w:rsidRPr="00915ED9">
                <w:rPr>
                  <w:rStyle w:val="Collegamentoipertestuale"/>
                </w:rPr>
                <w:t>10</w:t>
              </w:r>
            </w:hyperlink>
            <w:r w:rsidR="000B33A8">
              <w:t xml:space="preserve"> – Adempimenti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Adempimenti privi di un termine per l’adozione dei relativi atti di attuazione.</w:t>
            </w:r>
          </w:p>
          <w:p w:rsidR="000B33A8" w:rsidRDefault="000B33A8" w:rsidP="00B26E1F">
            <w:pPr>
              <w:spacing w:before="100" w:beforeAutospacing="1" w:after="100" w:afterAutospacing="1"/>
              <w:ind w:firstLine="0"/>
            </w:pPr>
            <w:r>
              <w:t>Osservazione 1</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9a11" w:history="1">
              <w:r w:rsidR="000B33A8" w:rsidRPr="00915ED9">
                <w:rPr>
                  <w:rStyle w:val="Collegamentoipertestuale"/>
                </w:rPr>
                <w:t>11</w:t>
              </w:r>
            </w:hyperlink>
            <w:r w:rsidR="000B33A8">
              <w:t xml:space="preserve"> – Adempimenti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Congruità dei tempi previsti per l’adozione di alcuni atti di attuazione.</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9a12" w:history="1">
              <w:r w:rsidR="000B33A8" w:rsidRPr="00915ED9">
                <w:rPr>
                  <w:rStyle w:val="Collegamentoipertestuale"/>
                </w:rPr>
                <w:t>12</w:t>
              </w:r>
            </w:hyperlink>
            <w:r w:rsidR="000B33A8">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Disposizioni non coordinate con la normativa vigente e contemporaneamente non coordinate con altre disposizioni contenute nel provvedimento stesso.</w:t>
            </w:r>
          </w:p>
          <w:p w:rsidR="000B33A8" w:rsidRDefault="000B33A8" w:rsidP="00B26E1F">
            <w:pPr>
              <w:spacing w:before="100" w:beforeAutospacing="1" w:after="100" w:afterAutospacing="1"/>
              <w:ind w:firstLine="0"/>
            </w:pPr>
            <w:r>
              <w:t>Condizione 2</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0B541F" w:rsidRDefault="00EB0878" w:rsidP="00B26E1F">
            <w:pPr>
              <w:spacing w:before="100" w:beforeAutospacing="1" w:after="100" w:afterAutospacing="1"/>
              <w:ind w:firstLine="0"/>
            </w:pPr>
            <w:hyperlink w:anchor="S09a12bis" w:history="1">
              <w:r w:rsidR="000B33A8" w:rsidRPr="00915ED9">
                <w:rPr>
                  <w:rStyle w:val="Collegamentoipertestuale"/>
                </w:rPr>
                <w:t>12-</w:t>
              </w:r>
              <w:r w:rsidR="000B33A8" w:rsidRPr="00B26E1F">
                <w:rPr>
                  <w:rStyle w:val="Collegamentoipertestuale"/>
                  <w:i/>
                </w:rPr>
                <w:t>bis</w:t>
              </w:r>
            </w:hyperlink>
            <w:r w:rsidR="000B33A8" w:rsidRPr="00B26E1F">
              <w:rPr>
                <w:i/>
              </w:rPr>
              <w:t xml:space="preserve"> </w:t>
            </w:r>
            <w:r w:rsidR="000B33A8">
              <w:t>– Disposizioni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Formulazione del testo di uno dei criteri di delega da chiarire e riformulare.</w:t>
            </w:r>
          </w:p>
          <w:p w:rsidR="000B33A8" w:rsidRDefault="000B33A8" w:rsidP="00B26E1F">
            <w:pPr>
              <w:spacing w:before="100" w:beforeAutospacing="1" w:after="100" w:afterAutospacing="1"/>
              <w:ind w:firstLine="0"/>
            </w:pPr>
            <w:r>
              <w:t>Osservazione 11</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0B541F" w:rsidRDefault="00EB0878" w:rsidP="00B26E1F">
            <w:pPr>
              <w:spacing w:before="100" w:beforeAutospacing="1" w:after="100" w:afterAutospacing="1"/>
              <w:ind w:firstLine="0"/>
            </w:pPr>
            <w:hyperlink w:anchor="S09a12ter" w:history="1">
              <w:r w:rsidR="000B33A8" w:rsidRPr="00915ED9">
                <w:rPr>
                  <w:rStyle w:val="Collegamentoipertestuale"/>
                </w:rPr>
                <w:t>12-</w:t>
              </w:r>
              <w:r w:rsidR="000B33A8" w:rsidRPr="00B26E1F">
                <w:rPr>
                  <w:rStyle w:val="Collegamentoipertestuale"/>
                  <w:i/>
                </w:rPr>
                <w:t>ter</w:t>
              </w:r>
            </w:hyperlink>
            <w:r w:rsidR="000B33A8">
              <w:t xml:space="preserve"> – Disposizioni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Disposizione ordinamentale in luogo di un criterio di delega.</w:t>
            </w:r>
          </w:p>
          <w:p w:rsidR="000B33A8" w:rsidRDefault="000B33A8" w:rsidP="00B26E1F">
            <w:pPr>
              <w:spacing w:before="100" w:beforeAutospacing="1" w:after="100" w:afterAutospacing="1"/>
              <w:ind w:firstLine="0"/>
            </w:pPr>
            <w:r>
              <w:t>Osservazione 12</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9a13" w:history="1">
              <w:r w:rsidR="000B33A8" w:rsidRPr="00915ED9">
                <w:rPr>
                  <w:rStyle w:val="Collegamentoipertestuale"/>
                </w:rPr>
                <w:t>13</w:t>
              </w:r>
            </w:hyperlink>
            <w:r w:rsidR="000B33A8">
              <w:t xml:space="preserve"> – Coerente utilizzo delle fonti normative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Previsione di DPCM di natura regolamentare in luogo di regolamenti emanati ai sensi del comma 1 o del comma 3 dell’articolo 17 della legge n. 400/1988.</w:t>
            </w:r>
          </w:p>
          <w:p w:rsidR="000B33A8" w:rsidRDefault="000B33A8" w:rsidP="00B26E1F">
            <w:pPr>
              <w:spacing w:before="100" w:beforeAutospacing="1" w:after="100" w:afterAutospacing="1"/>
              <w:ind w:firstLine="0"/>
            </w:pPr>
            <w:r>
              <w:t>Osservazione 2</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FC05F5">
            <w:pPr>
              <w:spacing w:before="100" w:beforeAutospacing="1" w:after="100" w:afterAutospacing="1"/>
              <w:ind w:firstLine="0"/>
            </w:pPr>
            <w:hyperlink w:anchor="S09a14" w:history="1">
              <w:r w:rsidR="000B33A8" w:rsidRPr="00915ED9">
                <w:rPr>
                  <w:rStyle w:val="Collegamentoipertestuale"/>
                </w:rPr>
                <w:t>14</w:t>
              </w:r>
            </w:hyperlink>
            <w:r w:rsidR="000B33A8">
              <w:t xml:space="preserve"> – Disposizioni a carattere derogatorio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FC05F5">
            <w:pPr>
              <w:spacing w:before="100" w:beforeAutospacing="1" w:after="100" w:afterAutospacing="1"/>
              <w:ind w:firstLine="0"/>
            </w:pPr>
            <w:r>
              <w:t>Deroghe alla normativa vigente e proroghe della durata di regimi derogatori.</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9a15" w:history="1">
              <w:r w:rsidR="000B33A8" w:rsidRPr="00915ED9">
                <w:rPr>
                  <w:rStyle w:val="Collegamentoipertestuale"/>
                </w:rPr>
                <w:t>15</w:t>
              </w:r>
            </w:hyperlink>
            <w:r w:rsidR="000B33A8">
              <w:t xml:space="preserve"> – Rapporti tra le fonti normative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 xml:space="preserve">Previsione della inderogabilità delle disposizioni del provvedimento, da riferire soltanto alla contrattazione collettiva e non alla futura legislazione </w:t>
            </w:r>
            <w:r>
              <w:lastRenderedPageBreak/>
              <w:t>di rango primario.</w:t>
            </w:r>
          </w:p>
          <w:p w:rsidR="000B33A8" w:rsidRDefault="000B33A8" w:rsidP="00B26E1F">
            <w:pPr>
              <w:spacing w:before="100" w:beforeAutospacing="1" w:after="100" w:afterAutospacing="1"/>
              <w:ind w:firstLine="0"/>
            </w:pPr>
            <w:r>
              <w:t>Osservazione 3</w:t>
            </w:r>
          </w:p>
        </w:tc>
      </w:tr>
    </w:tbl>
    <w:p w:rsidR="00A87AE9" w:rsidRDefault="00A87AE9"/>
    <w:tbl>
      <w:tblPr>
        <w:tblW w:w="5000" w:type="pct"/>
        <w:jc w:val="center"/>
        <w:tblLook w:val="01E0" w:firstRow="1" w:lastRow="1" w:firstColumn="1" w:lastColumn="1" w:noHBand="0" w:noVBand="0"/>
      </w:tblPr>
      <w:tblGrid>
        <w:gridCol w:w="4076"/>
        <w:gridCol w:w="4076"/>
      </w:tblGrid>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9a16" w:history="1">
              <w:r w:rsidR="000B33A8" w:rsidRPr="00915ED9">
                <w:rPr>
                  <w:rStyle w:val="Collegamentoipertestuale"/>
                </w:rPr>
                <w:t>16</w:t>
              </w:r>
            </w:hyperlink>
            <w:r w:rsidR="000B33A8">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D8648A" w:rsidRDefault="000B33A8" w:rsidP="00B26E1F">
            <w:pPr>
              <w:spacing w:before="100" w:beforeAutospacing="1" w:after="100" w:afterAutospacing="1"/>
              <w:ind w:firstLine="0"/>
            </w:pPr>
            <w:r>
              <w:t xml:space="preserve">Espressioni imprecise e rubriche. Richiamo alla circolare sulla formulazione tecnica dei testi normativi: punto 11, lettera </w:t>
            </w:r>
            <w:r w:rsidRPr="00B26E1F">
              <w:rPr>
                <w:i/>
              </w:rPr>
              <w:t>d)</w:t>
            </w:r>
            <w:r>
              <w:t xml:space="preserve">; punto 4, lettera </w:t>
            </w:r>
            <w:r w:rsidRPr="00B26E1F">
              <w:rPr>
                <w:i/>
              </w:rPr>
              <w:t>m)</w:t>
            </w:r>
            <w:r>
              <w:t xml:space="preserve">; punto 12, lettera </w:t>
            </w:r>
            <w:r w:rsidRPr="00B26E1F">
              <w:rPr>
                <w:i/>
              </w:rPr>
              <w:t>o)</w:t>
            </w:r>
            <w:r>
              <w:t>.</w:t>
            </w:r>
          </w:p>
          <w:p w:rsidR="000B33A8" w:rsidRDefault="000B33A8" w:rsidP="00B26E1F">
            <w:pPr>
              <w:spacing w:before="100" w:beforeAutospacing="1" w:after="100" w:afterAutospacing="1"/>
              <w:ind w:firstLine="0"/>
            </w:pPr>
            <w:r>
              <w:t>Osservazione 19</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9a17" w:history="1">
              <w:r w:rsidR="000B33A8" w:rsidRPr="00915ED9">
                <w:rPr>
                  <w:rStyle w:val="Collegamentoipertestuale"/>
                </w:rPr>
                <w:t>17</w:t>
              </w:r>
            </w:hyperlink>
            <w:r w:rsidR="000B33A8">
              <w:t xml:space="preserve"> – Coordinamento con la normativa vigente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363C48" w:rsidRDefault="000B33A8" w:rsidP="00B26E1F">
            <w:pPr>
              <w:spacing w:before="100" w:beforeAutospacing="1" w:after="100" w:afterAutospacing="1"/>
              <w:ind w:firstLine="0"/>
            </w:pPr>
            <w:r>
              <w:t xml:space="preserve">Riordino della disciplina regolamentare con norma </w:t>
            </w:r>
            <w:r w:rsidRPr="00B26E1F">
              <w:rPr>
                <w:i/>
              </w:rPr>
              <w:t>ad hoc</w:t>
            </w:r>
            <w:r>
              <w:t>, al di fuori delle previsioni dell’articolo 17, comma 4-</w:t>
            </w:r>
            <w:r w:rsidRPr="00B26E1F">
              <w:rPr>
                <w:i/>
              </w:rPr>
              <w:t>ter</w:t>
            </w:r>
            <w:r>
              <w:t>, della legge n. 400/1988.</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09a18" w:history="1">
              <w:r w:rsidR="000B33A8" w:rsidRPr="00915ED9">
                <w:rPr>
                  <w:rStyle w:val="Collegamentoipertestuale"/>
                </w:rPr>
                <w:t>18</w:t>
              </w:r>
            </w:hyperlink>
            <w:r w:rsidR="000B33A8">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ATN presente; AIR assente; manca il riferimento all’esenzione dall’AIR, in difformità a quanto previsto dall’articolo 9 del DPCM n. 170/2008.</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9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09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bl>
    <w:p w:rsidR="000B33A8" w:rsidRDefault="000B33A8" w:rsidP="000B33A8">
      <w:pPr>
        <w:ind w:firstLine="0"/>
      </w:pPr>
    </w:p>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rPr>
                <w:rFonts w:cs="Arial"/>
                <w:sz w:val="24"/>
              </w:rPr>
            </w:pPr>
            <w:r w:rsidRPr="00B26E1F">
              <w:rPr>
                <w:rFonts w:cs="Arial"/>
                <w:i/>
                <w:sz w:val="24"/>
              </w:rPr>
              <w:t>Articolo 17, in generale e commi 1, 3 e 4-</w:t>
            </w:r>
            <w:r w:rsidRPr="00B26E1F">
              <w:rPr>
                <w:rFonts w:cs="Arial"/>
                <w:sz w:val="24"/>
              </w:rPr>
              <w:t>ter</w:t>
            </w:r>
            <w:r w:rsidRPr="00B26E1F">
              <w:rPr>
                <w:rFonts w:cs="Arial"/>
                <w:i/>
                <w:sz w:val="24"/>
              </w:rPr>
              <w:t xml:space="preserve"> della legge n. 400/1988; circolare sulla formulazione tecnica dei testi normativi: punto 11, lettera </w:t>
            </w:r>
            <w:r w:rsidRPr="00B26E1F">
              <w:rPr>
                <w:rFonts w:cs="Arial"/>
                <w:sz w:val="24"/>
              </w:rPr>
              <w:t>d)</w:t>
            </w:r>
            <w:r w:rsidRPr="00B26E1F">
              <w:rPr>
                <w:rFonts w:cs="Arial"/>
                <w:i/>
                <w:sz w:val="24"/>
              </w:rPr>
              <w:t xml:space="preserve">; punto 4, lettera </w:t>
            </w:r>
            <w:r w:rsidRPr="00B26E1F">
              <w:rPr>
                <w:rFonts w:cs="Arial"/>
                <w:sz w:val="24"/>
              </w:rPr>
              <w:t>m)</w:t>
            </w:r>
            <w:r w:rsidRPr="00B26E1F">
              <w:rPr>
                <w:rFonts w:cs="Arial"/>
                <w:i/>
                <w:sz w:val="24"/>
              </w:rPr>
              <w:t xml:space="preserve">; punto 12, lettera </w:t>
            </w:r>
            <w:r w:rsidRPr="00B26E1F">
              <w:rPr>
                <w:rFonts w:cs="Arial"/>
                <w:sz w:val="24"/>
              </w:rPr>
              <w:t>o)</w:t>
            </w:r>
            <w:r w:rsidRPr="00B26E1F">
              <w:rPr>
                <w:rFonts w:cs="Arial"/>
                <w:i/>
                <w:sz w:val="24"/>
              </w:rPr>
              <w:t xml:space="preserve">; punto 2, lettera </w:t>
            </w:r>
            <w:r w:rsidRPr="00B26E1F">
              <w:rPr>
                <w:rFonts w:cs="Arial"/>
                <w:sz w:val="24"/>
              </w:rPr>
              <w:t>d).</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318" w:name="S09a01"/>
      <w:r w:rsidRPr="00B91F58">
        <w:rPr>
          <w:rFonts w:cs="Arial"/>
          <w:szCs w:val="22"/>
        </w:rPr>
        <w:t>1</w:t>
      </w:r>
      <w:bookmarkEnd w:id="318"/>
      <w:r w:rsidRPr="00B91F58">
        <w:rPr>
          <w:rFonts w:cs="Arial"/>
          <w:szCs w:val="22"/>
        </w:rPr>
        <w:t xml:space="preserve"> –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Pr>
          <w:rFonts w:cs="Arial"/>
          <w:szCs w:val="22"/>
        </w:rPr>
        <w:t xml:space="preserve">[il disegno di legge] </w:t>
      </w:r>
      <w:r w:rsidRPr="00520217">
        <w:rPr>
          <w:rFonts w:cs="Arial"/>
          <w:szCs w:val="22"/>
        </w:rPr>
        <w:t xml:space="preserve">reca un </w:t>
      </w:r>
      <w:r w:rsidRPr="00520217">
        <w:rPr>
          <w:rFonts w:cs="Arial"/>
          <w:b/>
          <w:szCs w:val="22"/>
        </w:rPr>
        <w:t>contenuto omogeneo</w:t>
      </w:r>
      <w:r w:rsidRPr="00520217">
        <w:rPr>
          <w:rFonts w:cs="Arial"/>
          <w:szCs w:val="22"/>
        </w:rPr>
        <w:t>, essendo volto a dettare un insieme di norme afferenti al sistema educativo nazionale di istruzione e di formazione nonché a conferire al Governo deleghe legislative finalizzate sia alla codificazione sia all'innovazione della materia</w:t>
      </w:r>
      <w:r w:rsidRPr="00B91F58">
        <w:rPr>
          <w:rFonts w:cs="Arial"/>
          <w:szCs w:val="22"/>
        </w:rPr>
        <w:t>»</w:t>
      </w:r>
      <w:r w:rsidRPr="00520217">
        <w:rPr>
          <w:rFonts w:cs="Arial"/>
          <w:szCs w:val="22"/>
        </w:rPr>
        <w:t>;</w:t>
      </w:r>
      <w:r>
        <w:rPr>
          <w:rFonts w:cs="Arial"/>
          <w:szCs w:val="22"/>
        </w:rPr>
        <w:t xml:space="preserve"> </w:t>
      </w:r>
      <w:r w:rsidRPr="00B91F58">
        <w:rPr>
          <w:rFonts w:cs="Arial"/>
          <w:szCs w:val="22"/>
        </w:rPr>
        <w:t>;</w:t>
      </w:r>
      <w:r>
        <w:rPr>
          <w:rFonts w:cs="Arial"/>
          <w:szCs w:val="22"/>
        </w:rPr>
        <w:t xml:space="preserve"> </w:t>
      </w:r>
    </w:p>
    <w:p w:rsidR="000B33A8" w:rsidRDefault="000B33A8" w:rsidP="000B33A8">
      <w:pPr>
        <w:spacing w:before="100" w:beforeAutospacing="1" w:after="100" w:afterAutospacing="1" w:line="240" w:lineRule="auto"/>
        <w:ind w:firstLine="0"/>
        <w:jc w:val="left"/>
        <w:rPr>
          <w:rFonts w:cs="Arial"/>
          <w:szCs w:val="22"/>
        </w:rPr>
      </w:pPr>
    </w:p>
    <w:p w:rsidR="000B33A8" w:rsidRDefault="000B33A8" w:rsidP="000B33A8">
      <w:pPr>
        <w:spacing w:before="100" w:beforeAutospacing="1" w:after="100" w:afterAutospacing="1" w:line="240" w:lineRule="auto"/>
        <w:ind w:firstLine="0"/>
        <w:jc w:val="left"/>
        <w:rPr>
          <w:rFonts w:cs="Arial"/>
          <w:szCs w:val="22"/>
        </w:rPr>
      </w:pPr>
    </w:p>
    <w:p w:rsidR="000B33A8" w:rsidRDefault="000B33A8" w:rsidP="000B33A8">
      <w:pPr>
        <w:spacing w:after="120"/>
        <w:rPr>
          <w:rFonts w:cs="Arial"/>
          <w:szCs w:val="22"/>
        </w:rPr>
      </w:pPr>
      <w:bookmarkStart w:id="319" w:name="S09a01bis"/>
      <w:r w:rsidRPr="00B91F58">
        <w:rPr>
          <w:rFonts w:cs="Arial"/>
          <w:szCs w:val="22"/>
        </w:rPr>
        <w:t>1</w:t>
      </w:r>
      <w:r>
        <w:rPr>
          <w:rFonts w:cs="Arial"/>
          <w:szCs w:val="22"/>
        </w:rPr>
        <w:t>-</w:t>
      </w:r>
      <w:r>
        <w:rPr>
          <w:rFonts w:cs="Arial"/>
          <w:i/>
          <w:szCs w:val="22"/>
        </w:rPr>
        <w:t>bis</w:t>
      </w:r>
      <w:r w:rsidRPr="00B91F58">
        <w:rPr>
          <w:rFonts w:cs="Arial"/>
          <w:szCs w:val="22"/>
        </w:rPr>
        <w:t xml:space="preserve"> </w:t>
      </w:r>
      <w:bookmarkEnd w:id="319"/>
      <w:r w:rsidRPr="00B91F58">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520217">
        <w:rPr>
          <w:rFonts w:cs="Arial"/>
          <w:szCs w:val="22"/>
        </w:rPr>
        <w:t xml:space="preserve">nel procedere a numerosi interventi modificativi della disciplina vigente (contenuta sia nel testo unico del 1994 sia in una pluralità di altri </w:t>
      </w:r>
      <w:r w:rsidRPr="00883605">
        <w:rPr>
          <w:rFonts w:cs="Arial"/>
          <w:b/>
          <w:szCs w:val="22"/>
        </w:rPr>
        <w:t>provvedimenti assai stratificati</w:t>
      </w:r>
      <w:r w:rsidRPr="00520217">
        <w:rPr>
          <w:rFonts w:cs="Arial"/>
          <w:szCs w:val="22"/>
        </w:rPr>
        <w:t xml:space="preserve">), il disegno di legge non sempre effettua un adeguato </w:t>
      </w:r>
      <w:r w:rsidRPr="00883605">
        <w:rPr>
          <w:rFonts w:cs="Arial"/>
          <w:b/>
          <w:szCs w:val="22"/>
        </w:rPr>
        <w:t>coordinamento con le preesistenti fonti normative</w:t>
      </w:r>
      <w:r w:rsidRPr="00520217">
        <w:rPr>
          <w:rFonts w:cs="Arial"/>
          <w:szCs w:val="22"/>
        </w:rPr>
        <w:t xml:space="preserve">, che risultano oggetto di </w:t>
      </w:r>
      <w:r w:rsidRPr="00883605">
        <w:rPr>
          <w:rFonts w:cs="Arial"/>
          <w:b/>
          <w:szCs w:val="22"/>
        </w:rPr>
        <w:t>modifiche non testuali</w:t>
      </w:r>
      <w:r w:rsidRPr="00520217">
        <w:rPr>
          <w:rFonts w:cs="Arial"/>
          <w:szCs w:val="22"/>
        </w:rPr>
        <w:t xml:space="preserve"> (ad esempio, l'articolo 4, sull'alternanza scuola-lavoro, interviene sulla materia già disciplinata dal decreto legislativo n. 77 del 2005 apportando modifiche sia testuali sia implicite; l'articolo 7 indica le funzioni del dirigente scolastico senza effettuare un coordinamento con l'articolo 25 del decreto legislativo n. 165 del 2001 e con l'articolo 396 del decreto legislativo n. 297 del 1994, che disciplinano il medesimo oggetto; all'articolo 19 il comma 1 dispone in merito all'Osservatorio per l'edilizia scolastica senza novellare l'articolo 6 della legge n. 23 del 1996, che ne ha previsto l'istituzione e regolato i compiti); per effetto di questi interventi sono influenzati negativamente, in particolare, i caratteri di unitarietà ed onnicomprensività del testo unico del 1994, caratteri che dovrebbero essere propri di un codice riferito ad un determinato settore disciplinare; tuttavia, si segnala che l'articolo 21 delega il Governo alla codificazione e al riordino della normativa vigente: è, dunque, nell'attuazione di tale delega che potrebbero trovare efficace soluzione i problemi di coordinamento</w:t>
      </w:r>
      <w:r w:rsidRPr="00B91F58">
        <w:rPr>
          <w:rFonts w:cs="Arial"/>
          <w:szCs w:val="22"/>
        </w:rPr>
        <w:t>»</w:t>
      </w:r>
      <w:r>
        <w:rPr>
          <w:rFonts w:cs="Arial"/>
          <w:szCs w:val="22"/>
        </w:rPr>
        <w:t>;</w:t>
      </w:r>
    </w:p>
    <w:p w:rsidR="000B33A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Default="000B33A8" w:rsidP="000B33A8">
      <w:pPr>
        <w:rPr>
          <w:rFonts w:cs="Arial"/>
          <w:szCs w:val="22"/>
        </w:rPr>
      </w:pPr>
      <w:bookmarkStart w:id="320" w:name="S09a02"/>
      <w:r w:rsidRPr="00B91F58">
        <w:rPr>
          <w:rFonts w:cs="Arial"/>
          <w:szCs w:val="22"/>
        </w:rPr>
        <w:t xml:space="preserve">2 </w:t>
      </w:r>
      <w:bookmarkEnd w:id="320"/>
      <w:r w:rsidRPr="00B91F58">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F3E70">
        <w:rPr>
          <w:rFonts w:cs="Arial"/>
          <w:szCs w:val="22"/>
        </w:rPr>
        <w:t>il progetto di legge è volto a conferire al Governo deleghe di due tipi, all'articolo 21:</w:t>
      </w:r>
    </w:p>
    <w:p w:rsidR="000B33A8" w:rsidRDefault="000B33A8" w:rsidP="000B33A8">
      <w:pPr>
        <w:rPr>
          <w:rFonts w:cs="Arial"/>
          <w:szCs w:val="22"/>
        </w:rPr>
      </w:pPr>
      <w:r w:rsidRPr="006F3E70">
        <w:rPr>
          <w:rFonts w:cs="Arial"/>
          <w:i/>
          <w:iCs/>
          <w:szCs w:val="22"/>
        </w:rPr>
        <w:t>a)</w:t>
      </w:r>
      <w:r w:rsidRPr="006F3E70">
        <w:rPr>
          <w:rFonts w:cs="Arial"/>
          <w:szCs w:val="22"/>
        </w:rPr>
        <w:t xml:space="preserve"> una delega per la codificazione e il riordino della normativa vigente, fina- lizzata alla redazione di un testo unico (comma 2, lettera </w:t>
      </w:r>
      <w:r w:rsidRPr="006F3E70">
        <w:rPr>
          <w:rFonts w:cs="Arial"/>
          <w:i/>
          <w:iCs/>
          <w:szCs w:val="22"/>
        </w:rPr>
        <w:t>a)</w:t>
      </w:r>
      <w:r w:rsidRPr="006F3E70">
        <w:rPr>
          <w:rFonts w:cs="Arial"/>
          <w:szCs w:val="22"/>
        </w:rPr>
        <w:t xml:space="preserve">): essa è infatti caratterizzata da principi e criteri direttivi rivolti all'armonizzazione e coordinamento del diritto vigente (delega «compilativa»); </w:t>
      </w:r>
    </w:p>
    <w:p w:rsidR="000B33A8" w:rsidRDefault="000B33A8" w:rsidP="000B33A8">
      <w:pPr>
        <w:rPr>
          <w:rFonts w:cs="Arial"/>
          <w:szCs w:val="22"/>
        </w:rPr>
      </w:pPr>
      <w:r w:rsidRPr="006F3E70">
        <w:rPr>
          <w:rFonts w:cs="Arial"/>
          <w:i/>
          <w:iCs/>
          <w:szCs w:val="22"/>
        </w:rPr>
        <w:t>b)</w:t>
      </w:r>
      <w:r w:rsidRPr="006F3E70">
        <w:rPr>
          <w:rFonts w:cs="Arial"/>
          <w:szCs w:val="22"/>
        </w:rPr>
        <w:t xml:space="preserve"> una pluralità di deleghe finalizzate all'innovazione della normativa vigente (comma 2, lettere da </w:t>
      </w:r>
      <w:r w:rsidRPr="006F3E70">
        <w:rPr>
          <w:rFonts w:cs="Arial"/>
          <w:i/>
          <w:iCs/>
          <w:szCs w:val="22"/>
        </w:rPr>
        <w:t>b)</w:t>
      </w:r>
      <w:r w:rsidRPr="006F3E70">
        <w:rPr>
          <w:rFonts w:cs="Arial"/>
          <w:szCs w:val="22"/>
        </w:rPr>
        <w:t xml:space="preserve"> a </w:t>
      </w:r>
      <w:r w:rsidRPr="006F3E70">
        <w:rPr>
          <w:rFonts w:cs="Arial"/>
          <w:i/>
          <w:iCs/>
          <w:szCs w:val="22"/>
        </w:rPr>
        <w:t>o)</w:t>
      </w:r>
      <w:r w:rsidRPr="006F3E70">
        <w:rPr>
          <w:rFonts w:cs="Arial"/>
          <w:szCs w:val="22"/>
        </w:rPr>
        <w:t>) relativamente a diversi settori (deleghe «innovative»);</w:t>
      </w:r>
    </w:p>
    <w:p w:rsidR="000B33A8" w:rsidRPr="00B91F58" w:rsidRDefault="000B33A8" w:rsidP="000B33A8">
      <w:pPr>
        <w:rPr>
          <w:rFonts w:cs="Arial"/>
          <w:szCs w:val="22"/>
        </w:rPr>
      </w:pPr>
      <w:r w:rsidRPr="006F3E70">
        <w:rPr>
          <w:rFonts w:cs="Arial"/>
          <w:szCs w:val="22"/>
        </w:rPr>
        <w:t xml:space="preserve">per la </w:t>
      </w:r>
      <w:r w:rsidRPr="006F3E70">
        <w:rPr>
          <w:rFonts w:cs="Arial"/>
          <w:b/>
          <w:szCs w:val="22"/>
        </w:rPr>
        <w:t>delega compilativa</w:t>
      </w:r>
      <w:r w:rsidRPr="006F3E70">
        <w:rPr>
          <w:rFonts w:cs="Arial"/>
          <w:szCs w:val="22"/>
        </w:rPr>
        <w:t xml:space="preserve"> è previsto il medesimo termine delle deleghe innovative: ciò appare congruo nel caso in cui il legislatore delegato eserciti le deleghe mediante un unico decreto legislativo; nell'ipotesi in cui, invece, il Governo emanasse più decreti legislativi (la delega è infatti per l'emanazione di «uno o più» decreti legislativi), la delega di tipo compilativo dovrebbe essere emanata per ultima, fissando per essa </w:t>
      </w:r>
      <w:r w:rsidRPr="006F3E70">
        <w:rPr>
          <w:rFonts w:cs="Arial"/>
          <w:b/>
          <w:szCs w:val="22"/>
        </w:rPr>
        <w:t>un termine più lungo</w:t>
      </w:r>
      <w:r w:rsidRPr="006F3E70">
        <w:rPr>
          <w:rFonts w:cs="Arial"/>
          <w:szCs w:val="22"/>
        </w:rPr>
        <w:t xml:space="preserve">, al fine di poter </w:t>
      </w:r>
      <w:r w:rsidRPr="006F3E70">
        <w:rPr>
          <w:rFonts w:cs="Arial"/>
          <w:szCs w:val="22"/>
        </w:rPr>
        <w:lastRenderedPageBreak/>
        <w:t>effettivamente raccogliere tutte le disposizioni in un testo unico avente carattere unitario e onnicomprensivo</w:t>
      </w:r>
      <w:r w:rsidRPr="00B91F58">
        <w:rPr>
          <w:rFonts w:cs="Arial"/>
          <w:szCs w:val="22"/>
        </w:rPr>
        <w:t>»;</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321" w:name="S09a03"/>
      <w:r w:rsidRPr="00B91F58">
        <w:rPr>
          <w:rFonts w:cs="Arial"/>
          <w:szCs w:val="22"/>
        </w:rPr>
        <w:t xml:space="preserve">3 </w:t>
      </w:r>
      <w:bookmarkEnd w:id="321"/>
      <w:r w:rsidRPr="00B91F58">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02BA4">
        <w:t xml:space="preserve">quanto ai </w:t>
      </w:r>
      <w:r w:rsidRPr="00602BA4">
        <w:rPr>
          <w:b/>
        </w:rPr>
        <w:t>princìpi e criteri direttivi per l'esercizio della delega</w:t>
      </w:r>
      <w:r w:rsidRPr="00602BA4">
        <w:t xml:space="preserve">, recati all'articolo 21, si osserva che alcuni princìpi e criteri risultano vaghi e non dettagliati (comma 2, lettera </w:t>
      </w:r>
      <w:r w:rsidRPr="00602BA4">
        <w:rPr>
          <w:i/>
          <w:iCs/>
        </w:rPr>
        <w:t>b)</w:t>
      </w:r>
      <w:r w:rsidRPr="00602BA4">
        <w:t xml:space="preserve">, punto 1); per alcuni oggetti essi risultano sovrapposti all'oggetto stesso (comma 2, lettera </w:t>
      </w:r>
      <w:r w:rsidRPr="00602BA4">
        <w:rPr>
          <w:i/>
          <w:iCs/>
        </w:rPr>
        <w:t>g)</w:t>
      </w:r>
      <w:r w:rsidRPr="00602BA4">
        <w:t xml:space="preserve">, sull'istruzione professionale, lettera </w:t>
      </w:r>
      <w:r w:rsidRPr="00602BA4">
        <w:rPr>
          <w:i/>
          <w:iCs/>
        </w:rPr>
        <w:t>h)</w:t>
      </w:r>
      <w:r w:rsidRPr="00602BA4">
        <w:t xml:space="preserve">, sugli istituti tecnici superiori, e lettera o), sulla valutazione delle competenze e sugli esami) o assenti (comma 2, lettera </w:t>
      </w:r>
      <w:r w:rsidRPr="00602BA4">
        <w:rPr>
          <w:i/>
          <w:iCs/>
        </w:rPr>
        <w:t>l)</w:t>
      </w:r>
      <w:r w:rsidRPr="00602BA4">
        <w:t xml:space="preserve">, ove mancano i principi e criteri direttivi per l'individuazione dei livelli essenziali del diritto allo studio), mentre la </w:t>
      </w:r>
      <w:r w:rsidRPr="00602BA4">
        <w:rPr>
          <w:b/>
        </w:rPr>
        <w:t>circolare del 2001 sulla formulazione tecnica dei testi legislativi</w:t>
      </w:r>
      <w:r w:rsidRPr="00602BA4">
        <w:t xml:space="preserve"> prevede che «i principi e i criteri direttivi... devono essere distinti dall'oggetto della delega» </w:t>
      </w:r>
      <w:r w:rsidRPr="00602BA4">
        <w:rPr>
          <w:b/>
        </w:rPr>
        <w:t xml:space="preserve">(punto 2, lettera </w:t>
      </w:r>
      <w:r w:rsidRPr="00602BA4">
        <w:rPr>
          <w:b/>
          <w:i/>
          <w:iCs/>
        </w:rPr>
        <w:t>d</w:t>
      </w:r>
      <w:r w:rsidRPr="00602BA4">
        <w:rPr>
          <w:b/>
        </w:rPr>
        <w:t>)</w:t>
      </w:r>
      <w:r w:rsidRPr="00B91F58">
        <w:rPr>
          <w:rFonts w:cs="Arial"/>
          <w:szCs w:val="22"/>
        </w:rPr>
        <w:t>»</w:t>
      </w:r>
      <w:r>
        <w:rPr>
          <w:rFonts w:cs="Arial"/>
          <w:szCs w:val="22"/>
        </w:rPr>
        <w:t xml:space="preserve"> </w:t>
      </w:r>
      <w:r w:rsidRPr="00B91F58">
        <w:rPr>
          <w:rFonts w:cs="Arial"/>
          <w:szCs w:val="22"/>
        </w:rPr>
        <w:t>(</w:t>
      </w:r>
      <w:hyperlink w:anchor="S09c03" w:history="1">
        <w:r>
          <w:rPr>
            <w:rStyle w:val="Collegamentoipertestuale"/>
            <w:rFonts w:cs="Arial"/>
            <w:b/>
            <w:szCs w:val="22"/>
          </w:rPr>
          <w:t>conseguente condizione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322" w:name="S09a03bis"/>
      <w:r>
        <w:rPr>
          <w:rFonts w:cs="Arial"/>
          <w:szCs w:val="22"/>
        </w:rPr>
        <w:t>3-</w:t>
      </w:r>
      <w:r>
        <w:rPr>
          <w:rFonts w:cs="Arial"/>
          <w:i/>
          <w:szCs w:val="22"/>
        </w:rPr>
        <w:t>bis</w:t>
      </w:r>
      <w:r>
        <w:rPr>
          <w:rFonts w:cs="Arial"/>
          <w:szCs w:val="22"/>
        </w:rPr>
        <w:t xml:space="preserve"> </w:t>
      </w:r>
      <w:bookmarkEnd w:id="322"/>
      <w:r>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02BA4">
        <w:rPr>
          <w:rFonts w:cs="Arial"/>
          <w:szCs w:val="22"/>
        </w:rPr>
        <w:t xml:space="preserve">nella lettera </w:t>
      </w:r>
      <w:r w:rsidRPr="00602BA4">
        <w:rPr>
          <w:rFonts w:cs="Arial"/>
          <w:i/>
          <w:iCs/>
          <w:szCs w:val="22"/>
        </w:rPr>
        <w:t xml:space="preserve">h) </w:t>
      </w:r>
      <w:r w:rsidRPr="00602BA4">
        <w:rPr>
          <w:rFonts w:cs="Arial"/>
          <w:szCs w:val="22"/>
        </w:rPr>
        <w:t xml:space="preserve">del medesimo articolo 21, comma 2, relativa alla semplificazione del sistema formativo degli istituti tecnici superiori, è recata – come criterio direttivo – la previsione di un contributo dovuto dagli studenti per gli esami finali e per il rilascio del diploma (tale </w:t>
      </w:r>
      <w:r w:rsidRPr="00602BA4">
        <w:rPr>
          <w:rFonts w:cs="Arial"/>
          <w:b/>
          <w:szCs w:val="22"/>
        </w:rPr>
        <w:t>criterio</w:t>
      </w:r>
      <w:r w:rsidRPr="00602BA4">
        <w:rPr>
          <w:rFonts w:cs="Arial"/>
          <w:szCs w:val="22"/>
        </w:rPr>
        <w:t xml:space="preserve"> non sembra attinente al concetto di «semplificazione»)</w:t>
      </w:r>
      <w:r w:rsidRPr="00B91F58">
        <w:rPr>
          <w:rFonts w:cs="Arial"/>
          <w:szCs w:val="22"/>
        </w:rPr>
        <w:t>»</w:t>
      </w:r>
      <w:r>
        <w:rPr>
          <w:rFonts w:cs="Arial"/>
          <w:szCs w:val="22"/>
        </w:rPr>
        <w:t xml:space="preserve"> </w:t>
      </w:r>
      <w:r w:rsidRPr="00B91F58">
        <w:rPr>
          <w:rFonts w:cs="Arial"/>
          <w:szCs w:val="22"/>
        </w:rPr>
        <w:t>(</w:t>
      </w:r>
      <w:hyperlink w:anchor="S09c04" w:history="1">
        <w:r>
          <w:rPr>
            <w:rStyle w:val="Collegamentoipertestuale"/>
            <w:rFonts w:cs="Arial"/>
            <w:b/>
            <w:szCs w:val="22"/>
          </w:rPr>
          <w:t>conseguente condizione</w:t>
        </w:r>
      </w:hyperlink>
      <w:r w:rsidRPr="00B91F58">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323" w:name="S09a04"/>
      <w:r w:rsidRPr="00B91F58">
        <w:rPr>
          <w:rFonts w:cs="Arial"/>
          <w:szCs w:val="22"/>
        </w:rPr>
        <w:t>4</w:t>
      </w:r>
      <w:bookmarkEnd w:id="323"/>
      <w:r w:rsidRPr="00B91F58">
        <w:rPr>
          <w:rFonts w:cs="Arial"/>
          <w:szCs w:val="22"/>
        </w:rPr>
        <w:t xml:space="preserve"> –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570DCD">
        <w:rPr>
          <w:rFonts w:cs="Arial"/>
          <w:szCs w:val="22"/>
        </w:rPr>
        <w:t xml:space="preserve">quanto al </w:t>
      </w:r>
      <w:r w:rsidRPr="00570DCD">
        <w:rPr>
          <w:rFonts w:cs="Arial"/>
          <w:b/>
          <w:szCs w:val="22"/>
        </w:rPr>
        <w:t>termine</w:t>
      </w:r>
      <w:r w:rsidRPr="00570DCD">
        <w:rPr>
          <w:rFonts w:cs="Arial"/>
          <w:szCs w:val="22"/>
        </w:rPr>
        <w:t xml:space="preserve">, il comma 1 prevede che i decreti legislativi vengano adottati entro il termine di diciotto mesi dalla data di entrata in vigore della legge; il comma 5 fissa il termine di due anni per l'adozione di eventuali decreti integrativi e correttivi; il comma 3 dispone l'espressione del parere da parte delle Commissioni parlamentari competenti per materia e per i profili finanziari e che il termine per l'esercizio della delega possa essere prolungato di novanta giorni qualora il termine per l'espressione dei pareri parlamentari «scada nei trenta giorni che precedono la scadenza del termine previsto al comma 1 o successivamente». Al riguardo, appare opportuno individuare univocamente i termini per l'esercizio della delega principale e di quelle integrative e correttive, rinunziando alla cosiddetta </w:t>
      </w:r>
      <w:r w:rsidRPr="00570DCD">
        <w:rPr>
          <w:rFonts w:cs="Arial"/>
          <w:b/>
          <w:szCs w:val="22"/>
        </w:rPr>
        <w:t>«tecnica dello scorrimento»</w:t>
      </w:r>
      <w:r w:rsidRPr="00570DCD">
        <w:rPr>
          <w:rFonts w:cs="Arial"/>
          <w:szCs w:val="22"/>
        </w:rPr>
        <w:t>. Nell'esame del disegno di legge C. 2617 (delega per la riforma del terzo settore), dopo che il Comitato aveva posto una condizione in tal senso, l'Assemblea della Camera ha approvato, il 1</w:t>
      </w:r>
      <w:r w:rsidRPr="00570DCD">
        <w:rPr>
          <w:rFonts w:cs="Arial"/>
          <w:szCs w:val="22"/>
          <w:vertAlign w:val="superscript"/>
        </w:rPr>
        <w:t>o</w:t>
      </w:r>
      <w:r w:rsidRPr="00570DCD">
        <w:rPr>
          <w:rFonts w:cs="Arial"/>
          <w:szCs w:val="22"/>
        </w:rPr>
        <w:t xml:space="preserve"> aprile 2015, un emendamento all'articolo 1, comma 6, del disegno di legge, che ha previsto, in luogo dello scorrimento del termine di delega, un termine univoco entro il quale il Governo </w:t>
      </w:r>
      <w:r w:rsidRPr="00570DCD">
        <w:rPr>
          <w:rFonts w:cs="Arial"/>
          <w:szCs w:val="22"/>
        </w:rPr>
        <w:lastRenderedPageBreak/>
        <w:t>deve trasmettere alle Camere gli schemi dei decreti legislativi, pena l'inefficacia della delega</w:t>
      </w:r>
      <w:r w:rsidRPr="00B91F58">
        <w:rPr>
          <w:rFonts w:cs="Arial"/>
          <w:szCs w:val="22"/>
        </w:rPr>
        <w:t>»</w:t>
      </w:r>
      <w:r>
        <w:rPr>
          <w:rFonts w:cs="Arial"/>
          <w:szCs w:val="22"/>
        </w:rPr>
        <w:t xml:space="preserve"> </w:t>
      </w:r>
      <w:r w:rsidRPr="00B91F58">
        <w:rPr>
          <w:rFonts w:cs="Arial"/>
          <w:szCs w:val="22"/>
        </w:rPr>
        <w:t>(</w:t>
      </w:r>
      <w:hyperlink w:anchor="S09c05" w:history="1">
        <w:r>
          <w:rPr>
            <w:rStyle w:val="Collegamentoipertestuale"/>
            <w:rFonts w:cs="Arial"/>
            <w:b/>
            <w:szCs w:val="22"/>
          </w:rPr>
          <w:t>conseguente condizione</w:t>
        </w:r>
      </w:hyperlink>
      <w:r w:rsidRPr="00B91F58">
        <w:rPr>
          <w:rFonts w:cs="Arial"/>
          <w:szCs w:val="22"/>
        </w:rPr>
        <w:t>)</w:t>
      </w:r>
      <w:r>
        <w:rPr>
          <w:rFonts w:cs="Arial"/>
          <w:szCs w:val="22"/>
        </w:rPr>
        <w:t>;</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324" w:name="S09a05"/>
      <w:r w:rsidRPr="00B91F58">
        <w:rPr>
          <w:rFonts w:cs="Arial"/>
          <w:szCs w:val="22"/>
        </w:rPr>
        <w:t xml:space="preserve">5 </w:t>
      </w:r>
      <w:bookmarkEnd w:id="324"/>
      <w:r w:rsidRPr="00B91F58">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18399D">
        <w:rPr>
          <w:rFonts w:cs="Arial"/>
          <w:szCs w:val="22"/>
        </w:rPr>
        <w:t>carenze di coordinamento interno al testo si rinvengono specificamente nei seguenti casi:</w:t>
      </w:r>
    </w:p>
    <w:p w:rsidR="000B33A8" w:rsidRDefault="000B33A8" w:rsidP="000B33A8">
      <w:pPr>
        <w:rPr>
          <w:rFonts w:cs="Arial"/>
          <w:szCs w:val="22"/>
        </w:rPr>
      </w:pPr>
      <w:r w:rsidRPr="0018399D">
        <w:rPr>
          <w:rFonts w:cs="Arial"/>
          <w:i/>
          <w:iCs/>
          <w:szCs w:val="22"/>
        </w:rPr>
        <w:t>a)</w:t>
      </w:r>
      <w:r w:rsidRPr="0018399D">
        <w:rPr>
          <w:rFonts w:cs="Arial"/>
          <w:szCs w:val="22"/>
        </w:rPr>
        <w:t xml:space="preserve"> all'articolo 2, comma 12 (che individua le risorse finanziarie affinché le istituzioni scolastiche realizzino i progetti inseriti nel piano triennale dell'offerta formativa – di seguito: «POF triennale»), non sono elencate le risorse che l'articolo 4, comma 7, stanzia per l'alternanza scuola-lavoro: al riguardo si dovrebbe valutare se sia necessario menzionarle espressamente considerando sia che l'alternanza scuola-lavoro è prevista proprio fra gli obiettivi del POF triennale (articolo 2, comma 3, lettera </w:t>
      </w:r>
      <w:r w:rsidRPr="0018399D">
        <w:rPr>
          <w:rFonts w:cs="Arial"/>
          <w:i/>
          <w:iCs/>
          <w:szCs w:val="22"/>
        </w:rPr>
        <w:t>n)</w:t>
      </w:r>
      <w:r w:rsidRPr="0018399D">
        <w:rPr>
          <w:rFonts w:cs="Arial"/>
          <w:szCs w:val="22"/>
        </w:rPr>
        <w:t>), sia che le risorse per l'alternanza scuola-lavoro sarebbero comunque attribuite (articolo 2, comma 7) alle istituzioni scolastiche proprio per realizzare gli obiettivi del POF triennale;</w:t>
      </w:r>
      <w:r>
        <w:rPr>
          <w:rFonts w:cs="Arial"/>
          <w:szCs w:val="22"/>
        </w:rPr>
        <w:t xml:space="preserve"> </w:t>
      </w:r>
      <w:r w:rsidRPr="00B91F58">
        <w:rPr>
          <w:rFonts w:cs="Arial"/>
          <w:szCs w:val="22"/>
        </w:rPr>
        <w:t>(</w:t>
      </w:r>
      <w:hyperlink w:anchor="S09o06" w:history="1">
        <w:r>
          <w:rPr>
            <w:rStyle w:val="Collegamentoipertestuale"/>
            <w:rFonts w:cs="Arial"/>
            <w:b/>
            <w:szCs w:val="22"/>
          </w:rPr>
          <w:t>conseguente osservazione</w:t>
        </w:r>
      </w:hyperlink>
      <w:r w:rsidRPr="00B91F58">
        <w:rPr>
          <w:rFonts w:cs="Arial"/>
          <w:szCs w:val="22"/>
        </w:rPr>
        <w:t>)</w:t>
      </w:r>
    </w:p>
    <w:p w:rsidR="000B33A8" w:rsidRDefault="000B33A8" w:rsidP="000B33A8">
      <w:pPr>
        <w:rPr>
          <w:rFonts w:cs="Arial"/>
          <w:szCs w:val="22"/>
        </w:rPr>
      </w:pPr>
      <w:r w:rsidRPr="0018399D">
        <w:rPr>
          <w:rFonts w:cs="Arial"/>
          <w:i/>
          <w:iCs/>
          <w:szCs w:val="22"/>
        </w:rPr>
        <w:t>b)</w:t>
      </w:r>
      <w:r w:rsidRPr="0018399D">
        <w:rPr>
          <w:rFonts w:cs="Arial"/>
          <w:szCs w:val="22"/>
        </w:rPr>
        <w:t xml:space="preserve"> l'articolo 6, comma 3, prevede che i posti dell'organico dell'autonomia sono coperti dal dirigente scolastico con il personale iscritto negli albi territoriali, ma l'articolo 7, comma 4, esclude da detti albi il personale docente già assunto a tempo indeterminato alla data di entrata in vigore della legge, richiedendo un coordinamento fra le due disposizioni;</w:t>
      </w:r>
      <w:r>
        <w:rPr>
          <w:rFonts w:cs="Arial"/>
          <w:szCs w:val="22"/>
        </w:rPr>
        <w:t xml:space="preserve"> </w:t>
      </w:r>
      <w:r w:rsidRPr="00B91F58">
        <w:rPr>
          <w:rFonts w:cs="Arial"/>
          <w:szCs w:val="22"/>
        </w:rPr>
        <w:t>(</w:t>
      </w:r>
      <w:hyperlink w:anchor="S09o07" w:history="1">
        <w:r>
          <w:rPr>
            <w:rStyle w:val="Collegamentoipertestuale"/>
            <w:rFonts w:cs="Arial"/>
            <w:b/>
            <w:szCs w:val="22"/>
          </w:rPr>
          <w:t>conseguente osservazione</w:t>
        </w:r>
      </w:hyperlink>
      <w:r w:rsidRPr="00B91F58">
        <w:rPr>
          <w:rFonts w:cs="Arial"/>
          <w:szCs w:val="22"/>
        </w:rPr>
        <w:t>)</w:t>
      </w:r>
      <w:r>
        <w:rPr>
          <w:rFonts w:cs="Arial"/>
          <w:szCs w:val="22"/>
        </w:rPr>
        <w:t xml:space="preserve"> </w:t>
      </w:r>
      <w:r w:rsidRPr="00B91F58">
        <w:rPr>
          <w:rFonts w:cs="Arial"/>
          <w:szCs w:val="22"/>
        </w:rPr>
        <w:t>(</w:t>
      </w:r>
      <w:hyperlink w:anchor="S09o10" w:history="1">
        <w:r>
          <w:rPr>
            <w:rStyle w:val="Collegamentoipertestuale"/>
            <w:rFonts w:cs="Arial"/>
            <w:b/>
            <w:szCs w:val="22"/>
          </w:rPr>
          <w:t>conseguente osservazione</w:t>
        </w:r>
      </w:hyperlink>
      <w:r w:rsidRPr="00B91F58">
        <w:rPr>
          <w:rFonts w:cs="Arial"/>
          <w:szCs w:val="22"/>
        </w:rPr>
        <w:t>)</w:t>
      </w:r>
    </w:p>
    <w:p w:rsidR="000B33A8" w:rsidRDefault="000B33A8" w:rsidP="000B33A8">
      <w:pPr>
        <w:rPr>
          <w:rFonts w:cs="Arial"/>
          <w:szCs w:val="22"/>
        </w:rPr>
      </w:pPr>
      <w:r w:rsidRPr="0018399D">
        <w:rPr>
          <w:rFonts w:cs="Arial"/>
          <w:i/>
          <w:iCs/>
          <w:szCs w:val="22"/>
        </w:rPr>
        <w:t>c)</w:t>
      </w:r>
      <w:r w:rsidRPr="0018399D">
        <w:rPr>
          <w:rFonts w:cs="Arial"/>
          <w:szCs w:val="22"/>
        </w:rPr>
        <w:t xml:space="preserve"> l'articolo 8, comma 5, relativo al piano di assunzioni straordinarie, prevede al primo periodo che i soggetti interessati «</w:t>
      </w:r>
      <w:r w:rsidRPr="0018399D">
        <w:rPr>
          <w:rFonts w:cs="Arial"/>
          <w:i/>
          <w:iCs/>
          <w:szCs w:val="22"/>
        </w:rPr>
        <w:t>possono esprimere</w:t>
      </w:r>
      <w:r w:rsidRPr="0018399D">
        <w:rPr>
          <w:rFonts w:cs="Arial"/>
          <w:szCs w:val="22"/>
        </w:rPr>
        <w:t xml:space="preserve"> l'ordine di preferenza fra tutti gli albi territoriali», e all'ultimo periodo che non si procede all'assunzione «in caso di indisponibilità di posti per gli </w:t>
      </w:r>
      <w:r w:rsidRPr="0018399D">
        <w:rPr>
          <w:rFonts w:cs="Arial"/>
          <w:i/>
          <w:iCs/>
          <w:szCs w:val="22"/>
        </w:rPr>
        <w:t>albi territoriali indicati</w:t>
      </w:r>
      <w:r w:rsidRPr="0018399D">
        <w:rPr>
          <w:rFonts w:cs="Arial"/>
          <w:szCs w:val="22"/>
        </w:rPr>
        <w:t>»: tali formulazioni non lasciano intendere univocamente se l'indicazione degli albi sia facoltativa o obbligatoria (come sembrerebbe dalla seconda formulazione, potendosi in tal caso interpretare il verbo «possono» nel senso che i partecipanti hanno una facoltà, non che essi abbiano un'opzione fra esprimersi o non esprimersi); tali dubbi interpretativi andrebbero risolti, coordinando le due previsioni, anche per chiarire alcune questioni correlate: se cioè sia possibile esprimere un ordine di preferenza che comprenda tutti gli albi territoriali (come sembrerebbero suggerire l'uso dell'aggettivo «tutti», altrimenti ridondante, e la mancata indicazione di un limite quantitativo di albi territoriali selezionabili); nel caso in cui l'indicazione fosse facoltativa, in quali albi territoriali vadano iscritti i partecipanti che non abbiano espresso alcuna opzione; nel caso in cui l'indicazione fosse invece obbligatoria, considerata l'esclusione automatica dei partecipanti che abbiano optato per albi territoriali «saturi», quale sia il limite massimo di opzioni esercitabili dai partecipanti;</w:t>
      </w:r>
      <w:r>
        <w:rPr>
          <w:rFonts w:cs="Arial"/>
          <w:szCs w:val="22"/>
        </w:rPr>
        <w:t xml:space="preserve"> </w:t>
      </w:r>
      <w:r w:rsidRPr="00B91F58">
        <w:rPr>
          <w:rFonts w:cs="Arial"/>
          <w:szCs w:val="22"/>
        </w:rPr>
        <w:t>(</w:t>
      </w:r>
      <w:hyperlink w:anchor="S09c08" w:history="1">
        <w:r>
          <w:rPr>
            <w:rStyle w:val="Collegamentoipertestuale"/>
            <w:rFonts w:cs="Arial"/>
            <w:b/>
            <w:szCs w:val="22"/>
          </w:rPr>
          <w:t>conseguente condizione</w:t>
        </w:r>
      </w:hyperlink>
      <w:r w:rsidRPr="00B91F58">
        <w:rPr>
          <w:rFonts w:cs="Arial"/>
          <w:szCs w:val="22"/>
        </w:rPr>
        <w:t>)</w:t>
      </w:r>
    </w:p>
    <w:p w:rsidR="000B33A8" w:rsidRDefault="000B33A8" w:rsidP="000B33A8">
      <w:pPr>
        <w:rPr>
          <w:rFonts w:cs="Arial"/>
          <w:szCs w:val="22"/>
        </w:rPr>
      </w:pPr>
      <w:r w:rsidRPr="0018399D">
        <w:rPr>
          <w:rFonts w:cs="Arial"/>
          <w:i/>
          <w:iCs/>
          <w:szCs w:val="22"/>
        </w:rPr>
        <w:t>d)</w:t>
      </w:r>
      <w:r w:rsidRPr="0018399D">
        <w:rPr>
          <w:rFonts w:cs="Arial"/>
          <w:szCs w:val="22"/>
        </w:rPr>
        <w:t xml:space="preserve"> al medesimo articolo 8, il comma 6 sembrerebbe dettare, per le assunzioni, un criterio ulteriore rispetto a quelli indicati, secondo un preciso ordine di priorità, </w:t>
      </w:r>
      <w:r w:rsidRPr="0018399D">
        <w:rPr>
          <w:rFonts w:cs="Arial"/>
          <w:szCs w:val="22"/>
        </w:rPr>
        <w:lastRenderedPageBreak/>
        <w:t>al comma 5: si dovrebbe, dunque, valutare l'opportunità di chiarire come si coordinino le previsioni dei commi 5 e 6 e, in particolare se, come sembrerebbe, il criterio indicato al comma 6 operi in via residuale;</w:t>
      </w:r>
    </w:p>
    <w:p w:rsidR="000B33A8" w:rsidRDefault="000B33A8" w:rsidP="000B33A8">
      <w:pPr>
        <w:rPr>
          <w:rFonts w:cs="Arial"/>
          <w:szCs w:val="22"/>
        </w:rPr>
      </w:pPr>
      <w:r w:rsidRPr="0018399D">
        <w:rPr>
          <w:rFonts w:cs="Arial"/>
          <w:i/>
          <w:iCs/>
          <w:szCs w:val="22"/>
        </w:rPr>
        <w:t>e)</w:t>
      </w:r>
      <w:r w:rsidRPr="0018399D">
        <w:rPr>
          <w:rFonts w:cs="Arial"/>
          <w:szCs w:val="22"/>
        </w:rPr>
        <w:t xml:space="preserve"> ancora all'articolo 8, il comma 10 dispone la perdita di efficacia di alcune graduatorie, ivi specificate, relative al personale docente, mentre il comma 11 fa salve alcune graduatorie per il personale docente «ed educativo», richiedendo un migliore coordinamento perché il personale educativo non è destinatario del comma 10 né del piano di assunzioni straordinario;</w:t>
      </w:r>
      <w:r>
        <w:rPr>
          <w:rFonts w:cs="Arial"/>
          <w:szCs w:val="22"/>
        </w:rPr>
        <w:t xml:space="preserve"> </w:t>
      </w:r>
      <w:r w:rsidRPr="00B91F58">
        <w:rPr>
          <w:rFonts w:cs="Arial"/>
          <w:szCs w:val="22"/>
        </w:rPr>
        <w:t>(</w:t>
      </w:r>
      <w:hyperlink w:anchor="S09o14" w:history="1">
        <w:r>
          <w:rPr>
            <w:rStyle w:val="Collegamentoipertestuale"/>
            <w:rFonts w:cs="Arial"/>
            <w:b/>
            <w:szCs w:val="22"/>
          </w:rPr>
          <w:t>conseguente osservazione</w:t>
        </w:r>
      </w:hyperlink>
      <w:r w:rsidRPr="00B91F58">
        <w:rPr>
          <w:rFonts w:cs="Arial"/>
          <w:szCs w:val="22"/>
        </w:rPr>
        <w:t>)</w:t>
      </w:r>
    </w:p>
    <w:p w:rsidR="000B33A8" w:rsidRDefault="000B33A8" w:rsidP="000B33A8">
      <w:pPr>
        <w:rPr>
          <w:rFonts w:cs="Arial"/>
          <w:szCs w:val="22"/>
        </w:rPr>
      </w:pPr>
      <w:r w:rsidRPr="0018399D">
        <w:rPr>
          <w:rFonts w:cs="Arial"/>
          <w:i/>
          <w:iCs/>
          <w:szCs w:val="22"/>
        </w:rPr>
        <w:t>f)</w:t>
      </w:r>
      <w:r w:rsidRPr="0018399D">
        <w:rPr>
          <w:rFonts w:cs="Arial"/>
          <w:szCs w:val="22"/>
        </w:rPr>
        <w:t xml:space="preserve"> l'articolo 8, comma 12, dispone che a regime, cioè dopo il piano di assunzioni straordinarie, il personale docente della scuola statale acceda ai ruoli esclusivamente mediante concorsi pubblici nazionali «</w:t>
      </w:r>
      <w:r w:rsidRPr="0018399D">
        <w:rPr>
          <w:rFonts w:cs="Arial"/>
          <w:i/>
          <w:iCs/>
          <w:szCs w:val="22"/>
        </w:rPr>
        <w:t>ad eccezione del personale docente della scuola dell'infanzia e del personale educativo</w:t>
      </w:r>
      <w:r w:rsidRPr="0018399D">
        <w:rPr>
          <w:rFonts w:cs="Arial"/>
          <w:szCs w:val="22"/>
        </w:rPr>
        <w:t xml:space="preserve">» (per il quale, però, non si rilevano altre previsioni ad hoc), mentre l'articolo 21, comma 2, lettera </w:t>
      </w:r>
      <w:r w:rsidRPr="0018399D">
        <w:rPr>
          <w:rFonts w:cs="Arial"/>
          <w:i/>
          <w:iCs/>
          <w:szCs w:val="22"/>
        </w:rPr>
        <w:t>c)</w:t>
      </w:r>
      <w:r w:rsidRPr="0018399D">
        <w:rPr>
          <w:rFonts w:cs="Arial"/>
          <w:szCs w:val="22"/>
        </w:rPr>
        <w:t>, indica – fra i princìpi e criteri direttivi della delega – l'accesso mediante concorso pubblico per il «</w:t>
      </w:r>
      <w:r w:rsidRPr="0018399D">
        <w:rPr>
          <w:rFonts w:cs="Arial"/>
          <w:i/>
          <w:iCs/>
          <w:szCs w:val="22"/>
        </w:rPr>
        <w:t xml:space="preserve">personale docente </w:t>
      </w:r>
      <w:r w:rsidRPr="0018399D">
        <w:rPr>
          <w:rFonts w:cs="Arial"/>
          <w:szCs w:val="22"/>
        </w:rPr>
        <w:t>[tutto] ed educativo»: le due previsioni andrebbero dunque coordinate chiarendo la disciplina applicabile ai docenti della scuola dell'infanzia e del personale educativo;</w:t>
      </w:r>
      <w:r>
        <w:rPr>
          <w:rFonts w:cs="Arial"/>
          <w:szCs w:val="22"/>
        </w:rPr>
        <w:t xml:space="preserve"> </w:t>
      </w:r>
      <w:r w:rsidRPr="00B91F58">
        <w:rPr>
          <w:rFonts w:cs="Arial"/>
          <w:szCs w:val="22"/>
        </w:rPr>
        <w:t>(</w:t>
      </w:r>
      <w:hyperlink w:anchor="S09o15" w:history="1">
        <w:r>
          <w:rPr>
            <w:rStyle w:val="Collegamentoipertestuale"/>
            <w:rFonts w:cs="Arial"/>
            <w:b/>
            <w:szCs w:val="22"/>
          </w:rPr>
          <w:t>conseguente osservazione</w:t>
        </w:r>
      </w:hyperlink>
      <w:r w:rsidRPr="00B91F58">
        <w:rPr>
          <w:rFonts w:cs="Arial"/>
          <w:szCs w:val="22"/>
        </w:rPr>
        <w:t>)</w:t>
      </w:r>
    </w:p>
    <w:p w:rsidR="000B33A8" w:rsidRDefault="000B33A8" w:rsidP="000B33A8">
      <w:pPr>
        <w:rPr>
          <w:rFonts w:cs="Arial"/>
          <w:szCs w:val="22"/>
        </w:rPr>
      </w:pPr>
      <w:r w:rsidRPr="0018399D">
        <w:rPr>
          <w:rFonts w:cs="Arial"/>
          <w:i/>
          <w:iCs/>
          <w:szCs w:val="22"/>
        </w:rPr>
        <w:t>g)</w:t>
      </w:r>
      <w:r w:rsidRPr="0018399D">
        <w:rPr>
          <w:rFonts w:cs="Arial"/>
          <w:szCs w:val="22"/>
        </w:rPr>
        <w:t xml:space="preserve"> l'articolo 10 istituisce la Carta elettronica per l'aggiornamento e la formazione del docente; il comma 1 fissa il suo importo in 500 euro annui e il comma 3, coerentemente, individua una copertura finanziaria congrua con tale cifra e con la platea dei potenziali destinatari: con tali disposizioni andrebbe dunque coordinato il comma 2 che, invece, affida a un DPCM la definizione dell'importo da assegnare nell'ambito delle risorse di cui al citato comma 3;</w:t>
      </w:r>
      <w:r>
        <w:rPr>
          <w:rFonts w:cs="Arial"/>
          <w:szCs w:val="22"/>
        </w:rPr>
        <w:t xml:space="preserve"> </w:t>
      </w:r>
      <w:r w:rsidRPr="00B91F58">
        <w:rPr>
          <w:rFonts w:cs="Arial"/>
          <w:szCs w:val="22"/>
        </w:rPr>
        <w:t>(</w:t>
      </w:r>
      <w:hyperlink w:anchor="S09o16" w:history="1">
        <w:r>
          <w:rPr>
            <w:rStyle w:val="Collegamentoipertestuale"/>
            <w:rFonts w:cs="Arial"/>
            <w:b/>
            <w:szCs w:val="22"/>
          </w:rPr>
          <w:t>conseguente osservazione</w:t>
        </w:r>
      </w:hyperlink>
      <w:r w:rsidRPr="00B91F58">
        <w:rPr>
          <w:rFonts w:cs="Arial"/>
          <w:szCs w:val="22"/>
        </w:rPr>
        <w:t>)</w:t>
      </w:r>
    </w:p>
    <w:p w:rsidR="000B33A8" w:rsidRDefault="000B33A8" w:rsidP="000B33A8">
      <w:pPr>
        <w:rPr>
          <w:rFonts w:cs="Arial"/>
          <w:szCs w:val="22"/>
        </w:rPr>
      </w:pPr>
      <w:r w:rsidRPr="0018399D">
        <w:rPr>
          <w:rFonts w:cs="Arial"/>
          <w:i/>
          <w:iCs/>
          <w:szCs w:val="22"/>
        </w:rPr>
        <w:t>h)</w:t>
      </w:r>
      <w:r w:rsidRPr="0018399D">
        <w:rPr>
          <w:rFonts w:cs="Arial"/>
          <w:szCs w:val="22"/>
        </w:rPr>
        <w:t xml:space="preserve"> all'articolo 11, il riferimento alla valorizzazione del merito del personale docente è presente sia nel comma 1 sia nel comma 3, il quale però specifica che si tratta del personale docente </w:t>
      </w:r>
      <w:r w:rsidRPr="0018399D">
        <w:rPr>
          <w:rFonts w:cs="Arial"/>
          <w:i/>
          <w:iCs/>
          <w:szCs w:val="22"/>
        </w:rPr>
        <w:t>di ruolo</w:t>
      </w:r>
      <w:r w:rsidRPr="00B91F58">
        <w:rPr>
          <w:rFonts w:cs="Arial"/>
          <w:szCs w:val="22"/>
        </w:rPr>
        <w:t>»</w:t>
      </w:r>
      <w:r>
        <w:rPr>
          <w:rFonts w:cs="Arial"/>
          <w:szCs w:val="22"/>
        </w:rPr>
        <w:t xml:space="preserve"> </w:t>
      </w:r>
      <w:r w:rsidRPr="00B91F58">
        <w:rPr>
          <w:rFonts w:cs="Arial"/>
          <w:szCs w:val="22"/>
        </w:rPr>
        <w:t>(</w:t>
      </w:r>
      <w:hyperlink w:anchor="S09o17" w:history="1">
        <w:r>
          <w:rPr>
            <w:rStyle w:val="Collegamentoipertestuale"/>
            <w:rFonts w:cs="Arial"/>
            <w:b/>
            <w:szCs w:val="22"/>
          </w:rPr>
          <w:t>conseguente osservazione</w:t>
        </w:r>
      </w:hyperlink>
      <w:r w:rsidRPr="00B91F58">
        <w:rPr>
          <w:rFonts w:cs="Arial"/>
          <w:szCs w:val="22"/>
        </w:rPr>
        <w:t>)</w:t>
      </w:r>
      <w:r>
        <w:rPr>
          <w:rFonts w:cs="Arial"/>
          <w:szCs w:val="22"/>
        </w:rPr>
        <w:t>;</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325" w:name="S09a06"/>
      <w:r w:rsidRPr="00B91F58">
        <w:rPr>
          <w:rFonts w:cs="Arial"/>
          <w:szCs w:val="22"/>
        </w:rPr>
        <w:t>6</w:t>
      </w:r>
      <w:bookmarkEnd w:id="325"/>
      <w:r w:rsidRPr="00B91F58">
        <w:rPr>
          <w:rFonts w:cs="Arial"/>
          <w:szCs w:val="22"/>
        </w:rPr>
        <w:t xml:space="preserve"> –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EF0811">
        <w:rPr>
          <w:rFonts w:cs="Arial"/>
          <w:iCs/>
          <w:szCs w:val="22"/>
        </w:rPr>
        <w:t xml:space="preserve">alcune disposizioni appaiono </w:t>
      </w:r>
      <w:r w:rsidRPr="00EF0811">
        <w:rPr>
          <w:rFonts w:cs="Arial"/>
          <w:b/>
          <w:iCs/>
          <w:szCs w:val="22"/>
        </w:rPr>
        <w:t>di dubbia o nulla portata normativa</w:t>
      </w:r>
      <w:r w:rsidRPr="00EF0811">
        <w:rPr>
          <w:rFonts w:cs="Arial"/>
          <w:iCs/>
          <w:szCs w:val="22"/>
        </w:rPr>
        <w:t xml:space="preserve">, in quanto: esplicitano le </w:t>
      </w:r>
      <w:r w:rsidRPr="00EF0811">
        <w:rPr>
          <w:rFonts w:cs="Arial"/>
          <w:b/>
          <w:iCs/>
          <w:szCs w:val="22"/>
        </w:rPr>
        <w:t>finalità</w:t>
      </w:r>
      <w:r w:rsidRPr="00EF0811">
        <w:rPr>
          <w:rFonts w:cs="Arial"/>
          <w:iCs/>
          <w:szCs w:val="22"/>
        </w:rPr>
        <w:t xml:space="preserve"> delle disposizioni (per es. articolo 4, comma 1; articolo 4, comma 6: «A tale fine, è abrogato il comma ...»); presentano </w:t>
      </w:r>
      <w:r w:rsidRPr="00EF0811">
        <w:rPr>
          <w:rFonts w:cs="Arial"/>
          <w:b/>
          <w:iCs/>
          <w:szCs w:val="22"/>
        </w:rPr>
        <w:t>carattere puramente programmatico o dichiarativo</w:t>
      </w:r>
      <w:r w:rsidRPr="00EF0811">
        <w:rPr>
          <w:rFonts w:cs="Arial"/>
          <w:iCs/>
          <w:szCs w:val="22"/>
        </w:rPr>
        <w:t xml:space="preserve"> (per es: articolo 2, comma 1: «Al fine di dare piena attuazione al processo di realizzazione dell'autonomia e di riorganizzazione dell'intero sistema di istruzione [...] è rafforzata la funzione del dirigente scolastico per garantire un'efficiente gestione delle risorse umane, finanziarie, tecnologiche e materiali ...»); recano </w:t>
      </w:r>
      <w:r w:rsidRPr="00EF0811">
        <w:rPr>
          <w:rFonts w:cs="Arial"/>
          <w:b/>
          <w:iCs/>
          <w:szCs w:val="22"/>
        </w:rPr>
        <w:t>previsioni già risultanti dalla normativa vigente</w:t>
      </w:r>
      <w:r w:rsidRPr="00EF0811">
        <w:rPr>
          <w:rFonts w:cs="Arial"/>
          <w:iCs/>
          <w:szCs w:val="22"/>
        </w:rPr>
        <w:t xml:space="preserve"> (per es. l'articolo 4, comma 2, aggiunge – fra i soggetti che possono stipulare convenzioni per l'alternanza scuola-lavoro – gli ordini professionali e gli enti che svolgono attività afferenti al </w:t>
      </w:r>
      <w:r w:rsidRPr="00EF0811">
        <w:rPr>
          <w:rFonts w:cs="Arial"/>
          <w:iCs/>
          <w:szCs w:val="22"/>
        </w:rPr>
        <w:lastRenderedPageBreak/>
        <w:t xml:space="preserve">patrimonio artistico, culturale e ambientale, ma tali enti risultano già ricompresi fra gli «enti pubblici e privati, ivi inclusi quelli del terzo settore» che la normativa vigente già menziona) o </w:t>
      </w:r>
      <w:r w:rsidRPr="00EF0811">
        <w:rPr>
          <w:rFonts w:cs="Arial"/>
          <w:b/>
          <w:iCs/>
          <w:szCs w:val="22"/>
        </w:rPr>
        <w:t>previsioni contenute nel medesimo provvedimento</w:t>
      </w:r>
      <w:r w:rsidRPr="00EF0811">
        <w:rPr>
          <w:rFonts w:cs="Arial"/>
          <w:iCs/>
          <w:szCs w:val="22"/>
        </w:rPr>
        <w:t xml:space="preserve"> (per es. all'articolo 21, comma 2, lettera </w:t>
      </w:r>
      <w:r w:rsidRPr="00EF0811">
        <w:rPr>
          <w:rFonts w:cs="Arial"/>
          <w:i/>
          <w:iCs/>
          <w:szCs w:val="22"/>
        </w:rPr>
        <w:t>c)</w:t>
      </w:r>
      <w:r w:rsidRPr="00EF0811">
        <w:rPr>
          <w:rFonts w:cs="Arial"/>
          <w:iCs/>
          <w:szCs w:val="22"/>
        </w:rPr>
        <w:t xml:space="preserve">, sia l'alinea sia il numero 5) ripetono che il decreto legislativo di riforma ha fra gli obiettivi quello di rendere il concorso del personale docente ed educativo omogeneo alle modalità di accesso al pubblico impiego); compiono una </w:t>
      </w:r>
      <w:r w:rsidRPr="00EF0811">
        <w:rPr>
          <w:rFonts w:cs="Arial"/>
          <w:b/>
          <w:iCs/>
          <w:szCs w:val="22"/>
        </w:rPr>
        <w:t>ricognizione della normativa vigente ovvero la mantengono ferma</w:t>
      </w:r>
      <w:r w:rsidRPr="00EF0811">
        <w:rPr>
          <w:rFonts w:cs="Arial"/>
          <w:iCs/>
          <w:szCs w:val="22"/>
        </w:rPr>
        <w:t xml:space="preserve"> (per esempio: l'articolo 9, comma 6, richiama alcune norme «in quanto compatibili con il presente articolo»); fanno riferimento al </w:t>
      </w:r>
      <w:r w:rsidRPr="00EF0811">
        <w:rPr>
          <w:rFonts w:cs="Arial"/>
          <w:b/>
          <w:iCs/>
          <w:szCs w:val="22"/>
        </w:rPr>
        <w:t>carattere provvisorio di talune disposizioni</w:t>
      </w:r>
      <w:r w:rsidRPr="00EF0811">
        <w:rPr>
          <w:rFonts w:cs="Arial"/>
          <w:iCs/>
          <w:szCs w:val="22"/>
        </w:rPr>
        <w:t>, destinate ad operare nelle more della realizzazione di adempimenti successivi, talora eventuali (per esempio, il già citato articolo 2, comma 1, prevede che il rafforzamento della funzione del dirigente scolastico avvenga «nelle more della revisione del quadro normativo» e l'articolo 7, comma 8, richiama la normativa applicabile «nelle more della revisione del sistema di valutazione dei dirigenti scolastici»);</w:t>
      </w:r>
      <w:r w:rsidRPr="00B91F58">
        <w:rPr>
          <w:rFonts w:cs="Arial"/>
          <w:szCs w:val="22"/>
        </w:rPr>
        <w:t>»</w:t>
      </w:r>
      <w:r>
        <w:rPr>
          <w:rFonts w:cs="Arial"/>
          <w:szCs w:val="22"/>
        </w:rPr>
        <w:t xml:space="preserve"> </w:t>
      </w:r>
      <w:r w:rsidRPr="00B91F58">
        <w:rPr>
          <w:rFonts w:cs="Arial"/>
          <w:szCs w:val="22"/>
        </w:rPr>
        <w:t>(</w:t>
      </w:r>
      <w:hyperlink w:anchor="S09o08" w:history="1">
        <w:r>
          <w:rPr>
            <w:rStyle w:val="Collegamentoipertestuale"/>
            <w:rFonts w:cs="Arial"/>
            <w:b/>
            <w:szCs w:val="22"/>
          </w:rPr>
          <w:t>conseguente osservazione</w:t>
        </w:r>
      </w:hyperlink>
      <w:r w:rsidRPr="00B91F58">
        <w:rPr>
          <w:rFonts w:cs="Arial"/>
          <w:szCs w:val="22"/>
        </w:rPr>
        <w:t>)</w:t>
      </w:r>
      <w:r>
        <w:rPr>
          <w:rFonts w:cs="Arial"/>
          <w:szCs w:val="22"/>
        </w:rPr>
        <w:t>;</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326" w:name="S09a07"/>
      <w:r w:rsidRPr="00B91F58">
        <w:rPr>
          <w:rFonts w:cs="Arial"/>
          <w:szCs w:val="22"/>
        </w:rPr>
        <w:t>7</w:t>
      </w:r>
      <w:bookmarkEnd w:id="326"/>
      <w:r w:rsidRPr="00B91F58">
        <w:rPr>
          <w:rFonts w:cs="Arial"/>
          <w:szCs w:val="22"/>
        </w:rPr>
        <w:t xml:space="preserve"> –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23CF6">
        <w:rPr>
          <w:rFonts w:cs="Arial"/>
          <w:szCs w:val="22"/>
        </w:rPr>
        <w:t xml:space="preserve">oltre ai predetti casi, anche l'articolo 6, comma 5, parrebbe avere l'unico effetto di richiamare la normativa vigente in materia di organico dei posti di sostegno; tuttavia – alla luce delle articolate vicende che hanno interessato il quadro normativo di settore – esso dovrebbe richiamare (in luogo dell'articolo 1, comma 605, lettera </w:t>
      </w:r>
      <w:r w:rsidRPr="00623CF6">
        <w:rPr>
          <w:rFonts w:cs="Arial"/>
          <w:i/>
          <w:iCs/>
          <w:szCs w:val="22"/>
        </w:rPr>
        <w:t>b)</w:t>
      </w:r>
      <w:r w:rsidRPr="00623CF6">
        <w:rPr>
          <w:rFonts w:cs="Arial"/>
          <w:szCs w:val="22"/>
        </w:rPr>
        <w:t>, della legge n.</w:t>
      </w:r>
      <w:r>
        <w:rPr>
          <w:rFonts w:cs="Arial"/>
          <w:szCs w:val="22"/>
        </w:rPr>
        <w:t xml:space="preserve"> </w:t>
      </w:r>
      <w:r w:rsidRPr="00623CF6">
        <w:rPr>
          <w:rFonts w:cs="Arial"/>
          <w:szCs w:val="22"/>
        </w:rPr>
        <w:t>296 del 2006) l'articolo 19, comma 11, del decreto-legge n.</w:t>
      </w:r>
      <w:r>
        <w:rPr>
          <w:rFonts w:cs="Arial"/>
          <w:szCs w:val="22"/>
        </w:rPr>
        <w:t xml:space="preserve"> </w:t>
      </w:r>
      <w:r w:rsidRPr="00623CF6">
        <w:rPr>
          <w:rFonts w:cs="Arial"/>
          <w:szCs w:val="22"/>
        </w:rPr>
        <w:t>98 del 2011, convertito con modifiche dalla legge n.</w:t>
      </w:r>
      <w:r>
        <w:rPr>
          <w:rFonts w:cs="Arial"/>
          <w:szCs w:val="22"/>
        </w:rPr>
        <w:t xml:space="preserve"> </w:t>
      </w:r>
      <w:r w:rsidRPr="00623CF6">
        <w:rPr>
          <w:rFonts w:cs="Arial"/>
          <w:szCs w:val="22"/>
        </w:rPr>
        <w:t>111 del 2011, che ha modificato la previgente disciplina senza però abrogarla esplicitamente</w:t>
      </w:r>
      <w:r w:rsidRPr="00B91F58">
        <w:rPr>
          <w:rFonts w:cs="Arial"/>
          <w:szCs w:val="22"/>
        </w:rPr>
        <w:t>»</w:t>
      </w:r>
      <w:r>
        <w:rPr>
          <w:rFonts w:cs="Arial"/>
          <w:szCs w:val="22"/>
        </w:rPr>
        <w:t xml:space="preserve"> </w:t>
      </w:r>
      <w:r w:rsidRPr="00B91F58">
        <w:rPr>
          <w:rFonts w:cs="Arial"/>
          <w:szCs w:val="22"/>
        </w:rPr>
        <w:t>(</w:t>
      </w:r>
      <w:hyperlink w:anchor="S09o08" w:history="1">
        <w:r>
          <w:rPr>
            <w:rStyle w:val="Collegamentoipertestuale"/>
            <w:rFonts w:cs="Arial"/>
            <w:b/>
            <w:szCs w:val="22"/>
          </w:rPr>
          <w:t>conseguente osservazione</w:t>
        </w:r>
      </w:hyperlink>
      <w:r w:rsidRPr="00B91F58">
        <w:rPr>
          <w:rFonts w:cs="Arial"/>
          <w:szCs w:val="22"/>
        </w:rPr>
        <w:t>)</w:t>
      </w:r>
      <w:r>
        <w:rPr>
          <w:rFonts w:cs="Arial"/>
          <w:szCs w:val="22"/>
        </w:rPr>
        <w:t>;</w:t>
      </w: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27" w:name="S09a08"/>
      <w:r>
        <w:rPr>
          <w:rFonts w:cs="Arial"/>
          <w:szCs w:val="22"/>
        </w:rPr>
        <w:t>8</w:t>
      </w:r>
      <w:bookmarkEnd w:id="327"/>
      <w:r>
        <w:rPr>
          <w:rFonts w:cs="Arial"/>
          <w:szCs w:val="22"/>
        </w:rPr>
        <w:t xml:space="preserve"> -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657560">
        <w:rPr>
          <w:rFonts w:cs="Arial"/>
          <w:szCs w:val="22"/>
        </w:rPr>
        <w:t xml:space="preserve">il testo, inoltre, adotta </w:t>
      </w:r>
      <w:r w:rsidRPr="00657560">
        <w:rPr>
          <w:rFonts w:cs="Arial"/>
          <w:b/>
          <w:szCs w:val="22"/>
        </w:rPr>
        <w:t>espressioni imprecise</w:t>
      </w:r>
      <w:r w:rsidRPr="00657560">
        <w:rPr>
          <w:rFonts w:cs="Arial"/>
          <w:szCs w:val="22"/>
        </w:rPr>
        <w:t xml:space="preserve"> ovvero suscettibili di ingenerare incertezze sull'effettivo significato tecnico-normativo; ciò si riscontra, ad esempio:</w:t>
      </w:r>
    </w:p>
    <w:p w:rsidR="000B33A8" w:rsidRDefault="000B33A8" w:rsidP="000B33A8">
      <w:pPr>
        <w:rPr>
          <w:rFonts w:cs="Arial"/>
          <w:szCs w:val="22"/>
        </w:rPr>
      </w:pPr>
      <w:r w:rsidRPr="00657560">
        <w:rPr>
          <w:rFonts w:cs="Arial"/>
          <w:szCs w:val="22"/>
        </w:rPr>
        <w:t>all'articolo 2, comma 4, ove sarebbe necessario specificare se il POF triennale sia riferito – come pure parrebbe – a tre anni scolastici, ovvero a tre anni solari;</w:t>
      </w:r>
      <w:r>
        <w:rPr>
          <w:rFonts w:cs="Arial"/>
          <w:szCs w:val="22"/>
        </w:rPr>
        <w:t xml:space="preserve"> </w:t>
      </w:r>
      <w:r w:rsidRPr="00B91F58">
        <w:rPr>
          <w:rFonts w:cs="Arial"/>
          <w:szCs w:val="22"/>
        </w:rPr>
        <w:t>(</w:t>
      </w:r>
      <w:hyperlink w:anchor="S09o04" w:history="1">
        <w:r>
          <w:rPr>
            <w:rStyle w:val="Collegamentoipertestuale"/>
            <w:rFonts w:cs="Arial"/>
            <w:b/>
            <w:szCs w:val="22"/>
          </w:rPr>
          <w:t>conseguente osservazione</w:t>
        </w:r>
      </w:hyperlink>
      <w:r w:rsidRPr="00B91F58">
        <w:rPr>
          <w:rFonts w:cs="Arial"/>
          <w:szCs w:val="22"/>
        </w:rPr>
        <w:t>)</w:t>
      </w:r>
    </w:p>
    <w:p w:rsidR="000B33A8" w:rsidRDefault="000B33A8" w:rsidP="000B33A8">
      <w:pPr>
        <w:rPr>
          <w:rFonts w:cs="Arial"/>
          <w:szCs w:val="22"/>
        </w:rPr>
      </w:pPr>
      <w:r w:rsidRPr="00657560">
        <w:rPr>
          <w:rFonts w:cs="Arial"/>
          <w:szCs w:val="22"/>
        </w:rPr>
        <w:t>all'articolo 4, comma 8, il quale fa riferimento a «musei, istituti e luoghi della cultura», mentre l'articolo 101 del Codice dei beni culturali e del paesaggio (D.Lgs. n.</w:t>
      </w:r>
      <w:r>
        <w:rPr>
          <w:rFonts w:cs="Arial"/>
          <w:szCs w:val="22"/>
        </w:rPr>
        <w:t xml:space="preserve"> </w:t>
      </w:r>
      <w:r w:rsidRPr="00657560">
        <w:rPr>
          <w:rFonts w:cs="Arial"/>
          <w:szCs w:val="22"/>
        </w:rPr>
        <w:t>42 del 2004) già include i musei nella nozione di «istituti e luoghi della cultura»;</w:t>
      </w:r>
    </w:p>
    <w:p w:rsidR="000B33A8" w:rsidRDefault="000B33A8" w:rsidP="000B33A8">
      <w:pPr>
        <w:rPr>
          <w:rFonts w:cs="Arial"/>
          <w:szCs w:val="22"/>
        </w:rPr>
      </w:pPr>
      <w:r w:rsidRPr="00657560">
        <w:rPr>
          <w:rFonts w:cs="Arial"/>
          <w:szCs w:val="22"/>
        </w:rPr>
        <w:t>all'articolo 7, comma 1, che attribuisce al dirigente scolastico la responsabilità «delle scelte didattiche», con una formulazione che – nell'innovare specificamente rispetto alle funzioni già elencate dal d.lgs. n.</w:t>
      </w:r>
      <w:r>
        <w:rPr>
          <w:rFonts w:cs="Arial"/>
          <w:szCs w:val="22"/>
        </w:rPr>
        <w:t xml:space="preserve"> </w:t>
      </w:r>
      <w:r w:rsidRPr="00657560">
        <w:rPr>
          <w:rFonts w:cs="Arial"/>
          <w:szCs w:val="22"/>
        </w:rPr>
        <w:t xml:space="preserve">165 del 2001 (articolo 25) – sembrerebbe attribuirgli una posizione di tipo gerarchico e che </w:t>
      </w:r>
      <w:r w:rsidRPr="00657560">
        <w:rPr>
          <w:rFonts w:cs="Arial"/>
          <w:szCs w:val="22"/>
        </w:rPr>
        <w:lastRenderedPageBreak/>
        <w:t>dovrebbe essere specificata e qualificata nel suo esatto significato stante anche il principio costituzionale della libertà di insegnamento (articolo 33) nonché il carattere partecipativo della formazione del POF;</w:t>
      </w:r>
      <w:r>
        <w:rPr>
          <w:rFonts w:cs="Arial"/>
          <w:szCs w:val="22"/>
        </w:rPr>
        <w:t xml:space="preserve"> </w:t>
      </w:r>
      <w:r w:rsidRPr="00657560">
        <w:rPr>
          <w:rFonts w:cs="Arial"/>
          <w:szCs w:val="22"/>
        </w:rPr>
        <w:t>(</w:t>
      </w:r>
      <w:hyperlink w:anchor="S09o09" w:history="1">
        <w:r w:rsidRPr="00657560">
          <w:rPr>
            <w:rStyle w:val="Collegamentoipertestuale"/>
            <w:rFonts w:cs="Arial"/>
            <w:b/>
            <w:szCs w:val="22"/>
          </w:rPr>
          <w:t>conseguente osservazione</w:t>
        </w:r>
      </w:hyperlink>
      <w:r w:rsidRPr="00657560">
        <w:rPr>
          <w:rFonts w:cs="Arial"/>
          <w:szCs w:val="22"/>
        </w:rPr>
        <w:t>)</w:t>
      </w:r>
    </w:p>
    <w:p w:rsidR="000B33A8" w:rsidRDefault="000B33A8" w:rsidP="000B33A8">
      <w:pPr>
        <w:rPr>
          <w:rFonts w:cs="Arial"/>
          <w:szCs w:val="22"/>
        </w:rPr>
      </w:pPr>
      <w:r w:rsidRPr="00657560">
        <w:rPr>
          <w:rFonts w:cs="Arial"/>
          <w:szCs w:val="22"/>
        </w:rPr>
        <w:t>all'articolo 7, comma 4, non è chiaro il concetto di «mobilità professionale»;</w:t>
      </w:r>
    </w:p>
    <w:p w:rsidR="000B33A8" w:rsidRDefault="000B33A8" w:rsidP="000B33A8">
      <w:pPr>
        <w:rPr>
          <w:rFonts w:cs="Arial"/>
          <w:szCs w:val="22"/>
        </w:rPr>
      </w:pPr>
      <w:r w:rsidRPr="00657560">
        <w:rPr>
          <w:rFonts w:cs="Arial"/>
          <w:szCs w:val="22"/>
        </w:rPr>
        <w:t>all'articolo 19, comma 2, è utilizzata l'espressione «canoni di investimento», non impiegata nell'ordinamento e di significato da chiarire;</w:t>
      </w:r>
    </w:p>
    <w:p w:rsidR="000B33A8" w:rsidRDefault="000B33A8" w:rsidP="000B33A8">
      <w:pPr>
        <w:rPr>
          <w:rFonts w:cs="Arial"/>
          <w:szCs w:val="22"/>
        </w:rPr>
      </w:pPr>
      <w:r w:rsidRPr="00657560">
        <w:rPr>
          <w:rFonts w:cs="Arial"/>
          <w:szCs w:val="22"/>
        </w:rPr>
        <w:t xml:space="preserve">all'articolo 21, comma 2, lettera </w:t>
      </w:r>
      <w:r w:rsidRPr="00657560">
        <w:rPr>
          <w:rFonts w:cs="Arial"/>
          <w:i/>
          <w:iCs/>
          <w:szCs w:val="22"/>
        </w:rPr>
        <w:t>i)</w:t>
      </w:r>
      <w:r w:rsidRPr="00657560">
        <w:rPr>
          <w:rFonts w:cs="Arial"/>
          <w:szCs w:val="22"/>
        </w:rPr>
        <w:t>, è prevista, come principio, la «generalizzazione» della scuola dell'infanzia</w:t>
      </w:r>
      <w:r w:rsidRPr="00B91F58">
        <w:rPr>
          <w:rFonts w:cs="Arial"/>
          <w:szCs w:val="22"/>
        </w:rPr>
        <w:t>»</w:t>
      </w:r>
      <w:r>
        <w:rPr>
          <w:rFonts w:cs="Arial"/>
          <w:szCs w:val="22"/>
        </w:rPr>
        <w:t xml:space="preserve"> </w:t>
      </w:r>
      <w:r w:rsidRPr="00B91F58">
        <w:rPr>
          <w:rFonts w:cs="Arial"/>
          <w:szCs w:val="22"/>
        </w:rPr>
        <w:t>(</w:t>
      </w:r>
      <w:hyperlink w:anchor="S09o13"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28" w:name="S09a09"/>
      <w:r>
        <w:rPr>
          <w:rFonts w:cs="Arial"/>
          <w:szCs w:val="22"/>
        </w:rPr>
        <w:t xml:space="preserve">9 </w:t>
      </w:r>
      <w:bookmarkEnd w:id="328"/>
      <w:r>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B660DE">
        <w:rPr>
          <w:rFonts w:cs="Arial"/>
          <w:szCs w:val="22"/>
        </w:rPr>
        <w:t xml:space="preserve">inoltre, </w:t>
      </w:r>
      <w:r w:rsidRPr="00B660DE">
        <w:rPr>
          <w:rFonts w:cs="Arial"/>
          <w:b/>
          <w:szCs w:val="22"/>
        </w:rPr>
        <w:t>diverse disposizioni appaiono tecnicamente bisognose di integrazioni e di specificazioni</w:t>
      </w:r>
      <w:r w:rsidRPr="00B660DE">
        <w:rPr>
          <w:rFonts w:cs="Arial"/>
          <w:szCs w:val="22"/>
        </w:rPr>
        <w:t xml:space="preserve"> per favorire la chiarezza e la proprietà della formulazione oppure per perseguire una maggiore efficacia nel riordino della disciplina; ciò si riscontra, in particolare nei seguenti casi:</w:t>
      </w:r>
    </w:p>
    <w:p w:rsidR="000B33A8" w:rsidRDefault="000B33A8" w:rsidP="000B33A8">
      <w:pPr>
        <w:rPr>
          <w:rFonts w:cs="Arial"/>
          <w:szCs w:val="22"/>
        </w:rPr>
      </w:pPr>
      <w:r w:rsidRPr="00B660DE">
        <w:rPr>
          <w:rFonts w:cs="Arial"/>
          <w:i/>
          <w:iCs/>
          <w:szCs w:val="22"/>
        </w:rPr>
        <w:t>a)</w:t>
      </w:r>
      <w:r w:rsidRPr="00B660DE">
        <w:rPr>
          <w:rFonts w:cs="Arial"/>
          <w:szCs w:val="22"/>
        </w:rPr>
        <w:t xml:space="preserve"> l'articolo 2, comma 10, prevede eventuali revisioni del POF triennale senza esplicitare se dette revisioni debbano seguire la medesima procedura fissata per il POF triennale;</w:t>
      </w:r>
      <w:r>
        <w:rPr>
          <w:rFonts w:cs="Arial"/>
          <w:szCs w:val="22"/>
        </w:rPr>
        <w:t xml:space="preserve"> </w:t>
      </w:r>
      <w:r w:rsidRPr="00B91F58">
        <w:rPr>
          <w:rFonts w:cs="Arial"/>
          <w:szCs w:val="22"/>
        </w:rPr>
        <w:t>(</w:t>
      </w:r>
      <w:hyperlink w:anchor="S09o05" w:history="1">
        <w:r>
          <w:rPr>
            <w:rStyle w:val="Collegamentoipertestuale"/>
            <w:rFonts w:cs="Arial"/>
            <w:b/>
            <w:szCs w:val="22"/>
          </w:rPr>
          <w:t>conseguente osservazione</w:t>
        </w:r>
      </w:hyperlink>
      <w:r w:rsidRPr="00B91F58">
        <w:rPr>
          <w:rFonts w:cs="Arial"/>
          <w:szCs w:val="22"/>
        </w:rPr>
        <w:t>)</w:t>
      </w:r>
    </w:p>
    <w:p w:rsidR="000B33A8" w:rsidRDefault="000B33A8" w:rsidP="000B33A8">
      <w:pPr>
        <w:rPr>
          <w:rFonts w:cs="Arial"/>
          <w:szCs w:val="22"/>
        </w:rPr>
      </w:pPr>
      <w:r w:rsidRPr="00B660DE">
        <w:rPr>
          <w:rFonts w:cs="Arial"/>
          <w:i/>
          <w:iCs/>
          <w:szCs w:val="22"/>
        </w:rPr>
        <w:t>b)</w:t>
      </w:r>
      <w:r w:rsidRPr="00B660DE">
        <w:rPr>
          <w:rFonts w:cs="Arial"/>
          <w:szCs w:val="22"/>
        </w:rPr>
        <w:t xml:space="preserve"> l'articolo 2, commi 14 e 15, relativi all'insegnamento dell'inglese, della musica e dell'educazione fisica nella scuola primaria, sembrerebbero consentire implicitamente l'insegnamento anche a soggetti non in possesso del titolo di abilitazione all'insegnamento nella scuola primaria, con ciò derogando in modo solo tacito e non esplicito alla normativa vigente; al riguardo è dunque necessario chiarire se e in quali casi sia necessario il titolo di abilitazione all'insegnamento nella scuola primaria e, relativamente alla lingua inglese, quali titoli e requisiti siano previsti per i docenti di madre lingua e per i «fornitori di servizi»;</w:t>
      </w:r>
      <w:r>
        <w:rPr>
          <w:rFonts w:cs="Arial"/>
          <w:szCs w:val="22"/>
        </w:rPr>
        <w:t xml:space="preserve"> </w:t>
      </w:r>
      <w:r w:rsidRPr="00B91F58">
        <w:rPr>
          <w:rFonts w:cs="Arial"/>
          <w:szCs w:val="22"/>
        </w:rPr>
        <w:t>(</w:t>
      </w:r>
      <w:hyperlink w:anchor="S09c06" w:history="1">
        <w:r>
          <w:rPr>
            <w:rStyle w:val="Collegamentoipertestuale"/>
            <w:rFonts w:cs="Arial"/>
            <w:b/>
            <w:szCs w:val="22"/>
          </w:rPr>
          <w:t>conseguente condizione</w:t>
        </w:r>
      </w:hyperlink>
      <w:r w:rsidRPr="00B91F58">
        <w:rPr>
          <w:rFonts w:cs="Arial"/>
          <w:szCs w:val="22"/>
        </w:rPr>
        <w:t>)</w:t>
      </w:r>
    </w:p>
    <w:p w:rsidR="000B33A8" w:rsidRDefault="000B33A8" w:rsidP="000B33A8">
      <w:pPr>
        <w:rPr>
          <w:rFonts w:cs="Arial"/>
          <w:szCs w:val="22"/>
        </w:rPr>
      </w:pPr>
      <w:r w:rsidRPr="00B660DE">
        <w:rPr>
          <w:rFonts w:cs="Arial"/>
          <w:i/>
          <w:iCs/>
          <w:szCs w:val="22"/>
        </w:rPr>
        <w:t>c)</w:t>
      </w:r>
      <w:r w:rsidRPr="00B660DE">
        <w:rPr>
          <w:rFonts w:cs="Arial"/>
          <w:szCs w:val="22"/>
        </w:rPr>
        <w:t xml:space="preserve"> l'articolo 3, comma 1, istituisce il curriculum dello studente, il quale «raccoglie tutti i dati utili anche ai fini dell'orientamento e dell'accesso al mondo del lavoro, relativi al percorso degli studi [...] e alle attività culturali, sportive e di volontariato, svolte in ambito extrascolastico»; l'articolo 14, comma 3, prevede, a sua volta, che il Portale unico dei dati della scuola «sentito il Garante per la protezione dei dati personali, rende accessibili i dati del </w:t>
      </w:r>
      <w:r w:rsidRPr="00B660DE">
        <w:rPr>
          <w:rFonts w:cs="Arial"/>
          <w:i/>
          <w:iCs/>
          <w:szCs w:val="22"/>
        </w:rPr>
        <w:t>curriculum</w:t>
      </w:r>
      <w:r w:rsidRPr="00B660DE">
        <w:rPr>
          <w:rFonts w:cs="Arial"/>
          <w:szCs w:val="22"/>
        </w:rPr>
        <w:t xml:space="preserve"> dello studente...»; ora, alcuni dei dati trattati potrebbero avere natura di dati sensibili (si pensi, a titolo puramente esemplificativo, allo stato di salute in caso di assenze prolungate o di percorsi educativi individualizzati, alla partecipazione dello studente ad enti e iniziative extrascolastiche e volontaristiche di carattere religioso o politico e così via) o anche giudiziari (si pensi all'impatto di periodi di reclusione minorile sull’</w:t>
      </w:r>
      <w:r w:rsidRPr="00B660DE">
        <w:rPr>
          <w:rFonts w:cs="Arial"/>
          <w:i/>
          <w:iCs/>
          <w:szCs w:val="22"/>
        </w:rPr>
        <w:t xml:space="preserve">iter </w:t>
      </w:r>
      <w:r w:rsidRPr="00B660DE">
        <w:rPr>
          <w:rFonts w:cs="Arial"/>
          <w:szCs w:val="22"/>
        </w:rPr>
        <w:t xml:space="preserve">scolastico), perciò l'accessibilità mediante il Portale unico potrebbe anche configurarsi, stando al tenore letterale del combinato disposto delle due disposizioni, quale obbligo giuridico di diffusione permanente al pubblico di dati anche personali e sensibili relativi alla totalità dei minorenni scolarizzati: al riguardo, è necessario individuare </w:t>
      </w:r>
      <w:r w:rsidRPr="00B660DE">
        <w:rPr>
          <w:rFonts w:cs="Arial"/>
          <w:i/>
          <w:iCs/>
          <w:szCs w:val="22"/>
        </w:rPr>
        <w:t>legislativamente</w:t>
      </w:r>
      <w:r w:rsidRPr="00B660DE">
        <w:rPr>
          <w:rFonts w:cs="Arial"/>
          <w:szCs w:val="22"/>
        </w:rPr>
        <w:t xml:space="preserve"> almeno i limiti </w:t>
      </w:r>
      <w:r w:rsidRPr="00B660DE">
        <w:rPr>
          <w:rFonts w:cs="Arial"/>
          <w:szCs w:val="22"/>
        </w:rPr>
        <w:lastRenderedPageBreak/>
        <w:t xml:space="preserve">e le garanzie fondamentali per tali trattamenti di dati, nonché esplicitare se il conferimento dei dati sia obbligatorio o volontario e quali siano i poteri esercitabili dagli interessati e da coloro che hanno la tutela legale dei minorenni, senza che tale disciplina sia rimessa </w:t>
      </w:r>
      <w:r w:rsidRPr="00B660DE">
        <w:rPr>
          <w:rFonts w:cs="Arial"/>
          <w:i/>
          <w:iCs/>
          <w:szCs w:val="22"/>
        </w:rPr>
        <w:t>in toto</w:t>
      </w:r>
      <w:r w:rsidRPr="00B660DE">
        <w:rPr>
          <w:rFonts w:cs="Arial"/>
          <w:szCs w:val="22"/>
        </w:rPr>
        <w:t xml:space="preserve"> a una determinazione amministrativa, sia pure sentito il parere del Garante (infatti, in primo luogo, il decreto legislativo n.</w:t>
      </w:r>
      <w:r w:rsidRPr="00B660DE">
        <w:rPr>
          <w:rFonts w:cs="Arial"/>
          <w:szCs w:val="22"/>
        </w:rPr>
        <w:t> </w:t>
      </w:r>
      <w:r w:rsidRPr="00B660DE">
        <w:rPr>
          <w:rFonts w:cs="Arial"/>
          <w:szCs w:val="22"/>
        </w:rPr>
        <w:t xml:space="preserve">196 del 2003, cd. codice della tutela dei dati personali, attribuisce in più punti un'efficacia abilitativa diretta, particolare e rafforzata, alle previsioni </w:t>
      </w:r>
      <w:r w:rsidRPr="00B660DE">
        <w:rPr>
          <w:rFonts w:cs="Arial"/>
          <w:i/>
          <w:iCs/>
          <w:szCs w:val="22"/>
        </w:rPr>
        <w:t>di legge</w:t>
      </w:r>
      <w:r w:rsidRPr="00B660DE">
        <w:rPr>
          <w:rFonts w:cs="Arial"/>
          <w:szCs w:val="22"/>
        </w:rPr>
        <w:t xml:space="preserve"> sul trattamento dati; in secondo luogo, la disciplina del trattamento dei dati sarebbe differenziata – in modi, allo stato attuale, non dettagliatamente prefigurabili – fra le scuole pubbliche e quelle paritarie di natura privata in quanto alle due categorie risulterebbero applicabili, rispettivamente, il Capo II e il Capo III del Titolo III del predetto codice; in terzo luogo, risulta raccomandabile un coordinamento esplicito con i limiti posti dal codice stesso circa la diffusione dei dati sensibili e giudiziari);</w:t>
      </w:r>
      <w:r>
        <w:rPr>
          <w:rFonts w:cs="Arial"/>
          <w:szCs w:val="22"/>
        </w:rPr>
        <w:t xml:space="preserve"> </w:t>
      </w:r>
      <w:r w:rsidRPr="00B91F58">
        <w:rPr>
          <w:rFonts w:cs="Arial"/>
          <w:szCs w:val="22"/>
        </w:rPr>
        <w:t>(</w:t>
      </w:r>
      <w:hyperlink w:anchor="S09c01" w:history="1">
        <w:r>
          <w:rPr>
            <w:rStyle w:val="Collegamentoipertestuale"/>
            <w:rFonts w:cs="Arial"/>
            <w:b/>
            <w:szCs w:val="22"/>
          </w:rPr>
          <w:t>conseguente condizione</w:t>
        </w:r>
      </w:hyperlink>
      <w:r w:rsidRPr="00B91F58">
        <w:rPr>
          <w:rFonts w:cs="Arial"/>
          <w:szCs w:val="22"/>
        </w:rPr>
        <w:t>)</w:t>
      </w:r>
    </w:p>
    <w:p w:rsidR="000B33A8" w:rsidRDefault="000B33A8" w:rsidP="000B33A8">
      <w:pPr>
        <w:rPr>
          <w:rFonts w:cs="Arial"/>
          <w:szCs w:val="22"/>
        </w:rPr>
      </w:pPr>
      <w:r w:rsidRPr="00B660DE">
        <w:rPr>
          <w:rFonts w:cs="Arial"/>
          <w:i/>
          <w:iCs/>
          <w:szCs w:val="22"/>
        </w:rPr>
        <w:t>d)</w:t>
      </w:r>
      <w:r w:rsidRPr="00B660DE">
        <w:rPr>
          <w:rFonts w:cs="Arial"/>
          <w:szCs w:val="22"/>
        </w:rPr>
        <w:t xml:space="preserve"> l'articolo 6, comma 3, prevede espressamente, ove ne sussistano i presupposti, un'integrazione stipendiale per le supplenze fino a dieci giorni, senza però prevedere se tale disciplina sia applicabile o meno anche alle supplenze annuali;</w:t>
      </w:r>
      <w:r>
        <w:rPr>
          <w:rFonts w:cs="Arial"/>
          <w:szCs w:val="22"/>
        </w:rPr>
        <w:t xml:space="preserve"> </w:t>
      </w:r>
      <w:r w:rsidRPr="00B91F58">
        <w:rPr>
          <w:rFonts w:cs="Arial"/>
          <w:szCs w:val="22"/>
        </w:rPr>
        <w:t>(</w:t>
      </w:r>
      <w:hyperlink w:anchor="S09c07" w:history="1">
        <w:r>
          <w:rPr>
            <w:rStyle w:val="Collegamentoipertestuale"/>
            <w:rFonts w:cs="Arial"/>
            <w:b/>
            <w:szCs w:val="22"/>
          </w:rPr>
          <w:t>conseguente condizione</w:t>
        </w:r>
      </w:hyperlink>
      <w:r w:rsidRPr="00B91F58">
        <w:rPr>
          <w:rFonts w:cs="Arial"/>
          <w:szCs w:val="22"/>
        </w:rPr>
        <w:t>)</w:t>
      </w:r>
    </w:p>
    <w:p w:rsidR="000B33A8" w:rsidRDefault="000B33A8" w:rsidP="000B33A8">
      <w:pPr>
        <w:rPr>
          <w:rFonts w:cs="Arial"/>
          <w:szCs w:val="22"/>
        </w:rPr>
      </w:pPr>
      <w:r w:rsidRPr="00B660DE">
        <w:rPr>
          <w:rFonts w:cs="Arial"/>
          <w:i/>
          <w:iCs/>
          <w:szCs w:val="22"/>
        </w:rPr>
        <w:t>e)</w:t>
      </w:r>
      <w:r w:rsidRPr="00B660DE">
        <w:rPr>
          <w:rFonts w:cs="Arial"/>
          <w:szCs w:val="22"/>
        </w:rPr>
        <w:t xml:space="preserve"> per le assunzioni a regime, da effettuare dopo il piano di assunzioni straordinarie, non è previsto se la collocazione in graduatoria, in esito al superamento di un concorso, comporti l'automatica immissione dei docenti negli albi territoriali o se, al contrario, vi siano dei limiti, e quali;</w:t>
      </w:r>
      <w:r>
        <w:rPr>
          <w:rFonts w:cs="Arial"/>
          <w:szCs w:val="22"/>
        </w:rPr>
        <w:t xml:space="preserve"> </w:t>
      </w:r>
      <w:r w:rsidRPr="00B91F58">
        <w:rPr>
          <w:rFonts w:cs="Arial"/>
          <w:szCs w:val="22"/>
        </w:rPr>
        <w:t>(</w:t>
      </w:r>
      <w:hyperlink w:anchor="S09c09" w:history="1">
        <w:r>
          <w:rPr>
            <w:rStyle w:val="Collegamentoipertestuale"/>
            <w:rFonts w:cs="Arial"/>
            <w:b/>
            <w:szCs w:val="22"/>
          </w:rPr>
          <w:t>conseguente condizione</w:t>
        </w:r>
      </w:hyperlink>
      <w:r w:rsidRPr="00B91F58">
        <w:rPr>
          <w:rFonts w:cs="Arial"/>
          <w:szCs w:val="22"/>
        </w:rPr>
        <w:t>)</w:t>
      </w:r>
    </w:p>
    <w:p w:rsidR="000B33A8" w:rsidRDefault="000B33A8" w:rsidP="000B33A8">
      <w:pPr>
        <w:rPr>
          <w:rFonts w:cs="Arial"/>
          <w:szCs w:val="22"/>
        </w:rPr>
      </w:pPr>
      <w:r w:rsidRPr="00B660DE">
        <w:rPr>
          <w:rFonts w:cs="Arial"/>
          <w:i/>
          <w:iCs/>
          <w:szCs w:val="22"/>
        </w:rPr>
        <w:t>f)</w:t>
      </w:r>
      <w:r w:rsidRPr="00B660DE">
        <w:rPr>
          <w:rFonts w:cs="Arial"/>
          <w:szCs w:val="22"/>
        </w:rPr>
        <w:t xml:space="preserve"> l'articolo 7, comma 4, istituisce i ruoli regionali del personale docente, articolati Pag. 12in albi territoriali (definiti dagli uffici scolastici regionali anche in funzione della popolazione scolastica); il disegno di legge non specifica in alcun punto se l'appartenenza a un ruolo o a un albo il cui territorio comprenda l'istituzione scolastica o educativa sia un requisito obbligatorio per ottenere un incarico di docenza o se il dirigente scolastico possa liberamente proporre incarichi anche a docenti di altri ruoli o albi o se vi siano altri limiti o criteri geografici e, in caso, quale effetto abbia la mobilità territoriale;</w:t>
      </w:r>
      <w:r>
        <w:rPr>
          <w:rFonts w:cs="Arial"/>
          <w:szCs w:val="22"/>
        </w:rPr>
        <w:t xml:space="preserve"> </w:t>
      </w:r>
      <w:r w:rsidRPr="00B91F58">
        <w:rPr>
          <w:rFonts w:cs="Arial"/>
          <w:szCs w:val="22"/>
        </w:rPr>
        <w:t>(</w:t>
      </w:r>
      <w:hyperlink w:anchor="S09c10" w:history="1">
        <w:r>
          <w:rPr>
            <w:rStyle w:val="Collegamentoipertestuale"/>
            <w:rFonts w:cs="Arial"/>
            <w:b/>
            <w:szCs w:val="22"/>
          </w:rPr>
          <w:t>conseguente condizione</w:t>
        </w:r>
      </w:hyperlink>
      <w:r w:rsidRPr="00B91F58">
        <w:rPr>
          <w:rFonts w:cs="Arial"/>
          <w:szCs w:val="22"/>
        </w:rPr>
        <w:t>)</w:t>
      </w:r>
    </w:p>
    <w:p w:rsidR="000B33A8" w:rsidRDefault="000B33A8" w:rsidP="000B33A8">
      <w:pPr>
        <w:rPr>
          <w:rFonts w:cs="Arial"/>
          <w:szCs w:val="22"/>
        </w:rPr>
      </w:pPr>
      <w:r w:rsidRPr="00B660DE">
        <w:rPr>
          <w:rFonts w:cs="Arial"/>
          <w:i/>
          <w:iCs/>
          <w:szCs w:val="22"/>
        </w:rPr>
        <w:t>g)</w:t>
      </w:r>
      <w:r w:rsidRPr="00B660DE">
        <w:rPr>
          <w:rFonts w:cs="Arial"/>
          <w:szCs w:val="22"/>
        </w:rPr>
        <w:t xml:space="preserve"> l'articolo 14, comma 4, prevede che il portale unico della scuola pubblichi la normativa, gli atti e le circolari «in conformità alle disposizioni del decreto-legge 22 dicembre 2008, n.</w:t>
      </w:r>
      <w:r w:rsidRPr="00B660DE">
        <w:rPr>
          <w:rFonts w:cs="Arial"/>
          <w:szCs w:val="22"/>
        </w:rPr>
        <w:t> </w:t>
      </w:r>
      <w:r w:rsidRPr="00B660DE">
        <w:rPr>
          <w:rFonts w:cs="Arial"/>
          <w:szCs w:val="22"/>
        </w:rPr>
        <w:t>200»: le disposizioni richiamate appaiono quelle di cui all'articolo 1, commi 1, 2 e 3, del decreto, recanti misure in materia di semplificazione normativa, riferite per lo più alla fase di avvio del portale Normattiva; tale riferimento appare ormai superato a seguito della loro abrogazione disposta dalla legge di stabilità 2014 e si dovrebbe valutare l'opportunità di esplicitare i criteri che si intendono dettare</w:t>
      </w:r>
      <w:r w:rsidRPr="00B91F58">
        <w:rPr>
          <w:rFonts w:cs="Arial"/>
          <w:szCs w:val="22"/>
        </w:rPr>
        <w:t>»</w:t>
      </w:r>
      <w:r>
        <w:rPr>
          <w:rFonts w:cs="Arial"/>
          <w:szCs w:val="22"/>
        </w:rPr>
        <w:t xml:space="preserve"> </w:t>
      </w:r>
      <w:r w:rsidRPr="00B91F58">
        <w:rPr>
          <w:rFonts w:cs="Arial"/>
          <w:szCs w:val="22"/>
        </w:rPr>
        <w:t>(</w:t>
      </w:r>
      <w:hyperlink w:anchor="S09o18"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29" w:name="S09a10"/>
      <w:r>
        <w:rPr>
          <w:rFonts w:cs="Arial"/>
          <w:szCs w:val="22"/>
        </w:rPr>
        <w:t>10</w:t>
      </w:r>
      <w:bookmarkEnd w:id="329"/>
      <w:r>
        <w:rPr>
          <w:rFonts w:cs="Arial"/>
          <w:szCs w:val="22"/>
        </w:rPr>
        <w:t xml:space="preserve"> -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9F58ED">
        <w:rPr>
          <w:rFonts w:cs="Arial"/>
          <w:szCs w:val="22"/>
        </w:rPr>
        <w:t xml:space="preserve">in numerosi casi, il disegno di legge fa rinvio a provvedimenti – di carattere sia regolamentare sia amministrativo – </w:t>
      </w:r>
      <w:r w:rsidRPr="0057541F">
        <w:rPr>
          <w:rFonts w:cs="Arial"/>
          <w:b/>
          <w:szCs w:val="22"/>
        </w:rPr>
        <w:t>senza prevedere un termine per la loro adozione o emanazione</w:t>
      </w:r>
      <w:r w:rsidRPr="009F58ED">
        <w:rPr>
          <w:rFonts w:cs="Arial"/>
          <w:szCs w:val="22"/>
        </w:rPr>
        <w:t xml:space="preserve">; in particolare si dovrebbero fissare espressamente i </w:t>
      </w:r>
      <w:r w:rsidRPr="0057541F">
        <w:rPr>
          <w:rFonts w:cs="Arial"/>
          <w:b/>
          <w:szCs w:val="22"/>
        </w:rPr>
        <w:t>termini per gli adempimenti</w:t>
      </w:r>
      <w:r w:rsidRPr="009F58ED">
        <w:rPr>
          <w:rFonts w:cs="Arial"/>
          <w:szCs w:val="22"/>
        </w:rPr>
        <w:t xml:space="preserve"> di seguito indicati:</w:t>
      </w:r>
    </w:p>
    <w:p w:rsidR="000B33A8" w:rsidRDefault="000B33A8" w:rsidP="000B33A8">
      <w:pPr>
        <w:rPr>
          <w:rFonts w:cs="Arial"/>
          <w:szCs w:val="22"/>
        </w:rPr>
      </w:pPr>
      <w:r w:rsidRPr="009F58ED">
        <w:rPr>
          <w:rFonts w:cs="Arial"/>
          <w:szCs w:val="22"/>
        </w:rPr>
        <w:t xml:space="preserve"> all'articolo 2, commi 5 e 6 (valutazione ed esame del POF triennale da parte, rispettivamente, dell'Ufficio scolastico regionale e del Ministero: il comma 6 prevede comunque che le istituzioni scolastiche aggiornino il piano entro il mese di febbraio); al comma 6 andrebbe altresì specificato se i POF triennali sono comunicati al Ministero dagli istituti o dagli Uffici scolastici regionali;</w:t>
      </w:r>
    </w:p>
    <w:p w:rsidR="000B33A8" w:rsidRDefault="000B33A8" w:rsidP="000B33A8">
      <w:pPr>
        <w:rPr>
          <w:rFonts w:cs="Arial"/>
          <w:szCs w:val="22"/>
        </w:rPr>
      </w:pPr>
      <w:r w:rsidRPr="009F58ED">
        <w:rPr>
          <w:rFonts w:cs="Arial"/>
          <w:szCs w:val="22"/>
        </w:rPr>
        <w:t xml:space="preserve"> all'articolo 2, comma 13 (individuazione, in fase di prima applicazione, dei docenti da parte del dirigente scolastico); il termine in questione dovrebbe essere individuato tenendo conto della tempistica necessaria per gli adempimenti sia propedeutici sia successivi, e coordinandola in particolare con l'articolo 8, comma 1, che concerne l'individuazione – per il primo anno di applicazione – dell'organico dell'autonomia;</w:t>
      </w:r>
    </w:p>
    <w:p w:rsidR="000B33A8" w:rsidRDefault="000B33A8" w:rsidP="000B33A8">
      <w:pPr>
        <w:rPr>
          <w:rFonts w:cs="Arial"/>
          <w:szCs w:val="22"/>
        </w:rPr>
      </w:pPr>
      <w:r w:rsidRPr="009F58ED">
        <w:rPr>
          <w:rFonts w:cs="Arial"/>
          <w:szCs w:val="22"/>
        </w:rPr>
        <w:t>all'articolo 7, comma 4, il quale prevede – come già visto – che gli uffici scolastici regionali individuino gli albi territoriali: anche per tale adempimento non sono previsti termini, tuttavia l'individuazione degli albi dovrà avvenire in tempi celeri perché è propedeutica all'esercizio della relativa opzione da parte dei soggetti interessati al piano di assunzioni straordinarie (articolo 8, comma 5);</w:t>
      </w:r>
    </w:p>
    <w:p w:rsidR="000B33A8" w:rsidRDefault="000B33A8" w:rsidP="000B33A8">
      <w:pPr>
        <w:rPr>
          <w:rFonts w:cs="Arial"/>
          <w:szCs w:val="22"/>
        </w:rPr>
      </w:pPr>
      <w:r w:rsidRPr="009F58ED">
        <w:rPr>
          <w:rFonts w:cs="Arial"/>
          <w:szCs w:val="22"/>
        </w:rPr>
        <w:t>all'articolo 9, comma 4 (adozione di un DM in materia di formazione e periodo di prova dei docenti);</w:t>
      </w:r>
    </w:p>
    <w:p w:rsidR="000B33A8" w:rsidRDefault="000B33A8" w:rsidP="000B33A8">
      <w:pPr>
        <w:rPr>
          <w:rFonts w:cs="Arial"/>
          <w:szCs w:val="22"/>
        </w:rPr>
      </w:pPr>
      <w:r w:rsidRPr="009F58ED">
        <w:rPr>
          <w:rFonts w:cs="Arial"/>
          <w:szCs w:val="22"/>
        </w:rPr>
        <w:t>all'articolo 19, comma 2 (adozione di un DPCM per l'adeguamento strutturale e antisismico degli edifici scolastici) e commi 3 e 6 (DM per la riassegnazione delle somme non spese per le predette finalità e per l'esclusione delle spese dal patto di stabilità)</w:t>
      </w:r>
      <w:r w:rsidRPr="00B91F58">
        <w:rPr>
          <w:rFonts w:cs="Arial"/>
          <w:szCs w:val="22"/>
        </w:rPr>
        <w:t>»</w:t>
      </w:r>
      <w:r>
        <w:rPr>
          <w:rFonts w:cs="Arial"/>
          <w:szCs w:val="22"/>
        </w:rPr>
        <w:t xml:space="preserve"> </w:t>
      </w:r>
      <w:r w:rsidRPr="00B91F58">
        <w:rPr>
          <w:rFonts w:cs="Arial"/>
          <w:szCs w:val="22"/>
        </w:rPr>
        <w:t>(</w:t>
      </w:r>
      <w:hyperlink w:anchor="S09o01"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30" w:name="S09a11"/>
      <w:r>
        <w:rPr>
          <w:rFonts w:cs="Arial"/>
          <w:szCs w:val="22"/>
        </w:rPr>
        <w:t>11</w:t>
      </w:r>
      <w:bookmarkEnd w:id="330"/>
      <w:r>
        <w:rPr>
          <w:rFonts w:cs="Arial"/>
          <w:szCs w:val="22"/>
        </w:rPr>
        <w:t xml:space="preserve"> -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57541F">
        <w:rPr>
          <w:rFonts w:cs="Arial"/>
          <w:szCs w:val="22"/>
        </w:rPr>
        <w:t xml:space="preserve">la </w:t>
      </w:r>
      <w:r w:rsidRPr="0057541F">
        <w:rPr>
          <w:rFonts w:cs="Arial"/>
          <w:b/>
          <w:szCs w:val="22"/>
        </w:rPr>
        <w:t>congruità di alcuni dei termini</w:t>
      </w:r>
      <w:r w:rsidRPr="0057541F">
        <w:rPr>
          <w:rFonts w:cs="Arial"/>
          <w:szCs w:val="22"/>
        </w:rPr>
        <w:t xml:space="preserve"> fissati nel testo attualmente in esame dovrebbe essere valutata dalla Commissione di merito tenendo conto sia dell’</w:t>
      </w:r>
      <w:r w:rsidRPr="0057541F">
        <w:rPr>
          <w:rFonts w:cs="Arial"/>
          <w:i/>
          <w:iCs/>
          <w:szCs w:val="22"/>
        </w:rPr>
        <w:t xml:space="preserve">iter legis </w:t>
      </w:r>
      <w:r w:rsidRPr="0057541F">
        <w:rPr>
          <w:rFonts w:cs="Arial"/>
          <w:szCs w:val="22"/>
        </w:rPr>
        <w:t>sia della tempistica prevista per gli adempimenti propedeutici e successivi: è il caso dell'articolo 8, comma 1, che fissa il termine per la prima determinazione dell'organico dell'autonomia al 31 maggio 2015, e dell'articolo 19, comma 6, che fissa alla medesima data il termine entro cui gli enti locali che non hanno rispettato il patto di stabilità nel 2014 devono comunicare le spese sostenute in detto anno per l'edilizia scolastica;</w:t>
      </w:r>
      <w:r>
        <w:rPr>
          <w:rFonts w:cs="Arial"/>
          <w:szCs w:val="22"/>
        </w:rPr>
        <w:t xml:space="preserve"> </w:t>
      </w:r>
      <w:r w:rsidRPr="0057541F">
        <w:rPr>
          <w:rFonts w:cs="Arial"/>
          <w:szCs w:val="22"/>
        </w:rPr>
        <w:t>in altri casi correttamente si impiega una formula («a decorrere dall'anno scolastico successivo all'entrata in vigore della presente legge») che, nei casi in cui la tempistica degli adempimenti concreti lo permetta, consente alle amministrazioni e agli istituti l'opportuna flessibilità per tener conto dei tempi dell’</w:t>
      </w:r>
      <w:r w:rsidRPr="0057541F">
        <w:rPr>
          <w:rFonts w:cs="Arial"/>
          <w:i/>
          <w:iCs/>
          <w:szCs w:val="22"/>
        </w:rPr>
        <w:t>iter</w:t>
      </w:r>
      <w:r w:rsidRPr="0057541F">
        <w:rPr>
          <w:rFonts w:cs="Arial"/>
          <w:szCs w:val="22"/>
        </w:rPr>
        <w:t xml:space="preserve"> legislativo</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31" w:name="S09a12"/>
      <w:r>
        <w:rPr>
          <w:rFonts w:cs="Arial"/>
          <w:szCs w:val="22"/>
        </w:rPr>
        <w:t xml:space="preserve">12 </w:t>
      </w:r>
      <w:bookmarkEnd w:id="331"/>
      <w:r>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396C51">
        <w:rPr>
          <w:rFonts w:cs="Arial"/>
          <w:szCs w:val="22"/>
        </w:rPr>
        <w:t xml:space="preserve">i commi 2 e 3 dell'articolo 7, che prevedono la chiamata dei docenti da parte dei dirigenti scolastici sulla base del POF triennale, presentano alcune </w:t>
      </w:r>
      <w:r w:rsidRPr="00396C51">
        <w:rPr>
          <w:rFonts w:cs="Arial"/>
          <w:b/>
          <w:szCs w:val="22"/>
        </w:rPr>
        <w:t>criticità concomitanti</w:t>
      </w:r>
      <w:r w:rsidRPr="00396C51">
        <w:rPr>
          <w:rFonts w:cs="Arial"/>
          <w:szCs w:val="22"/>
        </w:rPr>
        <w:t xml:space="preserve"> che, per comodità di lettura, si espongono congiuntamente:</w:t>
      </w:r>
    </w:p>
    <w:p w:rsidR="000B33A8" w:rsidRDefault="000B33A8" w:rsidP="000B33A8">
      <w:pPr>
        <w:rPr>
          <w:rFonts w:cs="Arial"/>
          <w:szCs w:val="22"/>
        </w:rPr>
      </w:pPr>
      <w:r w:rsidRPr="00396C51">
        <w:rPr>
          <w:rFonts w:cs="Arial"/>
          <w:i/>
          <w:iCs/>
          <w:szCs w:val="22"/>
        </w:rPr>
        <w:t>a)</w:t>
      </w:r>
      <w:r w:rsidRPr="00396C51">
        <w:rPr>
          <w:rFonts w:cs="Arial"/>
          <w:szCs w:val="22"/>
        </w:rPr>
        <w:t xml:space="preserve"> essi abrogano implicitamente l'articolo 400, co. 02, terzo periodo, del d.lgs. 297/1994, secondo il quale sono gli stessi vincitori del concorso a scegliere, nell'ordine in cui sono inseriti nella graduatoria, il posto di ruolo fra quelli disponibili nella regione (la relazione di ATN, però, specifica che «l'intervento normativo non comporta effetti abrogativi impliciti», parte III, punto 4);</w:t>
      </w:r>
    </w:p>
    <w:p w:rsidR="000B33A8" w:rsidRDefault="000B33A8" w:rsidP="000B33A8">
      <w:pPr>
        <w:rPr>
          <w:rFonts w:cs="Arial"/>
          <w:szCs w:val="22"/>
        </w:rPr>
      </w:pPr>
      <w:r w:rsidRPr="00396C51">
        <w:rPr>
          <w:rFonts w:cs="Arial"/>
          <w:i/>
          <w:iCs/>
          <w:szCs w:val="22"/>
        </w:rPr>
        <w:t>b)</w:t>
      </w:r>
      <w:r w:rsidRPr="00396C51">
        <w:rPr>
          <w:rFonts w:cs="Arial"/>
          <w:szCs w:val="22"/>
        </w:rPr>
        <w:t xml:space="preserve"> appare necessario coordinare la chiamata dei docenti ad incarico triennale rinnovabile con le previsioni secondo cui i vincitori di concorso sono assunti a tempo indeterminato (articolo 8, comma 2 e articolo 21, comma 2, lettera </w:t>
      </w:r>
      <w:r w:rsidRPr="00396C51">
        <w:rPr>
          <w:rFonts w:cs="Arial"/>
          <w:i/>
          <w:iCs/>
          <w:szCs w:val="22"/>
        </w:rPr>
        <w:t>c)</w:t>
      </w:r>
      <w:r w:rsidRPr="00396C51">
        <w:rPr>
          <w:rFonts w:cs="Arial"/>
          <w:szCs w:val="22"/>
        </w:rPr>
        <w:t>, della proposta in esame; articoli 399 e 400 del decreto legislativo n.</w:t>
      </w:r>
      <w:r w:rsidRPr="00396C51">
        <w:rPr>
          <w:rFonts w:cs="Arial"/>
          <w:szCs w:val="22"/>
        </w:rPr>
        <w:t> </w:t>
      </w:r>
      <w:r w:rsidRPr="00396C51">
        <w:rPr>
          <w:rFonts w:cs="Arial"/>
          <w:szCs w:val="22"/>
        </w:rPr>
        <w:t>297 del 1994) ed esplicitare, in particolare, quale sia il trattamento giuridico ed economico dei docenti che non abbiano eventualmente ricevuto alcuna chiamata ad incarico;</w:t>
      </w:r>
    </w:p>
    <w:p w:rsidR="000B33A8" w:rsidRDefault="000B33A8" w:rsidP="000B33A8">
      <w:pPr>
        <w:rPr>
          <w:rFonts w:cs="Arial"/>
          <w:szCs w:val="22"/>
        </w:rPr>
      </w:pPr>
      <w:r w:rsidRPr="00396C51">
        <w:rPr>
          <w:rFonts w:cs="Arial"/>
          <w:i/>
          <w:iCs/>
          <w:szCs w:val="22"/>
        </w:rPr>
        <w:t>c)</w:t>
      </w:r>
      <w:r w:rsidRPr="00396C51">
        <w:rPr>
          <w:rFonts w:cs="Arial"/>
          <w:szCs w:val="22"/>
        </w:rPr>
        <w:t xml:space="preserve"> la previsione che i docenti siano reclutati fra quelli iscritti agli albi territoriali va coordinata con quelle, sopra richiamate, di cui agli articoli 6, comma 3, e 7, comma 4, in merito ai docenti già in servizio i quali sono esclusi dall'iscrizione degli albi stessi salvo in caso di mobilità</w:t>
      </w:r>
      <w:r w:rsidRPr="00B91F58">
        <w:rPr>
          <w:rFonts w:cs="Arial"/>
          <w:szCs w:val="22"/>
        </w:rPr>
        <w:t>»</w:t>
      </w:r>
      <w:r>
        <w:rPr>
          <w:rFonts w:cs="Arial"/>
          <w:szCs w:val="22"/>
        </w:rPr>
        <w:t xml:space="preserve"> </w:t>
      </w:r>
      <w:r w:rsidRPr="00B91F58">
        <w:rPr>
          <w:rFonts w:cs="Arial"/>
          <w:szCs w:val="22"/>
        </w:rPr>
        <w:t>(</w:t>
      </w:r>
      <w:hyperlink w:anchor="S09c02" w:history="1">
        <w:r>
          <w:rPr>
            <w:rStyle w:val="Collegamentoipertestuale"/>
            <w:rFonts w:cs="Arial"/>
            <w:b/>
            <w:szCs w:val="22"/>
          </w:rPr>
          <w:t>conseguente condizione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32" w:name="S09a12bis"/>
      <w:r>
        <w:rPr>
          <w:rFonts w:cs="Arial"/>
          <w:szCs w:val="22"/>
        </w:rPr>
        <w:t>12-</w:t>
      </w:r>
      <w:r>
        <w:rPr>
          <w:rFonts w:cs="Arial"/>
          <w:i/>
          <w:szCs w:val="22"/>
        </w:rPr>
        <w:t>bis</w:t>
      </w:r>
      <w:r>
        <w:rPr>
          <w:rFonts w:cs="Arial"/>
          <w:szCs w:val="22"/>
        </w:rPr>
        <w:t xml:space="preserve"> </w:t>
      </w:r>
      <w:bookmarkEnd w:id="332"/>
      <w:r>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77038F">
        <w:rPr>
          <w:rFonts w:cs="Arial"/>
          <w:i/>
          <w:iCs/>
          <w:szCs w:val="22"/>
        </w:rPr>
        <w:t>d)</w:t>
      </w:r>
      <w:r w:rsidRPr="0077038F">
        <w:rPr>
          <w:rFonts w:cs="Arial"/>
          <w:szCs w:val="22"/>
        </w:rPr>
        <w:t xml:space="preserve"> nel dettare i criteri cui devono attenersi i dirigenti scolastici, la lettera d) del comma 3 prevede l’ «utilizzo del personale docente di ruolo in classi di concorso diverse da quelle per la quale [</w:t>
      </w:r>
      <w:r w:rsidRPr="0077038F">
        <w:rPr>
          <w:rFonts w:cs="Arial"/>
          <w:i/>
          <w:iCs/>
          <w:szCs w:val="22"/>
        </w:rPr>
        <w:t>sic</w:t>
      </w:r>
      <w:r w:rsidRPr="0077038F">
        <w:rPr>
          <w:rFonts w:cs="Arial"/>
          <w:szCs w:val="22"/>
        </w:rPr>
        <w:t>] possiede l'abilitazione, purché possegga un titolo di studio valido all'insegnamento;» al riguardo, andrebbe chiarito che – evidentemente – si tratta della «</w:t>
      </w:r>
      <w:r w:rsidRPr="0077038F">
        <w:rPr>
          <w:rFonts w:cs="Arial"/>
          <w:i/>
          <w:iCs/>
          <w:szCs w:val="22"/>
        </w:rPr>
        <w:t>facoltà di</w:t>
      </w:r>
      <w:r w:rsidRPr="0077038F">
        <w:rPr>
          <w:rFonts w:cs="Arial"/>
          <w:szCs w:val="22"/>
        </w:rPr>
        <w:t xml:space="preserve"> utilizzo» e andrebbe puntualizzato che il titolo di studio deve essere «valido per l'insegnamento </w:t>
      </w:r>
      <w:r w:rsidRPr="0077038F">
        <w:rPr>
          <w:rFonts w:cs="Arial"/>
          <w:i/>
          <w:iCs/>
          <w:szCs w:val="22"/>
        </w:rPr>
        <w:t>richiesto per l'incarico</w:t>
      </w:r>
      <w:r w:rsidRPr="0077038F">
        <w:rPr>
          <w:rFonts w:cs="Arial"/>
          <w:szCs w:val="22"/>
        </w:rPr>
        <w:t>» o «della materia per cui è conferito l'incarico» o simili</w:t>
      </w:r>
      <w:r w:rsidRPr="00B91F58">
        <w:rPr>
          <w:rFonts w:cs="Arial"/>
          <w:szCs w:val="22"/>
        </w:rPr>
        <w:t>»</w:t>
      </w:r>
      <w:r>
        <w:rPr>
          <w:rFonts w:cs="Arial"/>
          <w:szCs w:val="22"/>
        </w:rPr>
        <w:t xml:space="preserve"> </w:t>
      </w:r>
      <w:r w:rsidRPr="00B91F58">
        <w:rPr>
          <w:rFonts w:cs="Arial"/>
          <w:szCs w:val="22"/>
        </w:rPr>
        <w:t>(</w:t>
      </w:r>
      <w:hyperlink w:anchor="S09o11"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33" w:name="S09a12ter"/>
      <w:r>
        <w:rPr>
          <w:rFonts w:cs="Arial"/>
          <w:szCs w:val="22"/>
        </w:rPr>
        <w:t>12-</w:t>
      </w:r>
      <w:r>
        <w:rPr>
          <w:rFonts w:cs="Arial"/>
          <w:i/>
          <w:szCs w:val="22"/>
        </w:rPr>
        <w:t>ter</w:t>
      </w:r>
      <w:r>
        <w:rPr>
          <w:rFonts w:cs="Arial"/>
          <w:szCs w:val="22"/>
        </w:rPr>
        <w:t xml:space="preserve"> </w:t>
      </w:r>
      <w:bookmarkEnd w:id="333"/>
      <w:r>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77038F">
        <w:rPr>
          <w:rFonts w:cs="Arial"/>
          <w:i/>
          <w:iCs/>
          <w:szCs w:val="22"/>
        </w:rPr>
        <w:t>e)</w:t>
      </w:r>
      <w:r w:rsidRPr="0077038F">
        <w:rPr>
          <w:rFonts w:cs="Arial"/>
          <w:szCs w:val="22"/>
        </w:rPr>
        <w:t xml:space="preserve"> la lettera e) del comma 3, che prevede il potere sostitutivo degli uffici scolastici regionali in caso di inerzia dei dirigenti scolastici, non è un criterio direttivo cui debba attenersi il dirigente scolastico bensì una previsione sostanziale autonoma, e pertanto dovrebbe essere formulata quale disposizione a sé stante, per esempio in un comma separato</w:t>
      </w:r>
      <w:r w:rsidRPr="00B91F58">
        <w:rPr>
          <w:rFonts w:cs="Arial"/>
          <w:szCs w:val="22"/>
        </w:rPr>
        <w:t>»</w:t>
      </w:r>
      <w:r>
        <w:rPr>
          <w:rFonts w:cs="Arial"/>
          <w:szCs w:val="22"/>
        </w:rPr>
        <w:t xml:space="preserve"> </w:t>
      </w:r>
      <w:r w:rsidRPr="00B91F58">
        <w:rPr>
          <w:rFonts w:cs="Arial"/>
          <w:szCs w:val="22"/>
        </w:rPr>
        <w:t>(</w:t>
      </w:r>
      <w:hyperlink w:anchor="S09o12"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34" w:name="S09a13"/>
      <w:r>
        <w:rPr>
          <w:rFonts w:cs="Arial"/>
          <w:szCs w:val="22"/>
        </w:rPr>
        <w:t>13</w:t>
      </w:r>
      <w:bookmarkEnd w:id="334"/>
      <w:r>
        <w:rPr>
          <w:rFonts w:cs="Arial"/>
          <w:szCs w:val="22"/>
        </w:rPr>
        <w:t xml:space="preserve"> -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F62634">
        <w:rPr>
          <w:rFonts w:cs="Arial"/>
          <w:szCs w:val="22"/>
        </w:rPr>
        <w:t xml:space="preserve">sia l'articolo 10, comma 2, sia l'articolo 19, comma 2, prevedono l'emanazione di due </w:t>
      </w:r>
      <w:r w:rsidRPr="00F62634">
        <w:rPr>
          <w:rFonts w:cs="Arial"/>
          <w:b/>
          <w:szCs w:val="22"/>
        </w:rPr>
        <w:t xml:space="preserve">decreti del Presidente del Consiglio dei </w:t>
      </w:r>
      <w:r w:rsidRPr="00F62634">
        <w:rPr>
          <w:rFonts w:cs="Arial"/>
          <w:b/>
          <w:szCs w:val="22"/>
        </w:rPr>
        <w:lastRenderedPageBreak/>
        <w:t>ministri con evidente natura regolamentare</w:t>
      </w:r>
      <w:r w:rsidRPr="00F62634">
        <w:rPr>
          <w:rFonts w:cs="Arial"/>
          <w:szCs w:val="22"/>
        </w:rPr>
        <w:t>: a tale proposito il Comitato ha costantemente evidenziato che il ricorso, in casi simili, ai DPCM non appare conforme alle esigenze di un coerente utilizzo delle fonti normative, in quanto si demanda ad un atto, ordinariamente di natura politica, la definizione di una disciplina che dovrebbe essere oggetto di una fonte secondaria del diritto e, segnatamente, di regolamenti emanati a norma dell'</w:t>
      </w:r>
      <w:r w:rsidRPr="00F62634">
        <w:rPr>
          <w:rFonts w:cs="Arial"/>
          <w:b/>
          <w:szCs w:val="22"/>
        </w:rPr>
        <w:t xml:space="preserve">articolo 17, comma 1 </w:t>
      </w:r>
      <w:r w:rsidRPr="00F62634">
        <w:rPr>
          <w:rFonts w:cs="Arial"/>
          <w:szCs w:val="22"/>
        </w:rPr>
        <w:t>o</w:t>
      </w:r>
      <w:r w:rsidRPr="00F62634">
        <w:rPr>
          <w:rFonts w:cs="Arial"/>
          <w:b/>
          <w:szCs w:val="22"/>
        </w:rPr>
        <w:t xml:space="preserve"> comma 3, della legge 23 agosto 1988, n. 400</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35" w:name="S09a14"/>
      <w:r>
        <w:rPr>
          <w:rFonts w:cs="Arial"/>
          <w:szCs w:val="22"/>
        </w:rPr>
        <w:t>14</w:t>
      </w:r>
      <w:bookmarkEnd w:id="335"/>
      <w:r>
        <w:rPr>
          <w:rFonts w:cs="Arial"/>
          <w:szCs w:val="22"/>
        </w:rPr>
        <w:t xml:space="preserve"> -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A26E8A">
        <w:rPr>
          <w:rFonts w:cs="Arial"/>
          <w:szCs w:val="22"/>
        </w:rPr>
        <w:t xml:space="preserve">in diversi punti il disegno di legge </w:t>
      </w:r>
      <w:r w:rsidRPr="00A26E8A">
        <w:rPr>
          <w:rFonts w:cs="Arial"/>
          <w:b/>
          <w:szCs w:val="22"/>
        </w:rPr>
        <w:t>deroga alla normativa vigente ovvero proroga la durata di regimi derogatori</w:t>
      </w:r>
      <w:r w:rsidRPr="00A26E8A">
        <w:rPr>
          <w:rFonts w:cs="Arial"/>
          <w:szCs w:val="22"/>
        </w:rPr>
        <w:t>; si segnalano, in particolare, l'articolo 19, comma 2, che proroga a tutta la durata della programmazione triennale (quindi fino al 2017) i poteri derogatori dei commissari governativi per gli interventi di edilizia scolastica, che sarebbero dovuti cessare il 31 dicembre 2014 (tale termine era già stato differito al 31 dicembre 2015 dall'articolo 6, comma 5-</w:t>
      </w:r>
      <w:r w:rsidRPr="00A26E8A">
        <w:rPr>
          <w:rFonts w:cs="Arial"/>
          <w:i/>
          <w:iCs/>
          <w:szCs w:val="22"/>
        </w:rPr>
        <w:t>bis</w:t>
      </w:r>
      <w:r w:rsidRPr="00A26E8A">
        <w:rPr>
          <w:rFonts w:cs="Arial"/>
          <w:szCs w:val="22"/>
        </w:rPr>
        <w:t>, del decreto-legge n.</w:t>
      </w:r>
      <w:r>
        <w:rPr>
          <w:rFonts w:cs="Arial"/>
          <w:szCs w:val="22"/>
        </w:rPr>
        <w:t xml:space="preserve"> 192 del 2014)</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36" w:name="S09a15"/>
      <w:r>
        <w:rPr>
          <w:rFonts w:cs="Arial"/>
          <w:szCs w:val="22"/>
        </w:rPr>
        <w:t xml:space="preserve">15 </w:t>
      </w:r>
      <w:bookmarkEnd w:id="336"/>
      <w:r>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7041D7">
        <w:rPr>
          <w:rFonts w:cs="Arial"/>
          <w:szCs w:val="22"/>
        </w:rPr>
        <w:t xml:space="preserve">l'articolo 22, comma 5, prevede che: </w:t>
      </w:r>
      <w:r>
        <w:rPr>
          <w:rFonts w:cs="Arial"/>
          <w:szCs w:val="22"/>
        </w:rPr>
        <w:t>“</w:t>
      </w:r>
      <w:r w:rsidRPr="007041D7">
        <w:rPr>
          <w:rFonts w:cs="Arial"/>
          <w:szCs w:val="22"/>
        </w:rPr>
        <w:t xml:space="preserve">Le norme della presente legge sono </w:t>
      </w:r>
      <w:r w:rsidRPr="007041D7">
        <w:rPr>
          <w:rFonts w:cs="Arial"/>
          <w:b/>
          <w:szCs w:val="22"/>
        </w:rPr>
        <w:t>inderogabili</w:t>
      </w:r>
      <w:r w:rsidRPr="007041D7">
        <w:rPr>
          <w:rFonts w:cs="Arial"/>
          <w:szCs w:val="22"/>
        </w:rPr>
        <w:t xml:space="preserve"> e le norme e le procedure contenute nei contratti collettivi, contrastanti con quanto previsto dalla presente legge, sono inefficaci</w:t>
      </w:r>
      <w:r>
        <w:rPr>
          <w:rFonts w:cs="Arial"/>
          <w:szCs w:val="22"/>
        </w:rPr>
        <w:t>”</w:t>
      </w:r>
      <w:r w:rsidRPr="007041D7">
        <w:rPr>
          <w:rFonts w:cs="Arial"/>
          <w:szCs w:val="22"/>
        </w:rPr>
        <w:t>; andrebbe valutata l'opportunità di specificare che l’</w:t>
      </w:r>
      <w:r w:rsidRPr="007041D7">
        <w:rPr>
          <w:rFonts w:cs="Arial"/>
          <w:i/>
          <w:iCs/>
          <w:szCs w:val="22"/>
        </w:rPr>
        <w:t>inderogabilità</w:t>
      </w:r>
      <w:r w:rsidRPr="007041D7">
        <w:rPr>
          <w:rFonts w:cs="Arial"/>
          <w:szCs w:val="22"/>
        </w:rPr>
        <w:t xml:space="preserve"> concerne l'autonomia privata e per l'appunto la contrattazione collettiva, e non la futura legislazione di rango primario</w:t>
      </w:r>
      <w:r w:rsidRPr="00B91F58">
        <w:rPr>
          <w:rFonts w:cs="Arial"/>
          <w:szCs w:val="22"/>
        </w:rPr>
        <w:t>»</w:t>
      </w:r>
      <w:r>
        <w:rPr>
          <w:rFonts w:cs="Arial"/>
          <w:szCs w:val="22"/>
        </w:rPr>
        <w:t xml:space="preserve"> </w:t>
      </w:r>
      <w:r w:rsidRPr="00B91F58">
        <w:rPr>
          <w:rFonts w:cs="Arial"/>
          <w:szCs w:val="22"/>
        </w:rPr>
        <w:t>(</w:t>
      </w:r>
      <w:hyperlink w:anchor="S09o03"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37" w:name="S09a16"/>
      <w:r>
        <w:rPr>
          <w:rFonts w:cs="Arial"/>
          <w:szCs w:val="22"/>
        </w:rPr>
        <w:t xml:space="preserve">16 </w:t>
      </w:r>
      <w:bookmarkEnd w:id="337"/>
      <w:r>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6246C2">
        <w:rPr>
          <w:rFonts w:cs="Arial"/>
          <w:szCs w:val="22"/>
        </w:rPr>
        <w:t xml:space="preserve">in tema di </w:t>
      </w:r>
      <w:r w:rsidRPr="006246C2">
        <w:rPr>
          <w:rFonts w:cs="Arial"/>
          <w:b/>
          <w:szCs w:val="22"/>
        </w:rPr>
        <w:t>tecnica redazionale</w:t>
      </w:r>
      <w:r w:rsidRPr="006246C2">
        <w:rPr>
          <w:rFonts w:cs="Arial"/>
          <w:szCs w:val="22"/>
        </w:rPr>
        <w:t xml:space="preserve"> si segnalano usi ed espressioni difformi da ulteriori specifiche previsioni della </w:t>
      </w:r>
      <w:r w:rsidRPr="006246C2">
        <w:rPr>
          <w:rFonts w:cs="Arial"/>
          <w:b/>
          <w:szCs w:val="22"/>
        </w:rPr>
        <w:t>circolare del 2001 sulla corretta formulazione dei testi normativi</w:t>
      </w:r>
      <w:r w:rsidRPr="006246C2">
        <w:rPr>
          <w:rFonts w:cs="Arial"/>
          <w:szCs w:val="22"/>
        </w:rPr>
        <w:t>:</w:t>
      </w:r>
    </w:p>
    <w:p w:rsidR="000B33A8" w:rsidRDefault="000B33A8" w:rsidP="000B33A8">
      <w:pPr>
        <w:rPr>
          <w:rFonts w:cs="Arial"/>
          <w:szCs w:val="22"/>
        </w:rPr>
      </w:pPr>
      <w:r w:rsidRPr="006246C2">
        <w:rPr>
          <w:rFonts w:cs="Arial"/>
          <w:i/>
          <w:iCs/>
          <w:szCs w:val="22"/>
        </w:rPr>
        <w:t>a)</w:t>
      </w:r>
      <w:r w:rsidRPr="006246C2">
        <w:rPr>
          <w:rFonts w:cs="Arial"/>
          <w:szCs w:val="22"/>
        </w:rPr>
        <w:t xml:space="preserve"> all'articolo 4, comma 1, secondo periodo, l'espressione: «precedente periodo» andrebbe sostituita con quella, più precisa, di «primo periodo» (</w:t>
      </w:r>
      <w:r w:rsidRPr="006246C2">
        <w:rPr>
          <w:rFonts w:cs="Arial"/>
          <w:b/>
          <w:szCs w:val="22"/>
        </w:rPr>
        <w:t xml:space="preserve">punto 11, lettera </w:t>
      </w:r>
      <w:r w:rsidRPr="006246C2">
        <w:rPr>
          <w:rFonts w:cs="Arial"/>
          <w:b/>
          <w:i/>
          <w:iCs/>
          <w:szCs w:val="22"/>
        </w:rPr>
        <w:t>d)</w:t>
      </w:r>
      <w:r w:rsidRPr="006246C2">
        <w:rPr>
          <w:rFonts w:cs="Arial"/>
          <w:szCs w:val="22"/>
        </w:rPr>
        <w:t>, della circolare);</w:t>
      </w:r>
    </w:p>
    <w:p w:rsidR="000B33A8" w:rsidRDefault="000B33A8" w:rsidP="000B33A8">
      <w:pPr>
        <w:rPr>
          <w:rFonts w:cs="Arial"/>
          <w:szCs w:val="22"/>
        </w:rPr>
      </w:pPr>
      <w:r w:rsidRPr="006246C2">
        <w:rPr>
          <w:rFonts w:cs="Arial"/>
          <w:i/>
          <w:iCs/>
          <w:szCs w:val="22"/>
        </w:rPr>
        <w:t>b)</w:t>
      </w:r>
      <w:r w:rsidRPr="006246C2">
        <w:rPr>
          <w:rFonts w:cs="Arial"/>
          <w:szCs w:val="22"/>
        </w:rPr>
        <w:t xml:space="preserve"> le rubriche degli articoli 14, «Open data», e 16, «School bonus», andrebbero riformulate senza impiegare termini stranieri (</w:t>
      </w:r>
      <w:r w:rsidRPr="006246C2">
        <w:rPr>
          <w:rFonts w:cs="Arial"/>
          <w:b/>
          <w:szCs w:val="22"/>
        </w:rPr>
        <w:t xml:space="preserve">punto 4, lett. </w:t>
      </w:r>
      <w:r w:rsidRPr="006246C2">
        <w:rPr>
          <w:rFonts w:cs="Arial"/>
          <w:b/>
          <w:i/>
          <w:iCs/>
          <w:szCs w:val="22"/>
        </w:rPr>
        <w:t>m)</w:t>
      </w:r>
      <w:r w:rsidRPr="006246C2">
        <w:rPr>
          <w:rFonts w:cs="Arial"/>
          <w:szCs w:val="22"/>
        </w:rPr>
        <w:t>, della circolare); inoltre, la rubrica dell'articolo 14 non sembra dar conto del contenuto dell'articolo, che concerne altresì il portale unico della scuola;</w:t>
      </w:r>
    </w:p>
    <w:p w:rsidR="000B33A8" w:rsidRDefault="000B33A8" w:rsidP="000B33A8">
      <w:pPr>
        <w:rPr>
          <w:rFonts w:cs="Arial"/>
          <w:szCs w:val="22"/>
        </w:rPr>
      </w:pPr>
      <w:r w:rsidRPr="006246C2">
        <w:rPr>
          <w:rFonts w:cs="Arial"/>
          <w:i/>
          <w:iCs/>
          <w:szCs w:val="22"/>
        </w:rPr>
        <w:t>c)</w:t>
      </w:r>
      <w:r w:rsidRPr="006246C2">
        <w:rPr>
          <w:rFonts w:cs="Arial"/>
          <w:szCs w:val="22"/>
        </w:rPr>
        <w:t xml:space="preserve"> l'articolo 19, comma 4, richiama l'articolo 10 del decreto-legge n.</w:t>
      </w:r>
      <w:r>
        <w:rPr>
          <w:rFonts w:cs="Arial"/>
          <w:szCs w:val="22"/>
        </w:rPr>
        <w:t xml:space="preserve"> </w:t>
      </w:r>
      <w:r w:rsidRPr="006246C2">
        <w:rPr>
          <w:rFonts w:cs="Arial"/>
          <w:szCs w:val="22"/>
        </w:rPr>
        <w:t>104 del 2013, in luogo del decreto del Ministro dell'economia e delle finanze in data 23 gennaio 2015, pubblicato nella Gazzetta Ufficiale n.</w:t>
      </w:r>
      <w:r>
        <w:rPr>
          <w:rFonts w:cs="Arial"/>
          <w:szCs w:val="22"/>
        </w:rPr>
        <w:t xml:space="preserve"> </w:t>
      </w:r>
      <w:r w:rsidRPr="006246C2">
        <w:rPr>
          <w:rFonts w:cs="Arial"/>
          <w:szCs w:val="22"/>
        </w:rPr>
        <w:t xml:space="preserve">51 del 2015, emanato in base al citato articolo 10, derogando implicitamente al </w:t>
      </w:r>
      <w:r w:rsidRPr="006246C2">
        <w:rPr>
          <w:rFonts w:cs="Arial"/>
          <w:b/>
          <w:szCs w:val="22"/>
        </w:rPr>
        <w:t xml:space="preserve">punto 12, lettera </w:t>
      </w:r>
      <w:r w:rsidRPr="006246C2">
        <w:rPr>
          <w:rFonts w:cs="Arial"/>
          <w:b/>
          <w:i/>
          <w:iCs/>
          <w:szCs w:val="22"/>
        </w:rPr>
        <w:t>o)</w:t>
      </w:r>
      <w:r w:rsidRPr="006246C2">
        <w:rPr>
          <w:rFonts w:cs="Arial"/>
          <w:szCs w:val="22"/>
        </w:rPr>
        <w:t xml:space="preserve"> della circolare</w:t>
      </w:r>
      <w:r w:rsidRPr="00B91F58">
        <w:rPr>
          <w:rFonts w:cs="Arial"/>
          <w:szCs w:val="22"/>
        </w:rPr>
        <w:t>»</w:t>
      </w:r>
      <w:r>
        <w:rPr>
          <w:rFonts w:cs="Arial"/>
          <w:szCs w:val="22"/>
        </w:rPr>
        <w:t xml:space="preserve"> </w:t>
      </w:r>
      <w:r w:rsidRPr="00B91F58">
        <w:rPr>
          <w:rFonts w:cs="Arial"/>
          <w:szCs w:val="22"/>
        </w:rPr>
        <w:t>(</w:t>
      </w:r>
      <w:hyperlink w:anchor="S09o19"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38" w:name="S09a17"/>
      <w:r>
        <w:rPr>
          <w:rFonts w:cs="Arial"/>
          <w:szCs w:val="22"/>
        </w:rPr>
        <w:t>17 -</w:t>
      </w:r>
      <w:bookmarkEnd w:id="338"/>
      <w:r>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016FEF">
        <w:rPr>
          <w:rFonts w:cs="Arial"/>
          <w:szCs w:val="22"/>
        </w:rPr>
        <w:t xml:space="preserve">il Comitato rileva con favore la previsione di cui all'articolo 21, comma 4, che dispone un complessivo </w:t>
      </w:r>
      <w:r w:rsidRPr="00016FEF">
        <w:rPr>
          <w:rFonts w:cs="Arial"/>
          <w:b/>
          <w:szCs w:val="22"/>
        </w:rPr>
        <w:t>riordino della disciplina regolamentare</w:t>
      </w:r>
      <w:r w:rsidRPr="00016FEF">
        <w:rPr>
          <w:rFonts w:cs="Arial"/>
          <w:szCs w:val="22"/>
        </w:rPr>
        <w:t xml:space="preserve"> conseguente all'adozione dei decreti legislativi; se infatti l'</w:t>
      </w:r>
      <w:r w:rsidRPr="00016FEF">
        <w:rPr>
          <w:rFonts w:cs="Arial"/>
          <w:b/>
          <w:szCs w:val="22"/>
        </w:rPr>
        <w:t>articolo 17, comma 4-</w:t>
      </w:r>
      <w:r w:rsidRPr="00016FEF">
        <w:rPr>
          <w:rFonts w:cs="Arial"/>
          <w:b/>
          <w:i/>
          <w:iCs/>
          <w:szCs w:val="22"/>
        </w:rPr>
        <w:t>ter</w:t>
      </w:r>
      <w:r w:rsidRPr="00016FEF">
        <w:rPr>
          <w:rFonts w:cs="Arial"/>
          <w:b/>
          <w:szCs w:val="22"/>
        </w:rPr>
        <w:t xml:space="preserve">, della legge n. 400 del 1988 </w:t>
      </w:r>
      <w:r w:rsidRPr="00016FEF">
        <w:rPr>
          <w:rFonts w:cs="Arial"/>
          <w:szCs w:val="22"/>
        </w:rPr>
        <w:t>prevede il periodico riordino delle disposizioni regolamentari vigenti, la ricognizione di quelle che sono state oggetto di abrogazione implicita e l'espressa abrogazione di quelle che hanno esaurito la loro funzione o sono prive di effettivo contenuto normativo o sono comunque obsolete, il riordino straordinario in parola è giustificato dalle profonde modificazioni della normativa di rango primario e risulta coerente con l'obiettivo della semplificazione e del riordino dell'ordinamento, al fine di eliminare le antinomie, ridurre i dubbi e le incertezze applicative, rendere più coerente, certa e conoscibile la disciplina settoriale: appare pertanto auspicabile l'uso di siffatte clausole in caso di riforme di ampia portata</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339" w:name="S09a18"/>
      <w:r>
        <w:rPr>
          <w:rFonts w:cs="Arial"/>
          <w:szCs w:val="22"/>
        </w:rPr>
        <w:t>18 -</w:t>
      </w:r>
      <w:bookmarkEnd w:id="339"/>
      <w:r>
        <w:rPr>
          <w:rFonts w:cs="Arial"/>
          <w:szCs w:val="22"/>
        </w:rPr>
        <w:t xml:space="preserve"> </w:t>
      </w:r>
      <w:hyperlink w:anchor="premessa09" w:history="1">
        <w:r w:rsidRPr="00B91F58">
          <w:rPr>
            <w:rStyle w:val="Collegamentoipertestuale"/>
            <w:rFonts w:cs="Arial"/>
            <w:b/>
            <w:szCs w:val="22"/>
          </w:rPr>
          <w:t>Premessa</w:t>
        </w:r>
        <w:r w:rsidRPr="00B91F58">
          <w:rPr>
            <w:rStyle w:val="Collegamentoipertestuale"/>
            <w:rFonts w:cs="Arial"/>
            <w:szCs w:val="22"/>
          </w:rPr>
          <w:t>:</w:t>
        </w:r>
      </w:hyperlink>
      <w:r w:rsidRPr="00913FE4">
        <w:rPr>
          <w:rStyle w:val="Collegamentoipertestuale"/>
          <w:rFonts w:cs="Arial"/>
          <w:szCs w:val="22"/>
        </w:rPr>
        <w:t xml:space="preserve"> </w:t>
      </w:r>
      <w:r w:rsidRPr="00B91F58">
        <w:rPr>
          <w:rFonts w:cs="Arial"/>
          <w:szCs w:val="22"/>
        </w:rPr>
        <w:t>«</w:t>
      </w:r>
      <w:r w:rsidRPr="00016FEF">
        <w:rPr>
          <w:rFonts w:cs="Arial"/>
          <w:szCs w:val="22"/>
        </w:rPr>
        <w:t>il disegno di legge è corredato della relazione sull'analisi tecnico-normativa (</w:t>
      </w:r>
      <w:r w:rsidRPr="00016FEF">
        <w:rPr>
          <w:rFonts w:cs="Arial"/>
          <w:b/>
          <w:szCs w:val="22"/>
        </w:rPr>
        <w:t>ATN</w:t>
      </w:r>
      <w:r w:rsidRPr="00016FEF">
        <w:rPr>
          <w:rFonts w:cs="Arial"/>
          <w:szCs w:val="22"/>
        </w:rPr>
        <w:t>), ma è sprovvisto della relazione sull'analisi di impatto della regolamentazione (</w:t>
      </w:r>
      <w:r w:rsidRPr="00016FEF">
        <w:rPr>
          <w:rFonts w:cs="Arial"/>
          <w:b/>
          <w:szCs w:val="22"/>
        </w:rPr>
        <w:t>AIR</w:t>
      </w:r>
      <w:r w:rsidRPr="00016FEF">
        <w:rPr>
          <w:rFonts w:cs="Arial"/>
          <w:szCs w:val="22"/>
        </w:rPr>
        <w:t>), senza che nella relazione introduttiva si riferisca in merito all'eventuale esenzione dall'obbligo di redigerla, in difformità da quanto statuito dall'</w:t>
      </w:r>
      <w:r w:rsidRPr="00016FEF">
        <w:rPr>
          <w:rFonts w:cs="Arial"/>
          <w:b/>
          <w:szCs w:val="22"/>
        </w:rPr>
        <w:t xml:space="preserve">articolo 9 </w:t>
      </w:r>
      <w:r w:rsidRPr="00016FEF">
        <w:rPr>
          <w:rFonts w:cs="Arial"/>
          <w:szCs w:val="22"/>
        </w:rPr>
        <w:t xml:space="preserve">del regolamento di cui al </w:t>
      </w:r>
      <w:r w:rsidRPr="00016FEF">
        <w:rPr>
          <w:rFonts w:cs="Arial"/>
          <w:b/>
          <w:szCs w:val="22"/>
        </w:rPr>
        <w:t>decreto del Presidente del Consiglio dei ministri n. 170 del 2008</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szCs w:val="22"/>
        </w:rPr>
      </w:pPr>
      <w:bookmarkStart w:id="340" w:name="S09C"/>
      <w:r w:rsidRPr="00B91F58">
        <w:rPr>
          <w:rFonts w:cs="Arial"/>
          <w:b/>
          <w:szCs w:val="22"/>
        </w:rPr>
        <w:t>Condizioni</w:t>
      </w:r>
      <w:r w:rsidRPr="00B91F58">
        <w:rPr>
          <w:rFonts w:cs="Arial"/>
          <w:szCs w:val="22"/>
        </w:rPr>
        <w:t xml:space="preserve">: </w:t>
      </w:r>
      <w:bookmarkEnd w:id="340"/>
      <w:r>
        <w:rPr>
          <w:rFonts w:cs="Arial"/>
          <w:szCs w:val="22"/>
        </w:rPr>
        <w:br/>
      </w:r>
      <w:r w:rsidRPr="00C733BB">
        <w:rPr>
          <w:rFonts w:cs="Arial"/>
          <w:i/>
          <w:szCs w:val="22"/>
        </w:rPr>
        <w:t xml:space="preserve">sotto il profilo </w:t>
      </w:r>
      <w:r>
        <w:rPr>
          <w:rFonts w:cs="Arial"/>
          <w:i/>
          <w:szCs w:val="22"/>
        </w:rPr>
        <w:t>dell’efficacia del testo per la semplificazione e il riordinamento della legislazione vigente</w:t>
      </w:r>
      <w:r w:rsidRPr="00D249C1">
        <w:rPr>
          <w:rFonts w:cs="Arial"/>
          <w:i/>
          <w:szCs w:val="22"/>
        </w:rPr>
        <w:t>:</w:t>
      </w:r>
    </w:p>
    <w:p w:rsidR="000B33A8" w:rsidRDefault="000B33A8" w:rsidP="00B26E1F">
      <w:pPr>
        <w:pStyle w:val="Paragrafoelenco"/>
        <w:numPr>
          <w:ilvl w:val="0"/>
          <w:numId w:val="37"/>
        </w:numPr>
        <w:ind w:left="567" w:hanging="283"/>
        <w:rPr>
          <w:rFonts w:cs="Arial"/>
          <w:szCs w:val="22"/>
        </w:rPr>
      </w:pPr>
      <w:bookmarkStart w:id="341" w:name="S09c01"/>
      <w:r w:rsidRPr="00CA7CAF">
        <w:rPr>
          <w:rFonts w:cs="Arial"/>
          <w:szCs w:val="22"/>
        </w:rPr>
        <w:t xml:space="preserve">con riferimento agli </w:t>
      </w:r>
      <w:bookmarkEnd w:id="341"/>
      <w:r w:rsidRPr="00CA7CAF">
        <w:rPr>
          <w:rFonts w:cs="Arial"/>
          <w:szCs w:val="22"/>
        </w:rPr>
        <w:t xml:space="preserve">articoli 3 e 14, per le ragioni dettagliatamente individuate in premessa, cui si rinvia, si individuino i limiti e le garanzie fondamentali per i trattamenti di dati relativi all'accesso pubblico al </w:t>
      </w:r>
      <w:r w:rsidRPr="00CA7CAF">
        <w:rPr>
          <w:rFonts w:cs="Arial"/>
          <w:i/>
          <w:iCs/>
          <w:szCs w:val="22"/>
        </w:rPr>
        <w:t>curriculum</w:t>
      </w:r>
      <w:r w:rsidRPr="00CA7CAF">
        <w:rPr>
          <w:rFonts w:cs="Arial"/>
          <w:szCs w:val="22"/>
        </w:rPr>
        <w:t xml:space="preserve"> dello studente mediante il Portale unico della scuola, esplicitando altresì se il conferimento dei dati sia obbligatorio o volontario e quali siano i poteri esercitabili dagli interessati o da coloro che hanno la tutela legale dei minorenni</w:t>
      </w:r>
      <w:r>
        <w:rPr>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37"/>
        </w:numPr>
        <w:ind w:left="567" w:hanging="283"/>
        <w:rPr>
          <w:rFonts w:cs="Arial"/>
          <w:szCs w:val="22"/>
        </w:rPr>
      </w:pPr>
      <w:bookmarkStart w:id="342" w:name="S09c02"/>
      <w:r w:rsidRPr="00CA7CAF">
        <w:rPr>
          <w:rFonts w:cs="Arial"/>
          <w:szCs w:val="22"/>
        </w:rPr>
        <w:t xml:space="preserve">con riferimento ai commi </w:t>
      </w:r>
      <w:bookmarkEnd w:id="342"/>
      <w:r w:rsidRPr="00CA7CAF">
        <w:rPr>
          <w:rFonts w:cs="Arial"/>
          <w:szCs w:val="22"/>
        </w:rPr>
        <w:t>2 e 3 dell'articolo 7, che prevedono la chiamata dei docenti da parte dei dirigenti scolastici sulla base del POF triennale, si proceda a:</w:t>
      </w:r>
      <w:r w:rsidRPr="00CA7CAF">
        <w:rPr>
          <w:rFonts w:cs="Arial"/>
          <w:szCs w:val="22"/>
        </w:rPr>
        <w:br/>
      </w:r>
      <w:r>
        <w:rPr>
          <w:rFonts w:cs="Arial"/>
          <w:szCs w:val="22"/>
        </w:rPr>
        <w:t xml:space="preserve">   </w:t>
      </w:r>
      <w:r w:rsidRPr="00CA7CAF">
        <w:rPr>
          <w:rFonts w:cs="Arial"/>
          <w:szCs w:val="22"/>
        </w:rPr>
        <w:t>abrogare l'articolo 400, comma 02, terzo periodo, del decreto legislativo n.</w:t>
      </w:r>
      <w:r>
        <w:rPr>
          <w:rFonts w:cs="Arial"/>
          <w:szCs w:val="22"/>
        </w:rPr>
        <w:t xml:space="preserve"> </w:t>
      </w:r>
      <w:r w:rsidRPr="00CA7CAF">
        <w:rPr>
          <w:rFonts w:cs="Arial"/>
          <w:szCs w:val="22"/>
        </w:rPr>
        <w:t>297 del 1994, con essi incompatibile;</w:t>
      </w:r>
      <w:r w:rsidRPr="00CA7CAF">
        <w:rPr>
          <w:rFonts w:cs="Arial"/>
          <w:szCs w:val="22"/>
        </w:rPr>
        <w:br/>
      </w:r>
      <w:r>
        <w:rPr>
          <w:rFonts w:cs="Arial"/>
          <w:szCs w:val="22"/>
        </w:rPr>
        <w:t xml:space="preserve">   </w:t>
      </w:r>
      <w:r w:rsidRPr="00CA7CAF">
        <w:rPr>
          <w:rFonts w:cs="Arial"/>
          <w:szCs w:val="22"/>
        </w:rPr>
        <w:t xml:space="preserve">coordinare la chiamata dei docenti ad incarico triennale rinnovabile con le previsioni secondo cui i vincitori di concorso sono assunti a tempo </w:t>
      </w:r>
      <w:r w:rsidRPr="00CA7CAF">
        <w:rPr>
          <w:rFonts w:cs="Arial"/>
          <w:szCs w:val="22"/>
        </w:rPr>
        <w:lastRenderedPageBreak/>
        <w:t xml:space="preserve">indeterminato (articolo 8, comma 2 e articolo 21, comma 2, lettera </w:t>
      </w:r>
      <w:r w:rsidRPr="00CA7CAF">
        <w:rPr>
          <w:rFonts w:cs="Arial"/>
          <w:i/>
          <w:iCs/>
          <w:szCs w:val="22"/>
        </w:rPr>
        <w:t>c)</w:t>
      </w:r>
      <w:r w:rsidRPr="00CA7CAF">
        <w:rPr>
          <w:rFonts w:cs="Arial"/>
          <w:szCs w:val="22"/>
        </w:rPr>
        <w:t>, della proposta in esame; articoli 399 e 400 del decreto legislativo n.</w:t>
      </w:r>
      <w:r>
        <w:rPr>
          <w:rFonts w:cs="Arial"/>
          <w:szCs w:val="22"/>
        </w:rPr>
        <w:t xml:space="preserve"> </w:t>
      </w:r>
      <w:r w:rsidRPr="00CA7CAF">
        <w:rPr>
          <w:rFonts w:cs="Arial"/>
          <w:szCs w:val="22"/>
        </w:rPr>
        <w:t>297 del 1994), esplicitando, in particolare, quale sia il trattamento giuridico ed economico dei docenti che non abbiano eventualmente ricevuto alcuna chiamata ad incarico;</w:t>
      </w:r>
      <w:r>
        <w:rPr>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37"/>
        </w:numPr>
        <w:ind w:left="567" w:hanging="283"/>
        <w:rPr>
          <w:rFonts w:cs="Arial"/>
          <w:szCs w:val="22"/>
        </w:rPr>
      </w:pPr>
      <w:bookmarkStart w:id="343" w:name="S09c03"/>
      <w:r w:rsidRPr="00D84318">
        <w:rPr>
          <w:rFonts w:cs="Arial"/>
          <w:szCs w:val="22"/>
        </w:rPr>
        <w:t xml:space="preserve">all'articolo 21, comma </w:t>
      </w:r>
      <w:bookmarkEnd w:id="343"/>
      <w:r w:rsidRPr="00D84318">
        <w:rPr>
          <w:rFonts w:cs="Arial"/>
          <w:szCs w:val="22"/>
        </w:rPr>
        <w:t xml:space="preserve">2, lettere </w:t>
      </w:r>
      <w:r w:rsidRPr="00D84318">
        <w:rPr>
          <w:rFonts w:cs="Arial"/>
          <w:i/>
          <w:iCs/>
          <w:szCs w:val="22"/>
        </w:rPr>
        <w:t>g)</w:t>
      </w:r>
      <w:r w:rsidRPr="00D84318">
        <w:rPr>
          <w:rFonts w:cs="Arial"/>
          <w:szCs w:val="22"/>
        </w:rPr>
        <w:t xml:space="preserve">, </w:t>
      </w:r>
      <w:r w:rsidRPr="00D84318">
        <w:rPr>
          <w:rFonts w:cs="Arial"/>
          <w:i/>
          <w:iCs/>
          <w:szCs w:val="22"/>
        </w:rPr>
        <w:t>h)</w:t>
      </w:r>
      <w:r w:rsidRPr="00D84318">
        <w:rPr>
          <w:rFonts w:cs="Arial"/>
          <w:szCs w:val="22"/>
        </w:rPr>
        <w:t xml:space="preserve">, </w:t>
      </w:r>
      <w:r w:rsidRPr="00D84318">
        <w:rPr>
          <w:rFonts w:cs="Arial"/>
          <w:i/>
          <w:iCs/>
          <w:szCs w:val="22"/>
        </w:rPr>
        <w:t>l)</w:t>
      </w:r>
      <w:r w:rsidRPr="00D84318">
        <w:rPr>
          <w:rFonts w:cs="Arial"/>
          <w:szCs w:val="22"/>
        </w:rPr>
        <w:t xml:space="preserve"> e </w:t>
      </w:r>
      <w:r w:rsidRPr="00D84318">
        <w:rPr>
          <w:rFonts w:cs="Arial"/>
          <w:i/>
          <w:iCs/>
          <w:szCs w:val="22"/>
        </w:rPr>
        <w:t>o)</w:t>
      </w:r>
      <w:r w:rsidRPr="00D84318">
        <w:rPr>
          <w:rFonts w:cs="Arial"/>
          <w:szCs w:val="22"/>
        </w:rPr>
        <w:t>, si definiscano i princìpi e i criteri direttivi in modo tanto più puntuale ed esplicito – comunque distinguendoli dall'oggetto di delega – quanto maggiore debba essere la portata innovativa, e non solo puramente ricognitiva, della delegazione legislativa;</w:t>
      </w:r>
      <w:r>
        <w:rPr>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37"/>
        </w:numPr>
        <w:ind w:left="567" w:hanging="283"/>
        <w:rPr>
          <w:rFonts w:cs="Arial"/>
          <w:szCs w:val="22"/>
        </w:rPr>
      </w:pPr>
      <w:bookmarkStart w:id="344" w:name="S09c04"/>
      <w:r w:rsidRPr="00D84318">
        <w:rPr>
          <w:rFonts w:cs="Arial"/>
          <w:szCs w:val="22"/>
        </w:rPr>
        <w:t xml:space="preserve">si valuti la soppressione </w:t>
      </w:r>
      <w:bookmarkEnd w:id="344"/>
      <w:r w:rsidRPr="00D84318">
        <w:rPr>
          <w:rFonts w:cs="Arial"/>
          <w:szCs w:val="22"/>
        </w:rPr>
        <w:t xml:space="preserve">del criterio direttivo di cui all'articolo 21, comma 2, lettera </w:t>
      </w:r>
      <w:r w:rsidRPr="00D84318">
        <w:rPr>
          <w:rFonts w:cs="Arial"/>
          <w:i/>
          <w:iCs/>
          <w:szCs w:val="22"/>
        </w:rPr>
        <w:t>h)</w:t>
      </w:r>
      <w:r w:rsidRPr="00D84318">
        <w:rPr>
          <w:rFonts w:cs="Arial"/>
          <w:szCs w:val="22"/>
        </w:rPr>
        <w:t>, n.</w:t>
      </w:r>
      <w:r>
        <w:rPr>
          <w:rFonts w:cs="Arial"/>
          <w:szCs w:val="22"/>
        </w:rPr>
        <w:t xml:space="preserve"> </w:t>
      </w:r>
      <w:r w:rsidRPr="00D84318">
        <w:rPr>
          <w:rFonts w:cs="Arial"/>
          <w:szCs w:val="22"/>
        </w:rPr>
        <w:t xml:space="preserve">4), in quanto non afferente all'oggetto di delega di cui alla citata lettera </w:t>
      </w:r>
      <w:r w:rsidRPr="00D84318">
        <w:rPr>
          <w:rFonts w:cs="Arial"/>
          <w:i/>
          <w:iCs/>
          <w:szCs w:val="22"/>
        </w:rPr>
        <w:t>h)</w:t>
      </w:r>
      <w:r w:rsidRPr="00D84318">
        <w:rPr>
          <w:rFonts w:cs="Arial"/>
          <w:szCs w:val="22"/>
        </w:rPr>
        <w:t xml:space="preserve">; </w:t>
      </w:r>
      <w:r>
        <w:rPr>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472AC7" w:rsidRDefault="000B33A8" w:rsidP="00B26E1F">
      <w:pPr>
        <w:pStyle w:val="Paragrafoelenco"/>
        <w:numPr>
          <w:ilvl w:val="0"/>
          <w:numId w:val="37"/>
        </w:numPr>
        <w:ind w:left="567" w:hanging="283"/>
        <w:rPr>
          <w:rFonts w:cs="Arial"/>
          <w:szCs w:val="22"/>
        </w:rPr>
      </w:pPr>
      <w:bookmarkStart w:id="345" w:name="S09c05"/>
      <w:r w:rsidRPr="00D84318">
        <w:t>all'articolo 21</w:t>
      </w:r>
      <w:bookmarkEnd w:id="345"/>
      <w:r w:rsidRPr="00D84318">
        <w:t>, comma 3, si individui il termine per l'esercizio della delega in modo univoco senza possibilità di «scorrimenti» (come avvenuto nell'esame in Assemblea del disegno di legge C. 2617, il 1</w:t>
      </w:r>
      <w:r w:rsidRPr="00D84318">
        <w:rPr>
          <w:vertAlign w:val="superscript"/>
        </w:rPr>
        <w:t>o</w:t>
      </w:r>
      <w:r w:rsidRPr="00D84318">
        <w:t xml:space="preserve"> aprile 2015);</w:t>
      </w:r>
      <w: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keepNext/>
        <w:ind w:firstLine="0"/>
        <w:rPr>
          <w:rFonts w:cs="Arial"/>
          <w:szCs w:val="22"/>
        </w:rPr>
      </w:pPr>
    </w:p>
    <w:p w:rsidR="000B33A8" w:rsidRDefault="000B33A8" w:rsidP="000B33A8">
      <w:pPr>
        <w:keepNext/>
        <w:ind w:firstLine="0"/>
        <w:rPr>
          <w:rFonts w:cs="Arial"/>
          <w:i/>
          <w:szCs w:val="22"/>
        </w:rPr>
      </w:pPr>
      <w:r w:rsidRPr="00C733BB">
        <w:rPr>
          <w:rFonts w:cs="Arial"/>
          <w:i/>
          <w:szCs w:val="22"/>
        </w:rPr>
        <w:t>sotto il profilo della chiarezza e della proprietà della formulazione</w:t>
      </w:r>
      <w:r w:rsidRPr="00D249C1">
        <w:rPr>
          <w:rFonts w:cs="Arial"/>
          <w:i/>
          <w:szCs w:val="22"/>
        </w:rPr>
        <w:t>:</w:t>
      </w:r>
    </w:p>
    <w:p w:rsidR="000B33A8" w:rsidRPr="00472AC7" w:rsidRDefault="000B33A8" w:rsidP="00B26E1F">
      <w:pPr>
        <w:pStyle w:val="Paragrafoelenco"/>
        <w:numPr>
          <w:ilvl w:val="0"/>
          <w:numId w:val="37"/>
        </w:numPr>
        <w:ind w:left="567" w:hanging="283"/>
        <w:rPr>
          <w:rStyle w:val="Collegamentoipertestuale"/>
          <w:rFonts w:cs="Arial"/>
          <w:szCs w:val="22"/>
        </w:rPr>
      </w:pPr>
      <w:bookmarkStart w:id="346" w:name="S09c06"/>
      <w:r w:rsidRPr="007A3C47">
        <w:rPr>
          <w:rFonts w:cs="Arial"/>
          <w:szCs w:val="22"/>
        </w:rPr>
        <w:t xml:space="preserve">all'articolo 2, </w:t>
      </w:r>
      <w:bookmarkEnd w:id="346"/>
      <w:r w:rsidRPr="007A3C47">
        <w:rPr>
          <w:rFonts w:cs="Arial"/>
          <w:szCs w:val="22"/>
        </w:rPr>
        <w:t>commi 14 e 15, relativi all'insegnamento dell'inglese, della musica e dell'educazione fisica nella scuola primaria, si chiarisca se e in quali casi sia necessario il titolo di abilitazione all'insegnamento nella scuola primaria e, relativamente alla lingua inglese, quali titoli e requisiti siano previsti per i docenti di madre lingua e per i «fornitori di servizi»;</w:t>
      </w:r>
      <w:r>
        <w:rPr>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472AC7" w:rsidRDefault="000B33A8" w:rsidP="00B26E1F">
      <w:pPr>
        <w:pStyle w:val="Paragrafoelenco"/>
        <w:numPr>
          <w:ilvl w:val="0"/>
          <w:numId w:val="37"/>
        </w:numPr>
        <w:ind w:left="567" w:hanging="283"/>
        <w:rPr>
          <w:rStyle w:val="Collegamentoipertestuale"/>
          <w:rFonts w:cs="Arial"/>
          <w:szCs w:val="22"/>
        </w:rPr>
      </w:pPr>
      <w:bookmarkStart w:id="347" w:name="S09c07"/>
      <w:r w:rsidRPr="00982E0B">
        <w:t xml:space="preserve">si specifichi </w:t>
      </w:r>
      <w:bookmarkEnd w:id="347"/>
      <w:r w:rsidRPr="00982E0B">
        <w:t xml:space="preserve">se l'integrazione stipendiale per le supplenze fino a dieci giorni (articolo 6, comma 3) sia applicabile o meno anche alle altre supplenze;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472AC7" w:rsidRDefault="000B33A8" w:rsidP="00B26E1F">
      <w:pPr>
        <w:pStyle w:val="Paragrafoelenco"/>
        <w:numPr>
          <w:ilvl w:val="0"/>
          <w:numId w:val="37"/>
        </w:numPr>
        <w:ind w:left="567" w:hanging="283"/>
        <w:rPr>
          <w:rStyle w:val="Collegamentoipertestuale"/>
          <w:rFonts w:cs="Arial"/>
          <w:szCs w:val="22"/>
        </w:rPr>
      </w:pPr>
      <w:bookmarkStart w:id="348" w:name="S09c08"/>
      <w:r>
        <w:t xml:space="preserve">all'articolo 8, </w:t>
      </w:r>
      <w:bookmarkEnd w:id="348"/>
      <w:r>
        <w:t>si assicuri il coordinamento fra il primo e l'ultimo periodo del comma 5, in merito alle opzioni per i vari albi territoriali dei partecipanti al piano straordinario di assunzioni;</w:t>
      </w:r>
      <w:r w:rsidRPr="00982E0B">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472AC7" w:rsidRDefault="000B33A8" w:rsidP="00B26E1F">
      <w:pPr>
        <w:pStyle w:val="Paragrafoelenco"/>
        <w:numPr>
          <w:ilvl w:val="0"/>
          <w:numId w:val="37"/>
        </w:numPr>
        <w:ind w:left="567" w:hanging="283"/>
        <w:rPr>
          <w:rStyle w:val="Collegamentoipertestuale"/>
          <w:rFonts w:cs="Arial"/>
          <w:szCs w:val="22"/>
        </w:rPr>
      </w:pPr>
      <w:bookmarkStart w:id="349" w:name="S09c09"/>
      <w:r>
        <w:t xml:space="preserve">per le assunzioni </w:t>
      </w:r>
      <w:bookmarkEnd w:id="349"/>
      <w:r>
        <w:t>a regime, da effettuare dopo il piano di assunzioni straordinarie, si chiarisca se la collocazione in graduatoria, in esito al superamento di un concorso, comporti l'automatica immissione dei vincitori e/o degli idonei negli albi territoriali o se, al contrario, vi siano dei limiti, e quali;</w:t>
      </w:r>
      <w:r w:rsidRPr="00982E0B">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B91F58" w:rsidRDefault="000B33A8" w:rsidP="00B26E1F">
      <w:pPr>
        <w:pStyle w:val="Paragrafoelenco"/>
        <w:numPr>
          <w:ilvl w:val="0"/>
          <w:numId w:val="37"/>
        </w:numPr>
        <w:ind w:left="567" w:hanging="283"/>
        <w:rPr>
          <w:rFonts w:cs="Arial"/>
          <w:szCs w:val="22"/>
        </w:rPr>
      </w:pPr>
      <w:bookmarkStart w:id="350" w:name="S09c10"/>
      <w:r>
        <w:t xml:space="preserve">si specifichi se l'appartenenza </w:t>
      </w:r>
      <w:bookmarkEnd w:id="350"/>
      <w:r>
        <w:t xml:space="preserve">a un ruolo o a un albo il cui territorio comprenda l'istituzione scolastica o educativa sia un requisito obbligatorio per ottenere un incarico di docenza o se il dirigente scolastico possa liberamente proporre incarichi anche a docenti di altri ruoli o albi o se vi siano altri limiti o criteri geografici e, in caso, quale effetto abbia la mobilità </w:t>
      </w:r>
      <w:r>
        <w:lastRenderedPageBreak/>
        <w:t xml:space="preserve">territoriale; </w:t>
      </w:r>
      <w:hyperlink w:anchor="premessa09" w:history="1">
        <w:r w:rsidRPr="00D249C1">
          <w:rPr>
            <w:rStyle w:val="Collegamentoipertestuale"/>
            <w:rFonts w:cs="Arial"/>
            <w:szCs w:val="22"/>
          </w:rPr>
          <w:t>[torna su]</w:t>
        </w:r>
      </w:hyperlink>
      <w:r>
        <w:rPr>
          <w:rStyle w:val="Collegamentoipertestuale"/>
          <w:rFonts w:cs="Arial"/>
          <w:szCs w:val="22"/>
        </w:rPr>
        <w:t xml:space="preserve"> </w:t>
      </w:r>
      <w:r>
        <w:rPr>
          <w:rStyle w:val="Collegamentoipertestuale"/>
          <w:rFonts w:cs="Arial"/>
          <w:szCs w:val="22"/>
        </w:rPr>
        <w:br/>
      </w:r>
    </w:p>
    <w:p w:rsidR="000B33A8" w:rsidRPr="00B91F58" w:rsidRDefault="000B33A8" w:rsidP="000B33A8">
      <w:pPr>
        <w:keepNext/>
        <w:tabs>
          <w:tab w:val="num" w:pos="567"/>
        </w:tabs>
        <w:ind w:firstLine="0"/>
        <w:rPr>
          <w:rFonts w:cs="Arial"/>
          <w:szCs w:val="22"/>
        </w:rPr>
      </w:pP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351" w:name="S09O"/>
      <w:r>
        <w:rPr>
          <w:rFonts w:cs="Arial"/>
          <w:b/>
          <w:szCs w:val="22"/>
        </w:rPr>
        <w:t>Osservazioni</w:t>
      </w:r>
      <w:r w:rsidRPr="00B91F58">
        <w:rPr>
          <w:rFonts w:cs="Arial"/>
          <w:szCs w:val="22"/>
        </w:rPr>
        <w:t>:</w:t>
      </w:r>
      <w:bookmarkEnd w:id="351"/>
      <w:r w:rsidRPr="00B91F58">
        <w:rPr>
          <w:rFonts w:cs="Arial"/>
          <w:szCs w:val="22"/>
        </w:rPr>
        <w:t xml:space="preserve"> </w:t>
      </w:r>
      <w:r>
        <w:rPr>
          <w:rFonts w:cs="Arial"/>
          <w:szCs w:val="22"/>
        </w:rPr>
        <w:br/>
      </w:r>
      <w:r w:rsidRPr="00C733BB">
        <w:rPr>
          <w:rFonts w:cs="Arial"/>
          <w:i/>
          <w:szCs w:val="22"/>
        </w:rPr>
        <w:t xml:space="preserve">sotto il profilo </w:t>
      </w:r>
      <w:r>
        <w:rPr>
          <w:rFonts w:cs="Arial"/>
          <w:i/>
          <w:szCs w:val="22"/>
        </w:rPr>
        <w:t>dell’efficacia del testo per la semplificazione e il riordinamento della legislazione vigente</w:t>
      </w:r>
      <w:r w:rsidRPr="00D249C1">
        <w:rPr>
          <w:rFonts w:cs="Arial"/>
          <w:i/>
          <w:szCs w:val="22"/>
        </w:rPr>
        <w:t>:</w:t>
      </w:r>
    </w:p>
    <w:p w:rsidR="000B33A8" w:rsidRDefault="000B33A8" w:rsidP="00B26E1F">
      <w:pPr>
        <w:pStyle w:val="Paragrafoelenco"/>
        <w:numPr>
          <w:ilvl w:val="0"/>
          <w:numId w:val="38"/>
        </w:numPr>
        <w:ind w:left="567" w:hanging="283"/>
        <w:rPr>
          <w:rFonts w:cs="Arial"/>
          <w:szCs w:val="22"/>
        </w:rPr>
      </w:pPr>
      <w:bookmarkStart w:id="352" w:name="S09o01"/>
      <w:r w:rsidRPr="004033E7">
        <w:rPr>
          <w:rFonts w:cs="Arial"/>
          <w:szCs w:val="22"/>
        </w:rPr>
        <w:t xml:space="preserve">si dovrebbero individuare </w:t>
      </w:r>
      <w:bookmarkEnd w:id="352"/>
      <w:r w:rsidRPr="004033E7">
        <w:rPr>
          <w:rFonts w:cs="Arial"/>
          <w:szCs w:val="22"/>
        </w:rPr>
        <w:t>espressamente i termini per gli adempimenti indicati all'articolo 2, commi 5, 6 e 13, all'articolo 9, comma 4, all'articolo 19, commi 2, 3 e 6, tenendo conto in particolare, nel caso di cui all'articolo 7, comma 4, dell'urgenza di delimitare gli albi territoriali prima dell'avvio del piano straordinario di assunzioni;</w:t>
      </w:r>
      <w:r>
        <w:rPr>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38"/>
        </w:numPr>
        <w:ind w:left="567" w:hanging="283"/>
        <w:rPr>
          <w:rFonts w:cs="Arial"/>
          <w:szCs w:val="22"/>
        </w:rPr>
      </w:pPr>
      <w:bookmarkStart w:id="353" w:name="S09o02"/>
      <w:r w:rsidRPr="004033E7">
        <w:rPr>
          <w:rFonts w:cs="Arial"/>
          <w:szCs w:val="22"/>
        </w:rPr>
        <w:t xml:space="preserve">all'articolo 10, comma </w:t>
      </w:r>
      <w:bookmarkEnd w:id="353"/>
      <w:r w:rsidRPr="004033E7">
        <w:rPr>
          <w:rFonts w:cs="Arial"/>
          <w:szCs w:val="22"/>
        </w:rPr>
        <w:t>2, e all'articolo 19, comma 2, si dovrebbero ricondurre i DPCM aventi contenuto normativo a uno dei tipi regolamentari disciplinati dall'articolo 17 della legge n.</w:t>
      </w:r>
      <w:r>
        <w:rPr>
          <w:rFonts w:cs="Arial"/>
          <w:szCs w:val="22"/>
        </w:rPr>
        <w:t xml:space="preserve"> </w:t>
      </w:r>
      <w:r w:rsidRPr="004033E7">
        <w:rPr>
          <w:rFonts w:cs="Arial"/>
          <w:szCs w:val="22"/>
        </w:rPr>
        <w:t>400 del 1988;</w:t>
      </w:r>
      <w:r>
        <w:rPr>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472AC7" w:rsidRDefault="000B33A8" w:rsidP="00B26E1F">
      <w:pPr>
        <w:pStyle w:val="Paragrafoelenco"/>
        <w:numPr>
          <w:ilvl w:val="0"/>
          <w:numId w:val="38"/>
        </w:numPr>
        <w:ind w:left="567" w:hanging="283"/>
        <w:rPr>
          <w:rFonts w:cs="Arial"/>
          <w:szCs w:val="22"/>
        </w:rPr>
      </w:pPr>
      <w:bookmarkStart w:id="354" w:name="S09o03"/>
      <w:r w:rsidRPr="004033E7">
        <w:rPr>
          <w:rFonts w:cs="Arial"/>
          <w:szCs w:val="22"/>
        </w:rPr>
        <w:t xml:space="preserve">all'articolo 22, comma </w:t>
      </w:r>
      <w:bookmarkEnd w:id="354"/>
      <w:r w:rsidRPr="004033E7">
        <w:rPr>
          <w:rFonts w:cs="Arial"/>
          <w:szCs w:val="22"/>
        </w:rPr>
        <w:t xml:space="preserve">5, andrebbe valutata l'opportunità di specificare che la legge sarà </w:t>
      </w:r>
      <w:r w:rsidRPr="004033E7">
        <w:rPr>
          <w:rFonts w:cs="Arial"/>
          <w:i/>
          <w:iCs/>
          <w:szCs w:val="22"/>
        </w:rPr>
        <w:t>inderogabile</w:t>
      </w:r>
      <w:r w:rsidRPr="004033E7">
        <w:rPr>
          <w:rFonts w:cs="Arial"/>
          <w:szCs w:val="22"/>
        </w:rPr>
        <w:t xml:space="preserve"> da parte della contrattazione collettiva, e non da parte della futura legislazione di rango primario, la quale potrebbe pur sempre disporre deroghe alle norme in esame;</w:t>
      </w:r>
      <w:r>
        <w:rPr>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keepNext/>
        <w:ind w:firstLine="0"/>
        <w:rPr>
          <w:rFonts w:cs="Arial"/>
          <w:szCs w:val="22"/>
        </w:rPr>
      </w:pPr>
    </w:p>
    <w:p w:rsidR="000B33A8" w:rsidRDefault="000B33A8" w:rsidP="000B33A8">
      <w:pPr>
        <w:keepNext/>
        <w:ind w:firstLine="0"/>
        <w:rPr>
          <w:rFonts w:cs="Arial"/>
          <w:i/>
          <w:szCs w:val="22"/>
        </w:rPr>
      </w:pPr>
      <w:r w:rsidRPr="00C733BB">
        <w:rPr>
          <w:rFonts w:cs="Arial"/>
          <w:i/>
          <w:szCs w:val="22"/>
        </w:rPr>
        <w:t>sotto il profilo della chiarezza e della proprietà della formulazione</w:t>
      </w:r>
      <w:r w:rsidRPr="00D249C1">
        <w:rPr>
          <w:rFonts w:cs="Arial"/>
          <w:i/>
          <w:szCs w:val="22"/>
        </w:rPr>
        <w:t>:</w:t>
      </w:r>
      <w:r>
        <w:rPr>
          <w:rFonts w:cs="Arial"/>
          <w:i/>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55" w:name="S09o04"/>
      <w:r w:rsidRPr="004033E7">
        <w:rPr>
          <w:rFonts w:cs="Arial"/>
          <w:szCs w:val="22"/>
        </w:rPr>
        <w:t xml:space="preserve">all'articolo 2, comma </w:t>
      </w:r>
      <w:bookmarkEnd w:id="355"/>
      <w:r w:rsidRPr="004033E7">
        <w:rPr>
          <w:rFonts w:cs="Arial"/>
          <w:szCs w:val="22"/>
        </w:rPr>
        <w:t>4, sarebbe necessario specificare se il POF triennale sia riferito – come parrebbe – a tre anni scolastici, ovvero a tre anni solari;</w:t>
      </w:r>
      <w:r>
        <w:rPr>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56" w:name="S09o05"/>
      <w:r w:rsidRPr="004033E7">
        <w:rPr>
          <w:rFonts w:cs="Arial"/>
          <w:szCs w:val="22"/>
        </w:rPr>
        <w:t xml:space="preserve">all'articolo 2, comma </w:t>
      </w:r>
      <w:bookmarkEnd w:id="356"/>
      <w:r w:rsidRPr="004033E7">
        <w:rPr>
          <w:rFonts w:cs="Arial"/>
          <w:szCs w:val="22"/>
        </w:rPr>
        <w:t>10, si dovrebbe esplicitare se le revisioni del POF triennale debbano seguire la medesima procedura fissata per il POF stesso</w:t>
      </w:r>
      <w:r w:rsidRPr="00472AC7">
        <w:rPr>
          <w:rFonts w:cs="Arial"/>
          <w:szCs w:val="22"/>
        </w:rPr>
        <w:t xml:space="preserve">; </w:t>
      </w:r>
      <w:hyperlink w:anchor="premessa09" w:history="1">
        <w:r w:rsidRPr="00472AC7">
          <w:rPr>
            <w:rStyle w:val="Collegamentoipertestuale"/>
            <w:rFonts w:cs="Arial"/>
            <w:szCs w:val="22"/>
          </w:rPr>
          <w:t>[torna su]</w:t>
        </w:r>
      </w:hyperlink>
      <w:r w:rsidRPr="00472AC7">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57" w:name="S09o06"/>
      <w:r w:rsidRPr="003961C7">
        <w:rPr>
          <w:rFonts w:cs="Arial"/>
          <w:szCs w:val="22"/>
        </w:rPr>
        <w:t>all'articolo 2, comma 12</w:t>
      </w:r>
      <w:bookmarkEnd w:id="357"/>
      <w:r w:rsidRPr="003961C7">
        <w:rPr>
          <w:rFonts w:cs="Arial"/>
          <w:szCs w:val="22"/>
        </w:rPr>
        <w:t>, si dovrebbe fare riferimento anche alle risorse di cui all'articolo 4, comma 7, che appaiono utilizzabili dalle istituzioni scolastiche per le finalità ivi previste</w:t>
      </w:r>
      <w:r>
        <w:rPr>
          <w:rFonts w:cs="Arial"/>
          <w:szCs w:val="22"/>
        </w:rPr>
        <w:t xml:space="preserve">; </w:t>
      </w:r>
      <w:hyperlink w:anchor="premessa09" w:history="1">
        <w:r w:rsidRPr="00472AC7">
          <w:rPr>
            <w:rStyle w:val="Collegamentoipertestuale"/>
            <w:rFonts w:cs="Arial"/>
            <w:szCs w:val="22"/>
          </w:rPr>
          <w:t>[torna su]</w:t>
        </w:r>
      </w:hyperlink>
      <w:r w:rsidRPr="00472AC7">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58" w:name="S09o07"/>
      <w:r>
        <w:t xml:space="preserve">si dovrebbe assicurare </w:t>
      </w:r>
      <w:bookmarkEnd w:id="358"/>
      <w:r>
        <w:t>il coordinamento fra l'articolo 6, comma 3, e l'articolo 7, comma 4, in merito alla disciplina del personale docente già in servizio;</w:t>
      </w:r>
      <w:r>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59" w:name="S09o08"/>
      <w:r w:rsidRPr="003961C7">
        <w:t xml:space="preserve">si dovrebbe valutare </w:t>
      </w:r>
      <w:bookmarkEnd w:id="359"/>
      <w:r w:rsidRPr="003961C7">
        <w:t xml:space="preserve">l'effettiva portata normativa delle disposizioni menzionate in premessa e, in particolare, all'articolo 6, comma 5, si dovrebbe valutare l'opportunità di sostituire il riferimento all'articolo 1, comma 605, lettera </w:t>
      </w:r>
      <w:r w:rsidRPr="003961C7">
        <w:rPr>
          <w:i/>
          <w:iCs/>
        </w:rPr>
        <w:t>b)</w:t>
      </w:r>
      <w:r w:rsidRPr="003961C7">
        <w:t>, della legge n.</w:t>
      </w:r>
      <w:r>
        <w:t xml:space="preserve"> </w:t>
      </w:r>
      <w:r w:rsidRPr="003961C7">
        <w:t>296 del 2006 con un riferimento al più aggiornato articolo 19, comma 11, del decreto-legge n.</w:t>
      </w:r>
      <w:r>
        <w:t xml:space="preserve"> </w:t>
      </w:r>
      <w:r w:rsidRPr="003961C7">
        <w:t xml:space="preserve">98 del 2011;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60" w:name="S09o09"/>
      <w:r>
        <w:t xml:space="preserve">all'articolo 7, comma </w:t>
      </w:r>
      <w:bookmarkEnd w:id="360"/>
      <w:r>
        <w:t>1, si dovrebbe specificare e qualificare la formulazione che attribuisce al dirigente scolastico la responsabilità «delle scelte didattiche», stanti le motivazioni richiamate in premessa;</w:t>
      </w:r>
      <w:r w:rsidRPr="003961C7">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61" w:name="S09o10"/>
      <w:r w:rsidRPr="00494B31">
        <w:lastRenderedPageBreak/>
        <w:t xml:space="preserve">si dovrebbe valutare </w:t>
      </w:r>
      <w:bookmarkEnd w:id="361"/>
      <w:r w:rsidRPr="00494B31">
        <w:t>se sia opportuno coordinare i commi 2 e 3 dell'articolo 7 (previsione che i docenti siano reclutati fra quelli iscritti agli albi territoriali) con gli articoli 6, comma 3, e 7, comma 4, che escludono i docenti già in servizio dall'iscrizione agli albi stessi salvo in caso di mobilità;</w:t>
      </w:r>
      <w:r w:rsidRPr="00BC433D">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62" w:name="S09o11"/>
      <w:r>
        <w:t xml:space="preserve">all'articolo 7, comma </w:t>
      </w:r>
      <w:bookmarkEnd w:id="362"/>
      <w:r>
        <w:t xml:space="preserve">3, lettera </w:t>
      </w:r>
      <w:r>
        <w:rPr>
          <w:rStyle w:val="Enfasicorsivo"/>
        </w:rPr>
        <w:t>d)</w:t>
      </w:r>
      <w:r>
        <w:t>, sarebbe opportuno chiarire che i dirigenti scolastici hanno «</w:t>
      </w:r>
      <w:r>
        <w:rPr>
          <w:rStyle w:val="Enfasicorsivo"/>
        </w:rPr>
        <w:t>facoltà di</w:t>
      </w:r>
      <w:r>
        <w:t xml:space="preserve"> utilizzo» dei docenti in classi di concorso diverse da quelle per cui sono abilitati e andrebbe puntualizzato che il titolo di studio deve essere «valido per l'insegnamento </w:t>
      </w:r>
      <w:r>
        <w:rPr>
          <w:rStyle w:val="Enfasicorsivo"/>
        </w:rPr>
        <w:t>richiesto per l'incarico</w:t>
      </w:r>
      <w:r>
        <w:t>» o «della materia per cui è conferito l'incarico» o simili;</w:t>
      </w:r>
      <w:r w:rsidRPr="003961C7">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63" w:name="S09o12"/>
      <w:r>
        <w:t xml:space="preserve">la previsione attualmente </w:t>
      </w:r>
      <w:bookmarkEnd w:id="363"/>
      <w:r>
        <w:t xml:space="preserve">recata dall'articolo 7, comma 3, lettera </w:t>
      </w:r>
      <w:r>
        <w:rPr>
          <w:rStyle w:val="Enfasicorsivo"/>
        </w:rPr>
        <w:t>e)</w:t>
      </w:r>
      <w:r>
        <w:t>, dovrebbe essere formulata quale disposizione a sé stante, per esempio in un comma separato;</w:t>
      </w:r>
      <w:r w:rsidRPr="00BC433D">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64" w:name="S09o13"/>
      <w:r>
        <w:t xml:space="preserve">si dovrebbero chiarire </w:t>
      </w:r>
      <w:bookmarkEnd w:id="364"/>
      <w:r>
        <w:t xml:space="preserve">i concetti di «mobilità professionale» (articolo 7, comma 4), di «canoni di investimento» (articolo 19, comma 4) e di «generalizzazione» della scuola dell'infanzia (articolo 21, comma 2, lettera </w:t>
      </w:r>
      <w:r>
        <w:rPr>
          <w:rStyle w:val="Enfasicorsivo"/>
        </w:rPr>
        <w:t>i)</w:t>
      </w:r>
      <w:r>
        <w:t>);</w:t>
      </w:r>
      <w:r w:rsidRPr="003961C7">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65" w:name="S09o14"/>
      <w:r>
        <w:t xml:space="preserve">all'articolo 8, si dovrebbe </w:t>
      </w:r>
      <w:bookmarkEnd w:id="365"/>
      <w:r>
        <w:t>valutare l'opportunità di chiarire come si coordinino le previsioni dei commi 5 e 6 in merito ai criteri da impiegare per il piano straordinario di assunzioni e come si coordinino le previsioni dei commi 10 e 11 in merito al «personale educativo»;</w:t>
      </w:r>
      <w:r w:rsidRPr="003961C7">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66" w:name="S09o15"/>
      <w:r>
        <w:t xml:space="preserve">si dovrebbe assicurare </w:t>
      </w:r>
      <w:bookmarkEnd w:id="366"/>
      <w:r>
        <w:t xml:space="preserve">il coordinamento fra l'articolo 8, comma 12, e l'articolo 21, comma 2, lettera </w:t>
      </w:r>
      <w:r>
        <w:rPr>
          <w:rStyle w:val="Enfasicorsivo"/>
        </w:rPr>
        <w:t>c)</w:t>
      </w:r>
      <w:r>
        <w:t>, in merito ai concorsi per il personale docente della scuola dell'infanzia e per il personale educativo, tenendo presente che l'accesso ai ruoli di detto personale non risulterebbe disciplinato nel disegno di legge;</w:t>
      </w:r>
      <w:r w:rsidRPr="00913FE4">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67" w:name="S09o16"/>
      <w:r>
        <w:t xml:space="preserve">all'articolo 10, </w:t>
      </w:r>
      <w:bookmarkEnd w:id="367"/>
      <w:r>
        <w:t>le previsioni di cui al comma 2 circa l'importo della Carta elettronica per l'aggiornamento e la formazione del docente andrebbero coordinate con i commi 1 e 3;</w:t>
      </w:r>
      <w:r w:rsidRPr="00913FE4">
        <w:t xml:space="preserve"> </w:t>
      </w:r>
      <w:r w:rsidRPr="00913FE4">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68" w:name="S09o17"/>
      <w:r>
        <w:t xml:space="preserve">all'articolo 11 si </w:t>
      </w:r>
      <w:bookmarkEnd w:id="368"/>
      <w:r>
        <w:t>dovrebbe valutare se sia opportuno coordinare tra di loro i commi 1 e 3, per individuare in modo più univoco il personale docente destinatario della valorizzazione del merito;</w:t>
      </w:r>
      <w:r w:rsidRPr="00913FE4">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69" w:name="S09o18"/>
      <w:r>
        <w:t xml:space="preserve">all'articolo 14, comma </w:t>
      </w:r>
      <w:bookmarkEnd w:id="369"/>
      <w:r>
        <w:t>4, si dovrebbe valutare l'opportunità di chiarire i criteri per la pubblicazione di norme ed atti nel Portale unico della scuola;</w:t>
      </w:r>
      <w:r w:rsidRPr="003961C7">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Pr="00913FE4" w:rsidRDefault="000B33A8" w:rsidP="00B26E1F">
      <w:pPr>
        <w:pStyle w:val="Paragrafoelenco"/>
        <w:numPr>
          <w:ilvl w:val="0"/>
          <w:numId w:val="38"/>
        </w:numPr>
        <w:ind w:left="567" w:hanging="283"/>
        <w:rPr>
          <w:rStyle w:val="Collegamentoipertestuale"/>
          <w:rFonts w:cs="Arial"/>
          <w:szCs w:val="22"/>
        </w:rPr>
      </w:pPr>
      <w:bookmarkStart w:id="370" w:name="S09o19"/>
      <w:r>
        <w:t xml:space="preserve">si dovrebbe assicurare </w:t>
      </w:r>
      <w:bookmarkEnd w:id="370"/>
      <w:r>
        <w:t>il rispetto delle regole di cui alla circolare del 2001 sulla corretta formulazione dei testi legislativi all'articolo 4, comma 1, secondo periodo (riferimenti interni al testo), alle rubriche degli articoli 14 e 16 (uso della lingua straniera), e all'articolo 19, comma 4 (riferimenti esterni al testo)</w:t>
      </w:r>
      <w:r w:rsidRPr="00913FE4">
        <w:t>.</w:t>
      </w:r>
      <w:r w:rsidRPr="00913FE4">
        <w:rPr>
          <w:rStyle w:val="Collegamentoipertestuale"/>
          <w:rFonts w:cs="Arial"/>
          <w:szCs w:val="22"/>
        </w:rPr>
        <w:t xml:space="preserve"> </w:t>
      </w:r>
      <w:hyperlink w:anchor="premessa09"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ind w:left="567" w:hanging="283"/>
        <w:rPr>
          <w:rFonts w:cs="Arial"/>
          <w:i/>
          <w:szCs w:val="22"/>
        </w:rPr>
      </w:pPr>
    </w:p>
    <w:p w:rsidR="000B33A8" w:rsidRDefault="000B33A8" w:rsidP="000B33A8">
      <w:pPr>
        <w:ind w:left="567" w:hanging="283"/>
        <w:rPr>
          <w:rFonts w:cs="Arial"/>
          <w:szCs w:val="22"/>
        </w:rPr>
      </w:pPr>
    </w:p>
    <w:p w:rsidR="000B33A8" w:rsidRDefault="000B33A8" w:rsidP="000B33A8">
      <w:pPr>
        <w:ind w:left="567" w:hanging="283"/>
        <w:rPr>
          <w:rFonts w:cs="Arial"/>
          <w:szCs w:val="22"/>
        </w:rPr>
        <w:sectPr w:rsidR="000B33A8" w:rsidSect="000B33A8">
          <w:headerReference w:type="default" r:id="rId322"/>
          <w:footerReference w:type="even" r:id="rId323"/>
          <w:footerReference w:type="default" r:id="rId324"/>
          <w:pgSz w:w="11906" w:h="16838" w:code="9"/>
          <w:pgMar w:top="1985" w:right="1985" w:bottom="1985" w:left="1985" w:header="1134" w:footer="1134" w:gutter="0"/>
          <w:cols w:space="720"/>
          <w:formProt w:val="0"/>
        </w:sectPr>
      </w:pPr>
    </w:p>
    <w:p w:rsidR="000B33A8" w:rsidRPr="00B91F58" w:rsidRDefault="000B33A8" w:rsidP="000B33A8">
      <w:pPr>
        <w:ind w:left="567" w:hanging="283"/>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0010</w:t>
            </w:r>
          </w:p>
        </w:tc>
        <w:tc>
          <w:tcPr>
            <w:tcW w:w="750" w:type="pct"/>
            <w:shd w:val="clear" w:color="auto" w:fill="auto"/>
          </w:tcPr>
          <w:p w:rsidR="000B33A8" w:rsidRPr="00B26E1F" w:rsidRDefault="000B33A8" w:rsidP="000B33A8">
            <w:pPr>
              <w:pStyle w:val="Collegamento"/>
              <w:rPr>
                <w:rFonts w:cs="Arial"/>
              </w:rPr>
            </w:pPr>
            <w:r w:rsidRPr="00B26E1F">
              <w:rPr>
                <w:rFonts w:cs="Arial"/>
              </w:rPr>
              <w:t>3104</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25" w:history="1">
              <w:r w:rsidR="000B33A8" w:rsidRPr="00B26E1F">
                <w:rPr>
                  <w:rStyle w:val="Collegamentoipertestuale"/>
                  <w:rFonts w:cs="Arial"/>
                </w:rPr>
                <w:t>DL 51/2015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Agricoltura e quote latte</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26" w:anchor="data.20150513.com48.bollettino.sede00010.tit00010" w:history="1">
              <w:r w:rsidR="000B33A8" w:rsidRPr="00B8687C">
                <w:rPr>
                  <w:rStyle w:val="Collegamentoipertestuale"/>
                </w:rPr>
                <w:t>13/05/2015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371" w:name="premessa10"/>
            <w:r w:rsidRPr="00B26E1F">
              <w:rPr>
                <w:rFonts w:cs="Arial"/>
                <w:b/>
                <w:color w:val="0000FF"/>
                <w:sz w:val="24"/>
                <w:szCs w:val="24"/>
              </w:rPr>
              <w:t>Premessa</w:t>
            </w:r>
            <w:bookmarkEnd w:id="371"/>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4 Osservazioni</w:t>
            </w:r>
          </w:p>
        </w:tc>
      </w:tr>
      <w:tr w:rsidR="000B33A8" w:rsidRPr="008B2DCE" w:rsidTr="00B26E1F">
        <w:trPr>
          <w:trHeight w:val="1269"/>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0a01" w:history="1">
              <w:r w:rsidR="000B33A8" w:rsidRPr="00D40FBA">
                <w:rPr>
                  <w:rStyle w:val="Collegamentoipertestuale"/>
                </w:rPr>
                <w:t>1</w:t>
              </w:r>
            </w:hyperlink>
            <w:r w:rsidR="000B33A8" w:rsidRPr="00B26E1F">
              <w:rPr>
                <w:rFonts w:cs="Arial"/>
              </w:rPr>
              <w:t xml:space="preserve"> – Istruttoria legislativa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Acquisizione del parere dell’Autorità garante per la concorrenza e il mercato, ai sensi dell’articolo 22 della legge n. 287/1990.</w:t>
            </w:r>
          </w:p>
        </w:tc>
      </w:tr>
      <w:tr w:rsidR="000B33A8" w:rsidRPr="008B2DCE" w:rsidTr="00B26E1F">
        <w:trPr>
          <w:trHeight w:val="1705"/>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0a02" w:history="1">
              <w:r w:rsidR="000B33A8" w:rsidRPr="00812559">
                <w:rPr>
                  <w:rStyle w:val="Collegamentoipertestuale"/>
                </w:rPr>
                <w:t>2</w:t>
              </w:r>
            </w:hyperlink>
            <w:r w:rsidR="000B33A8" w:rsidRPr="00B26E1F">
              <w:rPr>
                <w:rFonts w:cs="Arial"/>
              </w:rPr>
              <w:t xml:space="preserve"> – Preambolo del decreto-legge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Assenza dell’indicazione delle circostanze straordinarie di necessità ed urgenza che giustificano l’adozione del provvedimento. Richiamo all’articolo 15, co. 1, della legge n. 400/1988.</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0a03" w:history="1">
              <w:r w:rsidR="000B33A8" w:rsidRPr="00812559">
                <w:rPr>
                  <w:rStyle w:val="Collegamentoipertestuale"/>
                </w:rPr>
                <w:t>3</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0a04" w:history="1">
              <w:r w:rsidR="000B33A8" w:rsidRPr="006533B3">
                <w:rPr>
                  <w:rStyle w:val="Collegamentoipertestuale"/>
                </w:rPr>
                <w:t>4</w:t>
              </w:r>
            </w:hyperlink>
            <w:r w:rsidR="000B33A8">
              <w:t xml:space="preserve"> - </w:t>
            </w:r>
            <w:r w:rsidR="000B33A8" w:rsidRPr="007F5C83">
              <w:t>Coordinamento con le fonti normative vigenti: modifiche non testuali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0a05" w:history="1">
              <w:r w:rsidR="000B33A8" w:rsidRPr="006533B3">
                <w:rPr>
                  <w:rStyle w:val="Collegamentoipertestuale"/>
                </w:rPr>
                <w:t>5</w:t>
              </w:r>
            </w:hyperlink>
            <w:r w:rsidR="000B33A8">
              <w:t xml:space="preserve"> - </w:t>
            </w:r>
            <w:r w:rsidR="000B33A8" w:rsidRPr="007F5C83">
              <w:t>Coordinamento con le fonti normative vigenti: modifiche di norme di recente approvazione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0a06" w:history="1">
              <w:r w:rsidR="000B33A8" w:rsidRPr="006533B3">
                <w:rPr>
                  <w:rStyle w:val="Collegamentoipertestuale"/>
                </w:rPr>
                <w:t>6</w:t>
              </w:r>
            </w:hyperlink>
            <w:r w:rsidR="000B33A8">
              <w:t xml:space="preserve"> - </w:t>
            </w:r>
            <w:r w:rsidR="000B33A8" w:rsidRPr="007F5C83">
              <w:t>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2</w:t>
            </w:r>
          </w:p>
        </w:tc>
      </w:tr>
    </w:tbl>
    <w:p w:rsidR="00FC05F5" w:rsidRDefault="00FC05F5"/>
    <w:tbl>
      <w:tblPr>
        <w:tblW w:w="5000" w:type="pct"/>
        <w:jc w:val="center"/>
        <w:tblLook w:val="01E0" w:firstRow="1" w:lastRow="1" w:firstColumn="1" w:lastColumn="1" w:noHBand="0" w:noVBand="0"/>
      </w:tblPr>
      <w:tblGrid>
        <w:gridCol w:w="4076"/>
        <w:gridCol w:w="4076"/>
      </w:tblGrid>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FC05F5">
            <w:pPr>
              <w:spacing w:before="100" w:beforeAutospacing="1" w:after="100" w:afterAutospacing="1"/>
              <w:ind w:firstLine="0"/>
            </w:pPr>
            <w:hyperlink w:anchor="S10a07" w:history="1">
              <w:r w:rsidR="000B33A8" w:rsidRPr="006533B3">
                <w:rPr>
                  <w:rStyle w:val="Collegamentoipertestuale"/>
                </w:rPr>
                <w:t>7</w:t>
              </w:r>
            </w:hyperlink>
            <w:r w:rsidR="000B33A8">
              <w:t xml:space="preserve"> - </w:t>
            </w:r>
            <w:r w:rsidR="000B33A8" w:rsidRPr="007F5C83">
              <w:t>Coordinamento</w:t>
            </w:r>
            <w:r w:rsidR="000B33A8">
              <w:t xml:space="preserve">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FC05F5">
            <w:pPr>
              <w:spacing w:before="100" w:beforeAutospacing="1" w:after="100" w:afterAutospacing="1"/>
              <w:ind w:firstLine="0"/>
              <w:rPr>
                <w:rFonts w:cs="Arial"/>
              </w:rPr>
            </w:pPr>
            <w:r w:rsidRPr="00B26E1F">
              <w:rPr>
                <w:rFonts w:cs="Arial"/>
              </w:rPr>
              <w:t xml:space="preserve">Una disposizione agisce in deroga di un termine perentorio, con effetti retroattivi ed integrazione di una norma in via non testuale. </w:t>
            </w:r>
          </w:p>
          <w:p w:rsidR="000B33A8" w:rsidRPr="00B26E1F" w:rsidRDefault="000B33A8" w:rsidP="00FC05F5">
            <w:pPr>
              <w:spacing w:before="100" w:beforeAutospacing="1" w:after="100" w:afterAutospacing="1"/>
              <w:ind w:firstLine="0"/>
              <w:rPr>
                <w:rFonts w:cs="Arial"/>
              </w:rPr>
            </w:pPr>
            <w:r w:rsidRPr="00B26E1F">
              <w:rPr>
                <w:rFonts w:cs="Arial"/>
              </w:rPr>
              <w:t>Osservazione 3</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FC05F5">
            <w:pPr>
              <w:spacing w:before="100" w:beforeAutospacing="1" w:after="100" w:afterAutospacing="1"/>
              <w:ind w:firstLine="0"/>
            </w:pPr>
            <w:hyperlink w:anchor="S10a08" w:history="1">
              <w:r w:rsidR="000B33A8" w:rsidRPr="006533B3">
                <w:rPr>
                  <w:rStyle w:val="Collegamentoipertestuale"/>
                </w:rPr>
                <w:t>8</w:t>
              </w:r>
            </w:hyperlink>
            <w:r w:rsidR="000B33A8">
              <w:t xml:space="preserve"> – </w:t>
            </w:r>
            <w:r w:rsidR="000B33A8" w:rsidRPr="007F5C83">
              <w:t>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Disposizione che si limita ad indicare le finalità di una modifica ad una norma vigente.</w:t>
            </w:r>
          </w:p>
          <w:p w:rsidR="000B33A8" w:rsidRPr="00B26E1F" w:rsidRDefault="000B33A8" w:rsidP="00B26E1F">
            <w:pPr>
              <w:spacing w:before="100" w:beforeAutospacing="1" w:after="100" w:afterAutospacing="1"/>
              <w:ind w:firstLine="0"/>
              <w:rPr>
                <w:rFonts w:cs="Arial"/>
              </w:rPr>
            </w:pPr>
            <w:r w:rsidRPr="00B26E1F">
              <w:rPr>
                <w:rFonts w:cs="Arial"/>
              </w:rPr>
              <w:t>Osservazione 4</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0a09" w:history="1">
              <w:r w:rsidR="000B33A8" w:rsidRPr="006533B3">
                <w:rPr>
                  <w:rStyle w:val="Collegamentoipertestuale"/>
                </w:rPr>
                <w:t>9</w:t>
              </w:r>
            </w:hyperlink>
            <w:r w:rsidR="000B33A8">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Entrambe le relazioni sono state trasmesse alla Commissione Agricoltura successivamente alla stampa del disegno di legge di conversione.</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190"/>
        <w:gridCol w:w="3962"/>
      </w:tblGrid>
      <w:tr w:rsidR="000B33A8" w:rsidRPr="00A33B28" w:rsidTr="00FC05F5">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3A04FD" w:rsidTr="00FC05F5">
        <w:trPr>
          <w:trHeight w:val="423"/>
        </w:trPr>
        <w:tc>
          <w:tcPr>
            <w:tcW w:w="2570" w:type="pct"/>
            <w:tcBorders>
              <w:top w:val="nil"/>
              <w:left w:val="nil"/>
              <w:bottom w:val="nil"/>
              <w:right w:val="nil"/>
            </w:tcBorders>
            <w:shd w:val="clear" w:color="auto" w:fill="auto"/>
          </w:tcPr>
          <w:p w:rsidR="000B33A8" w:rsidRPr="003A04FD" w:rsidRDefault="00EB0878" w:rsidP="00FC05F5">
            <w:pPr>
              <w:keepNext/>
              <w:spacing w:before="100" w:beforeAutospacing="1" w:after="100" w:afterAutospacing="1"/>
              <w:ind w:firstLine="0"/>
              <w:jc w:val="left"/>
              <w:rPr>
                <w:rFonts w:cs="Arial"/>
              </w:rPr>
            </w:pPr>
            <w:hyperlink w:anchor="S10O" w:history="1">
              <w:r w:rsidR="000B33A8" w:rsidRPr="00852C73">
                <w:rPr>
                  <w:rStyle w:val="Collegamentoipertestuale"/>
                  <w:rFonts w:cs="Arial"/>
                </w:rPr>
                <w:t>O</w:t>
              </w:r>
            </w:hyperlink>
            <w:r w:rsidR="000B33A8" w:rsidRPr="003A04FD">
              <w:rPr>
                <w:rFonts w:cs="Arial"/>
              </w:rPr>
              <w:t xml:space="preserve"> - Osservazioni</w:t>
            </w:r>
          </w:p>
        </w:tc>
        <w:tc>
          <w:tcPr>
            <w:tcW w:w="2430" w:type="pct"/>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Articolo 15, c. 1, della legge n. 400/1988.</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spacing w:after="120"/>
        <w:rPr>
          <w:rFonts w:cs="Arial"/>
          <w:szCs w:val="22"/>
        </w:rPr>
      </w:pPr>
      <w:bookmarkStart w:id="372" w:name="S10a01"/>
      <w:r w:rsidRPr="00B91F58">
        <w:rPr>
          <w:rFonts w:cs="Arial"/>
          <w:szCs w:val="22"/>
        </w:rPr>
        <w:t xml:space="preserve">1 </w:t>
      </w:r>
      <w:bookmarkEnd w:id="372"/>
      <w:r w:rsidRPr="00B91F58">
        <w:rPr>
          <w:rFonts w:cs="Arial"/>
          <w:szCs w:val="22"/>
        </w:rPr>
        <w:t xml:space="preserve">– </w:t>
      </w:r>
      <w:hyperlink w:anchor="premessa10" w:history="1">
        <w:r w:rsidRPr="00B91F58">
          <w:rPr>
            <w:rStyle w:val="Collegamentoipertestuale"/>
            <w:rFonts w:cs="Arial"/>
            <w:b/>
            <w:szCs w:val="22"/>
          </w:rPr>
          <w:t>Premessa</w:t>
        </w:r>
        <w:r w:rsidRPr="00B91F58">
          <w:rPr>
            <w:rStyle w:val="Collegamentoipertestuale"/>
            <w:rFonts w:cs="Arial"/>
            <w:szCs w:val="22"/>
          </w:rPr>
          <w:t>:</w:t>
        </w:r>
      </w:hyperlink>
      <w:r w:rsidRPr="006C6D6E">
        <w:rPr>
          <w:rStyle w:val="Collegamentoipertestuale"/>
          <w:rFonts w:cs="Arial"/>
          <w:szCs w:val="22"/>
        </w:rPr>
        <w:t xml:space="preserve"> </w:t>
      </w:r>
      <w:r w:rsidRPr="00B91F58">
        <w:rPr>
          <w:rFonts w:cs="Arial"/>
          <w:szCs w:val="22"/>
        </w:rPr>
        <w:t>«</w:t>
      </w:r>
      <w:r w:rsidRPr="00AC7504">
        <w:rPr>
          <w:rFonts w:cs="Arial"/>
          <w:szCs w:val="22"/>
        </w:rPr>
        <w:t>il decreto-legge si compone di sette articoli, dei quali sei di contenuto sostanziale e uno relativo all’entrata in vigore;</w:t>
      </w:r>
      <w:r>
        <w:rPr>
          <w:rFonts w:cs="Arial"/>
          <w:szCs w:val="22"/>
        </w:rPr>
        <w:t xml:space="preserve"> </w:t>
      </w:r>
      <w:r w:rsidRPr="00AC7504">
        <w:rPr>
          <w:rFonts w:cs="Arial"/>
          <w:szCs w:val="22"/>
        </w:rPr>
        <w:t>la relazione illustrativa evidenzia che in relazione agli articoli 2 e 3 è stato acquisito il parere dell’Autorità garante per la concorrenza e il mercato, ai sensi dell’articolo 22 della legge n. 287 del 1990: ciò è indice di cura nell’</w:t>
      </w:r>
      <w:r w:rsidRPr="00EF227C">
        <w:rPr>
          <w:rFonts w:cs="Arial"/>
          <w:b/>
          <w:szCs w:val="22"/>
        </w:rPr>
        <w:t>istruttoria legislativa</w:t>
      </w:r>
      <w:r w:rsidRPr="00B91F58">
        <w:rPr>
          <w:rFonts w:cs="Arial"/>
          <w:szCs w:val="22"/>
        </w:rPr>
        <w:t>»;</w:t>
      </w:r>
      <w:r>
        <w:rPr>
          <w:rFonts w:cs="Arial"/>
          <w:szCs w:val="22"/>
        </w:rPr>
        <w:t xml:space="preserve"> </w:t>
      </w:r>
    </w:p>
    <w:p w:rsidR="000B33A8" w:rsidRPr="00B91F58" w:rsidRDefault="000B33A8" w:rsidP="000B33A8">
      <w:pPr>
        <w:spacing w:after="120"/>
        <w:rPr>
          <w:rFonts w:cs="Arial"/>
          <w:szCs w:val="22"/>
        </w:rPr>
      </w:pPr>
    </w:p>
    <w:p w:rsidR="000B33A8" w:rsidRPr="00B91F58" w:rsidRDefault="000B33A8" w:rsidP="000B33A8">
      <w:pPr>
        <w:spacing w:after="120"/>
        <w:rPr>
          <w:rFonts w:cs="Arial"/>
          <w:szCs w:val="22"/>
        </w:rPr>
      </w:pPr>
    </w:p>
    <w:p w:rsidR="000B33A8" w:rsidRPr="00B91F58" w:rsidRDefault="000B33A8" w:rsidP="000B33A8">
      <w:pPr>
        <w:rPr>
          <w:rFonts w:cs="Arial"/>
          <w:szCs w:val="22"/>
        </w:rPr>
      </w:pPr>
      <w:bookmarkStart w:id="373" w:name="S10a02"/>
      <w:r w:rsidRPr="00B91F58">
        <w:rPr>
          <w:rFonts w:cs="Arial"/>
          <w:szCs w:val="22"/>
        </w:rPr>
        <w:t>2 –</w:t>
      </w:r>
      <w:bookmarkEnd w:id="373"/>
      <w:r w:rsidRPr="00B91F58">
        <w:rPr>
          <w:rFonts w:cs="Arial"/>
          <w:szCs w:val="22"/>
        </w:rPr>
        <w:t xml:space="preserve"> </w:t>
      </w:r>
      <w:hyperlink w:anchor="premessa1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t xml:space="preserve">in due punti il </w:t>
      </w:r>
      <w:r w:rsidRPr="00EF227C">
        <w:rPr>
          <w:b/>
        </w:rPr>
        <w:t>preambolo</w:t>
      </w:r>
      <w:r>
        <w:t xml:space="preserve"> del decreto, in modo inusuale, non evidenzia il </w:t>
      </w:r>
      <w:r w:rsidRPr="00EF227C">
        <w:rPr>
          <w:b/>
        </w:rPr>
        <w:t xml:space="preserve">carattere </w:t>
      </w:r>
      <w:r w:rsidRPr="00EF227C">
        <w:rPr>
          <w:b/>
          <w:i/>
        </w:rPr>
        <w:t>straordinario</w:t>
      </w:r>
      <w:r w:rsidRPr="00EF227C">
        <w:rPr>
          <w:b/>
        </w:rPr>
        <w:t xml:space="preserve"> delle circostanze di </w:t>
      </w:r>
      <w:r w:rsidRPr="00EF227C">
        <w:rPr>
          <w:b/>
          <w:i/>
        </w:rPr>
        <w:t>necessità e urgenza</w:t>
      </w:r>
      <w:r>
        <w:t xml:space="preserve"> che giustificano l’adozione del decreto-legge, come invece richiede l’</w:t>
      </w:r>
      <w:r w:rsidRPr="00EF227C">
        <w:rPr>
          <w:b/>
        </w:rPr>
        <w:t xml:space="preserve">articolo 15, </w:t>
      </w:r>
      <w:r w:rsidRPr="00EF227C">
        <w:rPr>
          <w:b/>
        </w:rPr>
        <w:lastRenderedPageBreak/>
        <w:t xml:space="preserve">comma 1, della legge n. 400 del 1988, </w:t>
      </w:r>
      <w:r>
        <w:t xml:space="preserve">secondo cui i decreti-legge recano “l'indicazione, nel preambolo, delle circostanze straordinarie di necessità e di urgenza che ne giustificano l'adozione”; il sesto </w:t>
      </w:r>
      <w:r w:rsidRPr="00007B26">
        <w:t>capoverso</w:t>
      </w:r>
      <w:r>
        <w:t>, infatti, f</w:t>
      </w:r>
      <w:r w:rsidRPr="00007B26">
        <w:t xml:space="preserve">a riferimento alla </w:t>
      </w:r>
      <w:r>
        <w:t>sola “necessità” e il settimo capoverso richiama “la necessità e l’urgenza”</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374" w:name="S10a03"/>
      <w:r w:rsidRPr="00B91F58">
        <w:rPr>
          <w:rFonts w:cs="Arial"/>
          <w:szCs w:val="22"/>
        </w:rPr>
        <w:t>3 –</w:t>
      </w:r>
      <w:bookmarkEnd w:id="374"/>
      <w:r w:rsidRPr="00B91F58">
        <w:rPr>
          <w:rFonts w:cs="Arial"/>
          <w:szCs w:val="22"/>
        </w:rPr>
        <w:t xml:space="preserve"> </w:t>
      </w:r>
      <w:hyperlink w:anchor="premessa1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BB44C8">
        <w:rPr>
          <w:rFonts w:cs="Arial"/>
          <w:szCs w:val="22"/>
        </w:rPr>
        <w:t>il decreto-legge presenta un contenuto omogeneo, intervenendo, come si evince dal paragrafo relativo al contenuto, su taluni settori di competenza del Ministero delle politiche agricole, alimentari e forestali: il passaggio dalle quote di produzione alla libera concorrenza nel settore lattiero-caseario; i requisiti per la costituzione delle organizzazioni interprofessionali; interventi a favore del settore olivicolo-oleario; l’accesso al fondo di solidarietà nazionale a favore delle aziende agricole che hanno subito danni a causa di eventi alluvionali e di infezioni di organismi nocivi ai vegetali; soppressione della gestione commissariale ad acta relativa alle attività svolte dalla soppressa Agenzia per la promozione dello sviluppo del Mezzogiorno (AGENSUD); del complesso delle misure si dà conto sia nel titolo sia nel preambolo del decreto</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B44C8" w:rsidRDefault="000B33A8" w:rsidP="000B33A8">
      <w:pPr>
        <w:spacing w:after="120"/>
        <w:rPr>
          <w:rFonts w:cs="Arial"/>
          <w:szCs w:val="22"/>
        </w:rPr>
      </w:pPr>
      <w:bookmarkStart w:id="375" w:name="S10a04"/>
      <w:r>
        <w:rPr>
          <w:rFonts w:cs="Arial"/>
          <w:szCs w:val="22"/>
        </w:rPr>
        <w:t>4</w:t>
      </w:r>
      <w:r w:rsidRPr="00B91F58">
        <w:rPr>
          <w:rFonts w:cs="Arial"/>
          <w:szCs w:val="22"/>
        </w:rPr>
        <w:t xml:space="preserve"> –</w:t>
      </w:r>
      <w:bookmarkEnd w:id="375"/>
      <w:r w:rsidRPr="00B91F58">
        <w:rPr>
          <w:rFonts w:cs="Arial"/>
          <w:szCs w:val="22"/>
        </w:rPr>
        <w:t xml:space="preserve"> </w:t>
      </w:r>
      <w:hyperlink w:anchor="premessa1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BB44C8">
        <w:rPr>
          <w:rFonts w:cs="Arial"/>
          <w:szCs w:val="22"/>
        </w:rPr>
        <w:t>l’articolo 2, commi 2 e 3, nell’introdurre disposizioni sui rapporti contrattuali nel settore lattiero-caseario, innova in modo permanente le previsioni dell’articolo 62 del decreto-legge n. 1 del 2012, il quale reca una disciplina generale dei contratti di cessione dei prodotti agroalimentari; tale intervento modificativo avviene:</w:t>
      </w:r>
    </w:p>
    <w:p w:rsidR="000B33A8" w:rsidRPr="00BB44C8" w:rsidRDefault="000B33A8" w:rsidP="000B33A8">
      <w:pPr>
        <w:spacing w:after="120"/>
        <w:rPr>
          <w:rFonts w:cs="Arial"/>
          <w:szCs w:val="22"/>
        </w:rPr>
      </w:pPr>
      <w:r w:rsidRPr="00BB44C8">
        <w:rPr>
          <w:rFonts w:cs="Arial"/>
          <w:szCs w:val="22"/>
        </w:rPr>
        <w:t>- al comma 3, correttamente, sotto forma di novelle,</w:t>
      </w:r>
    </w:p>
    <w:p w:rsidR="000B33A8" w:rsidRPr="00B91F58" w:rsidRDefault="000B33A8" w:rsidP="000B33A8">
      <w:pPr>
        <w:spacing w:after="120"/>
        <w:rPr>
          <w:rFonts w:cs="Arial"/>
          <w:szCs w:val="22"/>
        </w:rPr>
      </w:pPr>
      <w:r w:rsidRPr="00BB44C8">
        <w:rPr>
          <w:rFonts w:cs="Arial"/>
          <w:szCs w:val="22"/>
        </w:rPr>
        <w:t>- al comma 2, invece, in maniera non testuale: sarebbe opportuno formulare anche le disposizioni del comma 2 sotto forma di novelle legislative al predetto articolo 62</w:t>
      </w:r>
      <w:r w:rsidRPr="00B91F58">
        <w:rPr>
          <w:rFonts w:cs="Arial"/>
          <w:szCs w:val="22"/>
        </w:rPr>
        <w:t>»</w:t>
      </w:r>
      <w:r>
        <w:rPr>
          <w:rFonts w:cs="Arial"/>
          <w:szCs w:val="22"/>
        </w:rPr>
        <w:t>; (</w:t>
      </w:r>
      <w:hyperlink w:anchor="S10o01" w:history="1">
        <w:r w:rsidRPr="006649D0">
          <w:rPr>
            <w:rStyle w:val="Collegamentoipertestuale"/>
            <w:rFonts w:cs="Arial"/>
            <w:b/>
            <w:szCs w:val="22"/>
          </w:rPr>
          <w:t>conseguente osservazione</w:t>
        </w:r>
      </w:hyperlink>
      <w:r>
        <w:rPr>
          <w:rFonts w:cs="Arial"/>
          <w:szCs w:val="22"/>
        </w:rPr>
        <w:t>)</w:t>
      </w:r>
    </w:p>
    <w:p w:rsidR="000B33A8" w:rsidRDefault="000B33A8" w:rsidP="000B33A8">
      <w:pPr>
        <w:spacing w:after="120"/>
        <w:rPr>
          <w:rFonts w:cs="Arial"/>
          <w:szCs w:val="22"/>
        </w:rPr>
      </w:pPr>
    </w:p>
    <w:p w:rsidR="000B33A8" w:rsidRDefault="000B33A8" w:rsidP="000B33A8">
      <w:pPr>
        <w:spacing w:after="120"/>
        <w:rPr>
          <w:rFonts w:cs="Arial"/>
          <w:szCs w:val="22"/>
        </w:rPr>
      </w:pPr>
    </w:p>
    <w:p w:rsidR="000B33A8" w:rsidRPr="00B91F58" w:rsidRDefault="000B33A8" w:rsidP="000B33A8">
      <w:pPr>
        <w:spacing w:after="120"/>
        <w:rPr>
          <w:rFonts w:cs="Arial"/>
          <w:szCs w:val="22"/>
        </w:rPr>
      </w:pPr>
      <w:bookmarkStart w:id="376" w:name="S10a05"/>
      <w:r>
        <w:rPr>
          <w:rFonts w:cs="Arial"/>
          <w:szCs w:val="22"/>
        </w:rPr>
        <w:t>5</w:t>
      </w:r>
      <w:r w:rsidRPr="00B91F58">
        <w:rPr>
          <w:rFonts w:cs="Arial"/>
          <w:szCs w:val="22"/>
        </w:rPr>
        <w:t xml:space="preserve"> </w:t>
      </w:r>
      <w:bookmarkEnd w:id="376"/>
      <w:r w:rsidRPr="00B91F58">
        <w:rPr>
          <w:rFonts w:cs="Arial"/>
          <w:szCs w:val="22"/>
        </w:rPr>
        <w:t xml:space="preserve">– </w:t>
      </w:r>
      <w:hyperlink w:anchor="premessa1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t xml:space="preserve">l’articolo 2, comma 4, nell’estendere le finalità del Fondo per gli investimenti nel settore lattiero-caseario, modifica la legge n. 190 del 31 dicembre 2014; l’intervento </w:t>
      </w:r>
      <w:r w:rsidRPr="007659C2">
        <w:t>su norme di recente approvazione</w:t>
      </w:r>
      <w:r>
        <w:t xml:space="preserve"> è una</w:t>
      </w:r>
      <w:r w:rsidRPr="007659C2">
        <w:t xml:space="preserve"> circostanza che, come rilevato già in altre occasioni analoghe, costituisce una modalità di produzione legislativa non conforme alle esigenze di stabilità, certezza e semplificazione della legislazione</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377" w:name="S10a06"/>
      <w:r>
        <w:rPr>
          <w:rFonts w:cs="Arial"/>
          <w:szCs w:val="22"/>
        </w:rPr>
        <w:lastRenderedPageBreak/>
        <w:t>6</w:t>
      </w:r>
      <w:r w:rsidRPr="00B91F58">
        <w:rPr>
          <w:rFonts w:cs="Arial"/>
          <w:szCs w:val="22"/>
        </w:rPr>
        <w:t xml:space="preserve"> </w:t>
      </w:r>
      <w:bookmarkEnd w:id="377"/>
      <w:r w:rsidRPr="00B91F58">
        <w:rPr>
          <w:rFonts w:cs="Arial"/>
          <w:szCs w:val="22"/>
        </w:rPr>
        <w:t xml:space="preserve">– </w:t>
      </w:r>
      <w:hyperlink w:anchor="premessa1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t>l</w:t>
      </w:r>
      <w:r w:rsidRPr="00A27C4F">
        <w:t>’articolo 2, comma 10</w:t>
      </w:r>
      <w:r>
        <w:t>,</w:t>
      </w:r>
      <w:r w:rsidRPr="00A27C4F">
        <w:t xml:space="preserve"> abroga l’articolo 12 del decreto legislativo n. 173</w:t>
      </w:r>
      <w:r>
        <w:t xml:space="preserve"> del </w:t>
      </w:r>
      <w:r w:rsidRPr="00A27C4F">
        <w:t>1998, sul riconoscimento delle organizzazioni interprofessionali, senza intervenire sull’articolo 9, comma 3</w:t>
      </w:r>
      <w:r>
        <w:t xml:space="preserve">, del decreto legislativo n. 102 del </w:t>
      </w:r>
      <w:r w:rsidRPr="00A27C4F">
        <w:t>2005, il quale dispone che le intese di filiera possano “essere</w:t>
      </w:r>
      <w:r>
        <w:t xml:space="preserve"> </w:t>
      </w:r>
      <w:r w:rsidRPr="00A27C4F">
        <w:t>stipulate</w:t>
      </w:r>
      <w:r>
        <w:t xml:space="preserve"> </w:t>
      </w:r>
      <w:r w:rsidRPr="00A27C4F">
        <w:t>dalle Organizzazioni</w:t>
      </w:r>
      <w:r>
        <w:t xml:space="preserve"> </w:t>
      </w:r>
      <w:r w:rsidRPr="00A27C4F">
        <w:t>interprofessionali</w:t>
      </w:r>
      <w:r>
        <w:t xml:space="preserve"> </w:t>
      </w:r>
      <w:r w:rsidRPr="00A27C4F">
        <w:t>riconosciute</w:t>
      </w:r>
      <w:r>
        <w:t xml:space="preserve"> </w:t>
      </w:r>
      <w:r w:rsidRPr="00A27C4F">
        <w:t>ai</w:t>
      </w:r>
      <w:r>
        <w:t xml:space="preserve"> </w:t>
      </w:r>
      <w:r w:rsidRPr="00A27C4F">
        <w:t>sensi all'articolo 12 del decreto legi</w:t>
      </w:r>
      <w:r>
        <w:t>slativo 30 aprile 1998, n. 173”</w:t>
      </w:r>
      <w:r w:rsidRPr="00B91F58">
        <w:rPr>
          <w:rFonts w:cs="Arial"/>
          <w:szCs w:val="22"/>
        </w:rPr>
        <w:t>»</w:t>
      </w:r>
      <w:r>
        <w:rPr>
          <w:rFonts w:cs="Arial"/>
          <w:szCs w:val="22"/>
        </w:rPr>
        <w:t>; (</w:t>
      </w:r>
      <w:hyperlink w:anchor="S10o02" w:history="1">
        <w:r w:rsidRPr="006649D0">
          <w:rPr>
            <w:rStyle w:val="Collegamentoipertestuale"/>
            <w:rFonts w:cs="Arial"/>
            <w:b/>
            <w:szCs w:val="22"/>
          </w:rPr>
          <w:t>conseguente osservazione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0C0EFB" w:rsidRDefault="000B33A8" w:rsidP="000B33A8">
      <w:pPr>
        <w:rPr>
          <w:rFonts w:cs="Arial"/>
          <w:szCs w:val="22"/>
        </w:rPr>
      </w:pPr>
      <w:bookmarkStart w:id="378" w:name="S10a07"/>
      <w:r>
        <w:rPr>
          <w:rFonts w:cs="Arial"/>
          <w:szCs w:val="22"/>
        </w:rPr>
        <w:t>7</w:t>
      </w:r>
      <w:r w:rsidRPr="00B91F58">
        <w:rPr>
          <w:rFonts w:cs="Arial"/>
          <w:szCs w:val="22"/>
        </w:rPr>
        <w:t xml:space="preserve"> </w:t>
      </w:r>
      <w:bookmarkEnd w:id="378"/>
      <w:r w:rsidRPr="00B91F58">
        <w:rPr>
          <w:rFonts w:cs="Arial"/>
          <w:szCs w:val="22"/>
        </w:rPr>
        <w:t xml:space="preserve">– </w:t>
      </w:r>
      <w:hyperlink w:anchor="premessa1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0C0EFB">
        <w:rPr>
          <w:rFonts w:cs="Arial"/>
          <w:szCs w:val="22"/>
        </w:rPr>
        <w:t xml:space="preserve">l’articolo 5, comma 2, “anche </w:t>
      </w:r>
      <w:r w:rsidRPr="000C0EFB">
        <w:rPr>
          <w:rFonts w:cs="Arial"/>
          <w:b/>
          <w:szCs w:val="22"/>
        </w:rPr>
        <w:t>in deroga</w:t>
      </w:r>
      <w:r w:rsidRPr="000C0EFB">
        <w:rPr>
          <w:rFonts w:cs="Arial"/>
          <w:szCs w:val="22"/>
        </w:rPr>
        <w:t xml:space="preserve"> ai termini stabiliti all’articolo 6, comma 1, del decreto legislativo n. 102 del 2004” (che fissa “il termine perentorio di sessanta giorni dalla cessazione dell'evento dannoso”), consente alle Regioni di deliberare la proposta di declaratoria di eccezionalità degli eventi:</w:t>
      </w:r>
    </w:p>
    <w:p w:rsidR="000B33A8" w:rsidRPr="000C0EFB" w:rsidRDefault="000B33A8" w:rsidP="000B33A8">
      <w:pPr>
        <w:rPr>
          <w:rFonts w:cs="Arial"/>
          <w:szCs w:val="22"/>
        </w:rPr>
      </w:pPr>
      <w:r w:rsidRPr="000C0EFB">
        <w:rPr>
          <w:rFonts w:cs="Arial"/>
          <w:i/>
          <w:szCs w:val="22"/>
        </w:rPr>
        <w:t>a)</w:t>
      </w:r>
      <w:r w:rsidRPr="000C0EFB">
        <w:rPr>
          <w:rFonts w:cs="Arial"/>
          <w:szCs w:val="22"/>
        </w:rPr>
        <w:t xml:space="preserve"> entro sessanta giorni dall’entrata in vigore del decreto per gli eventi atmosferici verificatisi “nel corso dell’anno 2014 e fino alla data di entrata in vigore de</w:t>
      </w:r>
      <w:r>
        <w:rPr>
          <w:rFonts w:cs="Arial"/>
          <w:szCs w:val="22"/>
        </w:rPr>
        <w:t>l presente decreto” (comma 1);</w:t>
      </w:r>
    </w:p>
    <w:p w:rsidR="000B33A8" w:rsidRPr="00B91F58" w:rsidRDefault="000B33A8" w:rsidP="000B33A8">
      <w:pPr>
        <w:rPr>
          <w:rFonts w:cs="Arial"/>
          <w:szCs w:val="22"/>
        </w:rPr>
      </w:pPr>
      <w:r w:rsidRPr="000C0EFB">
        <w:rPr>
          <w:rFonts w:cs="Arial"/>
          <w:i/>
          <w:szCs w:val="22"/>
        </w:rPr>
        <w:t xml:space="preserve">b) </w:t>
      </w:r>
      <w:r w:rsidRPr="000C0EFB">
        <w:rPr>
          <w:rFonts w:cs="Arial"/>
          <w:szCs w:val="22"/>
        </w:rPr>
        <w:t>nel caso delle infezioni degli organismi nocivi ai vegetali verificatesi successivamente all’entrata in vigore del decreto, “entro sessanta giorni dall’adozione delle misure di contenimento o di eradicazione da parte delle competenti autorità nazionali ed europee”</w:t>
      </w:r>
      <w:r w:rsidRPr="00B91F58">
        <w:rPr>
          <w:rFonts w:cs="Arial"/>
          <w:szCs w:val="22"/>
        </w:rPr>
        <w:t>»</w:t>
      </w:r>
      <w:r>
        <w:rPr>
          <w:rFonts w:cs="Arial"/>
          <w:szCs w:val="22"/>
        </w:rPr>
        <w:t xml:space="preserve">; </w:t>
      </w:r>
      <w:r w:rsidRPr="000C0EFB">
        <w:rPr>
          <w:rFonts w:cs="Arial"/>
          <w:szCs w:val="22"/>
        </w:rPr>
        <w:t xml:space="preserve">in questo modo, da un lato, il decreto </w:t>
      </w:r>
      <w:r w:rsidRPr="000C0EFB">
        <w:rPr>
          <w:rFonts w:cs="Arial"/>
          <w:b/>
          <w:szCs w:val="22"/>
        </w:rPr>
        <w:t>retroagisce</w:t>
      </w:r>
      <w:r w:rsidRPr="000C0EFB">
        <w:rPr>
          <w:rFonts w:cs="Arial"/>
          <w:szCs w:val="22"/>
        </w:rPr>
        <w:t xml:space="preserve">, riaprendo i termini per avversità atmosferiche verificatesi fin dal 1° gennaio 2014, dall’altro, con riguardo alle infezioni degli organismi nocivi ai vegetali, detta una norma a regime </w:t>
      </w:r>
      <w:r w:rsidRPr="000C0EFB">
        <w:rPr>
          <w:rFonts w:cs="Arial"/>
          <w:b/>
          <w:szCs w:val="22"/>
        </w:rPr>
        <w:t>integrando in via non testuale</w:t>
      </w:r>
      <w:r w:rsidRPr="000C0EFB">
        <w:rPr>
          <w:rFonts w:cs="Arial"/>
          <w:szCs w:val="22"/>
        </w:rPr>
        <w:t xml:space="preserve"> la disciplina dettata dal citato articolo 6, comma 1 del decreto legislativo n. 102 del 2004, sulla quale invece si dovrebbe intervenire mediante novelle</w:t>
      </w:r>
      <w:r w:rsidRPr="00B91F58">
        <w:rPr>
          <w:rFonts w:cs="Arial"/>
          <w:szCs w:val="22"/>
        </w:rPr>
        <w:t>»</w:t>
      </w:r>
      <w:r>
        <w:rPr>
          <w:rFonts w:cs="Arial"/>
          <w:szCs w:val="22"/>
        </w:rPr>
        <w:t>; (</w:t>
      </w:r>
      <w:hyperlink w:anchor="S10o03" w:history="1">
        <w:r w:rsidRPr="006649D0">
          <w:rPr>
            <w:rStyle w:val="Collegamentoipertestuale"/>
            <w:rFonts w:cs="Arial"/>
            <w:b/>
            <w:szCs w:val="22"/>
          </w:rPr>
          <w:t>conseguente osservazione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379" w:name="S10a08"/>
      <w:r>
        <w:rPr>
          <w:rFonts w:cs="Arial"/>
          <w:szCs w:val="22"/>
        </w:rPr>
        <w:t>8</w:t>
      </w:r>
      <w:r w:rsidRPr="00B91F58">
        <w:rPr>
          <w:rFonts w:cs="Arial"/>
          <w:szCs w:val="22"/>
        </w:rPr>
        <w:t xml:space="preserve"> </w:t>
      </w:r>
      <w:bookmarkEnd w:id="379"/>
      <w:r w:rsidRPr="00B91F58">
        <w:rPr>
          <w:rFonts w:cs="Arial"/>
          <w:szCs w:val="22"/>
        </w:rPr>
        <w:t xml:space="preserve">– </w:t>
      </w:r>
      <w:hyperlink w:anchor="premessa1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441768">
        <w:rPr>
          <w:rFonts w:cs="Arial"/>
          <w:szCs w:val="22"/>
        </w:rPr>
        <w:t xml:space="preserve">l’articolo 2, comma 1, reca una previsione di </w:t>
      </w:r>
      <w:r w:rsidRPr="00441768">
        <w:rPr>
          <w:rFonts w:cs="Arial"/>
          <w:b/>
          <w:szCs w:val="22"/>
        </w:rPr>
        <w:t>dubbia portata normativ</w:t>
      </w:r>
      <w:r w:rsidRPr="00441768">
        <w:rPr>
          <w:rFonts w:cs="Arial"/>
          <w:szCs w:val="22"/>
        </w:rPr>
        <w:t>a in quanto indica le finalità per le quali si introduce una modificazione al decreto-legge n. 49 del 2003</w:t>
      </w:r>
      <w:r w:rsidRPr="00B91F58">
        <w:rPr>
          <w:rFonts w:cs="Arial"/>
          <w:szCs w:val="22"/>
        </w:rPr>
        <w:t>»</w:t>
      </w:r>
      <w:r>
        <w:rPr>
          <w:rFonts w:cs="Arial"/>
          <w:szCs w:val="22"/>
        </w:rPr>
        <w:t>; (</w:t>
      </w:r>
      <w:hyperlink w:anchor="S10o04" w:history="1">
        <w:r w:rsidRPr="006649D0">
          <w:rPr>
            <w:rStyle w:val="Collegamentoipertestuale"/>
            <w:rFonts w:cs="Arial"/>
            <w:b/>
            <w:szCs w:val="22"/>
          </w:rPr>
          <w:t>conseguente osservazione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380" w:name="S10a09"/>
      <w:r>
        <w:rPr>
          <w:rFonts w:cs="Arial"/>
          <w:szCs w:val="22"/>
        </w:rPr>
        <w:t>9</w:t>
      </w:r>
      <w:r w:rsidRPr="00B91F58">
        <w:rPr>
          <w:rFonts w:cs="Arial"/>
          <w:szCs w:val="22"/>
        </w:rPr>
        <w:t xml:space="preserve"> </w:t>
      </w:r>
      <w:bookmarkEnd w:id="380"/>
      <w:r w:rsidRPr="00B91F58">
        <w:rPr>
          <w:rFonts w:cs="Arial"/>
          <w:szCs w:val="22"/>
        </w:rPr>
        <w:t xml:space="preserve">– </w:t>
      </w:r>
      <w:r w:rsidRPr="00BF4BAD">
        <w:rPr>
          <w:rStyle w:val="Collegamentoipertestuale"/>
          <w:b/>
        </w:rPr>
        <w:t>Non in</w:t>
      </w:r>
      <w:r w:rsidRPr="00BF4BAD">
        <w:rPr>
          <w:rFonts w:cs="Arial"/>
          <w:szCs w:val="22"/>
          <w:u w:val="single"/>
        </w:rPr>
        <w:t xml:space="preserve"> </w:t>
      </w:r>
      <w:hyperlink w:anchor="premessa10" w:history="1">
        <w:r w:rsidRPr="00BF4BAD">
          <w:rPr>
            <w:rStyle w:val="Collegamentoipertestuale"/>
            <w:rFonts w:cs="Arial"/>
            <w:b/>
            <w:szCs w:val="22"/>
          </w:rPr>
          <w:t>Premessa</w:t>
        </w:r>
        <w:r w:rsidRPr="00BF4BAD">
          <w:rPr>
            <w:rStyle w:val="Collegamentoipertestuale"/>
            <w:rFonts w:cs="Arial"/>
            <w:szCs w:val="22"/>
          </w:rPr>
          <w:t>:</w:t>
        </w:r>
      </w:hyperlink>
      <w:r w:rsidRPr="00B91F58">
        <w:rPr>
          <w:rFonts w:cs="Arial"/>
          <w:szCs w:val="22"/>
        </w:rPr>
        <w:t xml:space="preserve"> </w:t>
      </w:r>
      <w:r>
        <w:rPr>
          <w:rFonts w:cs="Arial"/>
          <w:szCs w:val="22"/>
        </w:rPr>
        <w:t xml:space="preserve">[Entrambe le relazioni sono state trasmesse alla Commissione Agricoltura successivamente alla stampa del disegno di legge di conversione] </w:t>
      </w:r>
    </w:p>
    <w:p w:rsidR="000B33A8" w:rsidRDefault="000B33A8" w:rsidP="000B33A8">
      <w:pPr>
        <w:rPr>
          <w:rFonts w:cs="Arial"/>
          <w:szCs w:val="22"/>
        </w:rPr>
      </w:pPr>
    </w:p>
    <w:p w:rsidR="000B33A8" w:rsidRDefault="000B33A8" w:rsidP="000B33A8">
      <w:pPr>
        <w:rPr>
          <w:rFonts w:cs="Arial"/>
          <w:szCs w:val="22"/>
        </w:rPr>
      </w:pPr>
    </w:p>
    <w:p w:rsidR="000B33A8" w:rsidRPr="00CC2FFB" w:rsidRDefault="000B33A8" w:rsidP="000B33A8">
      <w:pPr>
        <w:keepNext/>
        <w:ind w:firstLine="0"/>
        <w:rPr>
          <w:rFonts w:cs="Arial"/>
          <w:b/>
          <w:szCs w:val="22"/>
        </w:rPr>
      </w:pPr>
      <w:bookmarkStart w:id="381" w:name="S10O"/>
      <w:r w:rsidRPr="00CC2FFB">
        <w:rPr>
          <w:rFonts w:cs="Arial"/>
          <w:b/>
          <w:szCs w:val="22"/>
        </w:rPr>
        <w:lastRenderedPageBreak/>
        <w:t>Osservazioni</w:t>
      </w:r>
      <w:bookmarkEnd w:id="381"/>
      <w:r w:rsidRPr="00CC2FFB">
        <w:rPr>
          <w:rFonts w:cs="Arial"/>
          <w:b/>
          <w:szCs w:val="22"/>
        </w:rPr>
        <w:t>:</w:t>
      </w:r>
    </w:p>
    <w:p w:rsidR="000B33A8" w:rsidRDefault="000B33A8" w:rsidP="000B33A8">
      <w:pPr>
        <w:keepNext/>
        <w:ind w:firstLine="0"/>
        <w:rPr>
          <w:rFonts w:cs="Arial"/>
          <w:i/>
          <w:szCs w:val="22"/>
        </w:rPr>
      </w:pPr>
      <w:r>
        <w:rPr>
          <w:rFonts w:cs="Arial"/>
          <w:i/>
          <w:szCs w:val="22"/>
        </w:rPr>
        <w:t>sotto il profilo dell’efficacia del testo per la semplificazione e il riordinamento della legislazione vigente:</w:t>
      </w:r>
    </w:p>
    <w:p w:rsidR="000B33A8" w:rsidRDefault="000B33A8" w:rsidP="00B26E1F">
      <w:pPr>
        <w:pStyle w:val="Paragrafoelenco"/>
        <w:numPr>
          <w:ilvl w:val="0"/>
          <w:numId w:val="24"/>
        </w:numPr>
        <w:ind w:left="567" w:hanging="283"/>
        <w:rPr>
          <w:rFonts w:cs="Arial"/>
          <w:szCs w:val="22"/>
        </w:rPr>
      </w:pPr>
      <w:bookmarkStart w:id="382" w:name="S10o01"/>
      <w:r w:rsidRPr="00261390">
        <w:rPr>
          <w:rFonts w:cs="Arial"/>
          <w:szCs w:val="22"/>
        </w:rPr>
        <w:t xml:space="preserve">all’articolo 2, il comma </w:t>
      </w:r>
      <w:bookmarkEnd w:id="382"/>
      <w:r w:rsidRPr="00261390">
        <w:rPr>
          <w:rFonts w:cs="Arial"/>
          <w:szCs w:val="22"/>
        </w:rPr>
        <w:t>2, che incide in modo non testuale sull’articolo 62 del decreto-legge n. 1 del 2012, dovrebbe essere riformulato in termini di novella;</w:t>
      </w:r>
      <w:r>
        <w:rPr>
          <w:rFonts w:cs="Arial"/>
          <w:szCs w:val="22"/>
        </w:rPr>
        <w:t xml:space="preserve"> [</w:t>
      </w:r>
      <w:hyperlink w:anchor="premessa10"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24"/>
        </w:numPr>
        <w:ind w:left="567" w:hanging="283"/>
        <w:rPr>
          <w:rFonts w:cs="Arial"/>
          <w:szCs w:val="22"/>
        </w:rPr>
      </w:pPr>
      <w:bookmarkStart w:id="383" w:name="S10o02"/>
      <w:r w:rsidRPr="00261390">
        <w:rPr>
          <w:rFonts w:cs="Arial"/>
          <w:szCs w:val="22"/>
        </w:rPr>
        <w:t xml:space="preserve">con riferimento all’articolo </w:t>
      </w:r>
      <w:bookmarkEnd w:id="383"/>
      <w:r w:rsidRPr="00261390">
        <w:rPr>
          <w:rFonts w:cs="Arial"/>
          <w:szCs w:val="22"/>
        </w:rPr>
        <w:t>2, comma 10, che abroga l’articolo 12 del decreto legislativo n. 173 del 1998, si dovrebbe assicurare il coordinamento con l’articolo 9, comma 3, del decreto legislativo n. 102 del 2005;</w:t>
      </w:r>
      <w:r>
        <w:rPr>
          <w:rFonts w:cs="Arial"/>
          <w:szCs w:val="22"/>
        </w:rPr>
        <w:t xml:space="preserve"> [</w:t>
      </w:r>
      <w:hyperlink w:anchor="premessa10"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24"/>
        </w:numPr>
        <w:ind w:left="567" w:hanging="283"/>
        <w:rPr>
          <w:rFonts w:cs="Arial"/>
          <w:szCs w:val="22"/>
        </w:rPr>
      </w:pPr>
      <w:bookmarkStart w:id="384" w:name="S10o03"/>
      <w:r w:rsidRPr="00261390">
        <w:rPr>
          <w:rFonts w:cs="Arial"/>
          <w:szCs w:val="22"/>
        </w:rPr>
        <w:t xml:space="preserve">all’articolo 5, con riferimento </w:t>
      </w:r>
      <w:bookmarkEnd w:id="384"/>
      <w:r w:rsidRPr="00261390">
        <w:rPr>
          <w:rFonts w:cs="Arial"/>
          <w:szCs w:val="22"/>
        </w:rPr>
        <w:t>al comma 2 (che – relativamente alle infezioni degli organismi nocivi ai vegetali – incide in modo permanente sull’articolo 6, comma 1, del decreto legislativo n. 102 del 2004), si dovrebbe effettuare un coordinamento esplicito, anche mediante modificazioni testuali, con la disposizione del 2004;</w:t>
      </w:r>
      <w:r>
        <w:rPr>
          <w:rFonts w:cs="Arial"/>
          <w:szCs w:val="22"/>
        </w:rPr>
        <w:t xml:space="preserve"> [</w:t>
      </w:r>
      <w:hyperlink w:anchor="premessa10" w:history="1">
        <w:r w:rsidRPr="00261390">
          <w:rPr>
            <w:rStyle w:val="Collegamentoipertestuale"/>
            <w:rFonts w:cs="Arial"/>
            <w:szCs w:val="22"/>
          </w:rPr>
          <w:t>torna su</w:t>
        </w:r>
      </w:hyperlink>
      <w:r>
        <w:rPr>
          <w:rFonts w:cs="Arial"/>
          <w:szCs w:val="22"/>
        </w:rPr>
        <w:t xml:space="preserve">] </w:t>
      </w:r>
      <w:r>
        <w:rPr>
          <w:rFonts w:cs="Arial"/>
          <w:szCs w:val="22"/>
        </w:rPr>
        <w:br/>
      </w:r>
    </w:p>
    <w:p w:rsidR="000B33A8" w:rsidRPr="00261390" w:rsidRDefault="000B33A8" w:rsidP="000B33A8">
      <w:pPr>
        <w:keepNext/>
        <w:ind w:firstLine="0"/>
        <w:rPr>
          <w:rFonts w:cs="Arial"/>
          <w:i/>
          <w:szCs w:val="22"/>
        </w:rPr>
      </w:pPr>
      <w:r w:rsidRPr="00261390">
        <w:rPr>
          <w:rFonts w:cs="Arial"/>
          <w:i/>
          <w:szCs w:val="22"/>
        </w:rPr>
        <w:t>sotto il profilo della chiarezza e della proprietà della formulazione:</w:t>
      </w:r>
    </w:p>
    <w:p w:rsidR="000B33A8" w:rsidRPr="004325F3" w:rsidRDefault="000B33A8" w:rsidP="00B26E1F">
      <w:pPr>
        <w:pStyle w:val="Paragrafoelenco"/>
        <w:numPr>
          <w:ilvl w:val="0"/>
          <w:numId w:val="24"/>
        </w:numPr>
        <w:ind w:left="567" w:hanging="283"/>
        <w:rPr>
          <w:rFonts w:cs="Arial"/>
          <w:szCs w:val="22"/>
        </w:rPr>
      </w:pPr>
      <w:bookmarkStart w:id="385" w:name="S10o04"/>
      <w:r w:rsidRPr="00261390">
        <w:rPr>
          <w:rFonts w:cs="Arial"/>
          <w:szCs w:val="22"/>
        </w:rPr>
        <w:t xml:space="preserve">si dovrebbe valutare </w:t>
      </w:r>
      <w:bookmarkEnd w:id="385"/>
      <w:r w:rsidRPr="00261390">
        <w:rPr>
          <w:rFonts w:cs="Arial"/>
          <w:szCs w:val="22"/>
        </w:rPr>
        <w:t>l’effettiva portata normativa delle dichiarazioni di finalità</w:t>
      </w:r>
      <w:r>
        <w:rPr>
          <w:rFonts w:cs="Arial"/>
          <w:szCs w:val="22"/>
        </w:rPr>
        <w:t xml:space="preserve"> di cui all’articolo 2, comma 1. [</w:t>
      </w:r>
      <w:hyperlink w:anchor="premessa10" w:history="1">
        <w:r w:rsidRPr="00261390">
          <w:rPr>
            <w:rStyle w:val="Collegamentoipertestuale"/>
            <w:rFonts w:cs="Arial"/>
            <w:szCs w:val="22"/>
          </w:rPr>
          <w:t>torna su</w:t>
        </w:r>
      </w:hyperlink>
      <w:r>
        <w:rPr>
          <w:rFonts w:cs="Arial"/>
          <w:szCs w:val="22"/>
        </w:rPr>
        <w:t xml:space="preserve">] </w:t>
      </w:r>
    </w:p>
    <w:p w:rsidR="000B33A8" w:rsidRDefault="000B33A8" w:rsidP="000B33A8">
      <w:pPr>
        <w:ind w:firstLine="0"/>
        <w:rPr>
          <w:rFonts w:cs="Arial"/>
          <w:i/>
          <w:szCs w:val="22"/>
        </w:rPr>
        <w:sectPr w:rsidR="000B33A8" w:rsidSect="000B33A8">
          <w:headerReference w:type="default" r:id="rId327"/>
          <w:footerReference w:type="even" r:id="rId328"/>
          <w:footerReference w:type="default" r:id="rId329"/>
          <w:pgSz w:w="11906" w:h="16838" w:code="9"/>
          <w:pgMar w:top="1985" w:right="1985" w:bottom="1985" w:left="1985" w:header="1134" w:footer="1134" w:gutter="0"/>
          <w:cols w:space="720"/>
          <w:formProt w:val="0"/>
        </w:sectPr>
      </w:pPr>
    </w:p>
    <w:p w:rsidR="000B33A8" w:rsidRPr="005C7D5A" w:rsidRDefault="000B33A8" w:rsidP="000B33A8">
      <w:pPr>
        <w:ind w:firstLine="0"/>
        <w:rPr>
          <w:rFonts w:cs="Arial"/>
          <w:i/>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0011</w:t>
            </w:r>
          </w:p>
        </w:tc>
        <w:tc>
          <w:tcPr>
            <w:tcW w:w="750" w:type="pct"/>
            <w:shd w:val="clear" w:color="auto" w:fill="auto"/>
          </w:tcPr>
          <w:p w:rsidR="000B33A8" w:rsidRPr="00B26E1F" w:rsidRDefault="000B33A8" w:rsidP="000B33A8">
            <w:pPr>
              <w:pStyle w:val="Collegamento"/>
              <w:rPr>
                <w:rFonts w:cs="Arial"/>
              </w:rPr>
            </w:pPr>
            <w:r w:rsidRPr="00B26E1F">
              <w:rPr>
                <w:rFonts w:cs="Arial"/>
              </w:rPr>
              <w:t>3134</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30" w:history="1">
              <w:r w:rsidR="000B33A8" w:rsidRPr="00B26E1F">
                <w:rPr>
                  <w:rStyle w:val="Collegamentoipertestuale"/>
                  <w:rFonts w:cs="Arial"/>
                </w:rPr>
                <w:t>DL 65/2015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Pensioni, ammortizzatori sociali e TFR</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31" w:anchor="data.20150604.com48.bollettino.sede00010.tit00010" w:history="1">
              <w:r w:rsidR="000B33A8">
                <w:rPr>
                  <w:rStyle w:val="Collegamentoipertestuale"/>
                </w:rPr>
                <w:t>04/06/2015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386" w:name="premessa11"/>
            <w:r w:rsidRPr="00B26E1F">
              <w:rPr>
                <w:rFonts w:cs="Arial"/>
                <w:b/>
                <w:color w:val="0000FF"/>
                <w:sz w:val="24"/>
                <w:szCs w:val="24"/>
              </w:rPr>
              <w:t>Premessa</w:t>
            </w:r>
            <w:bookmarkEnd w:id="386"/>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3 Osservazioni</w:t>
            </w:r>
          </w:p>
        </w:tc>
      </w:tr>
      <w:tr w:rsidR="000B33A8" w:rsidRPr="008B2DCE" w:rsidTr="00B26E1F">
        <w:trPr>
          <w:trHeight w:val="84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1a01" w:history="1">
              <w:r w:rsidR="000B33A8" w:rsidRPr="00D40FBA">
                <w:rPr>
                  <w:rStyle w:val="Collegamentoipertestuale"/>
                </w:rPr>
                <w:t>1</w:t>
              </w:r>
            </w:hyperlink>
            <w:r w:rsidR="000B33A8" w:rsidRPr="00B26E1F">
              <w:rPr>
                <w:rFonts w:cs="Arial"/>
              </w:rPr>
              <w:t xml:space="preserve"> – Istruttoria legislativa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Provvedimento conseguente alla sentenza n. 70/2015 della Corte costituzionale.</w:t>
            </w:r>
          </w:p>
        </w:tc>
      </w:tr>
      <w:tr w:rsidR="000B33A8" w:rsidRPr="008B2DCE" w:rsidTr="00B26E1F">
        <w:trPr>
          <w:trHeight w:val="7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1a02" w:history="1">
              <w:r w:rsidR="000B33A8" w:rsidRPr="00812559">
                <w:rPr>
                  <w:rStyle w:val="Collegamentoipertestuale"/>
                </w:rPr>
                <w:t>2</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1a03" w:history="1">
              <w:r w:rsidR="000B33A8" w:rsidRPr="00812559">
                <w:rPr>
                  <w:rStyle w:val="Collegamentoipertestuale"/>
                </w:rPr>
                <w:t>3</w:t>
              </w:r>
            </w:hyperlink>
            <w:r w:rsidR="000B33A8" w:rsidRPr="00B26E1F">
              <w:rPr>
                <w:rFonts w:cs="Arial"/>
              </w:rPr>
              <w:t xml:space="preserve"> – </w:t>
            </w:r>
            <w:r w:rsidR="000B33A8" w:rsidRPr="007F5C83">
              <w:t>Coordinamento con le fonti normative vigenti: modifiche non testuali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Modifiche non testuali di norme di recente approvazione.</w:t>
            </w:r>
          </w:p>
          <w:p w:rsidR="000B33A8" w:rsidRPr="00B26E1F" w:rsidRDefault="000B33A8" w:rsidP="00B26E1F">
            <w:pPr>
              <w:spacing w:before="100" w:beforeAutospacing="1" w:after="100" w:afterAutospacing="1"/>
              <w:ind w:firstLine="0"/>
              <w:rPr>
                <w:rFonts w:cs="Arial"/>
              </w:rPr>
            </w:pPr>
            <w:r w:rsidRPr="00B26E1F">
              <w:rPr>
                <w:rFonts w:cs="Arial"/>
              </w:rPr>
              <w:t>Osservazione 3</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1a04" w:history="1">
              <w:r w:rsidR="000B33A8" w:rsidRPr="006533B3">
                <w:rPr>
                  <w:rStyle w:val="Collegamentoipertestuale"/>
                </w:rPr>
                <w:t>4</w:t>
              </w:r>
            </w:hyperlink>
            <w:r w:rsidR="000B33A8">
              <w:t xml:space="preserve"> - </w:t>
            </w:r>
            <w:r w:rsidR="000B33A8" w:rsidRPr="007F5C83">
              <w:t>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Intreccio e sovrapposizione con disposizioni contenute nella legge di stabilità per il 2014.</w:t>
            </w:r>
          </w:p>
          <w:p w:rsidR="000B33A8" w:rsidRPr="00B26E1F" w:rsidRDefault="000B33A8" w:rsidP="00B26E1F">
            <w:pPr>
              <w:spacing w:before="100" w:beforeAutospacing="1" w:after="100" w:afterAutospacing="1"/>
              <w:ind w:firstLine="0"/>
              <w:rPr>
                <w:rFonts w:cs="Arial"/>
              </w:rPr>
            </w:pPr>
            <w:r w:rsidRPr="00B26E1F">
              <w:rPr>
                <w:rFonts w:cs="Arial"/>
              </w:rPr>
              <w:t>Osservazione 2</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1a05" w:history="1">
              <w:r w:rsidR="000B33A8" w:rsidRPr="006533B3">
                <w:rPr>
                  <w:rStyle w:val="Collegamentoipertestuale"/>
                </w:rPr>
                <w:t>5</w:t>
              </w:r>
            </w:hyperlink>
            <w:r w:rsidR="000B33A8">
              <w:t xml:space="preserve"> – 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Disposizione che esplicita la finalità dell’intervento, apparentemente priva di carattere normativo ma </w:t>
            </w:r>
            <w:r w:rsidRPr="00844964">
              <w:t>rispondente a un espresso richiamo della Corte costituzionale</w:t>
            </w:r>
            <w:r>
              <w:t>.</w:t>
            </w:r>
          </w:p>
        </w:tc>
      </w:tr>
      <w:tr w:rsidR="000B33A8" w:rsidRPr="008B2DCE" w:rsidTr="00FC05F5">
        <w:trPr>
          <w:trHeight w:val="41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1a06" w:history="1">
              <w:r w:rsidR="000B33A8" w:rsidRPr="006533B3">
                <w:rPr>
                  <w:rStyle w:val="Collegamentoipertestuale"/>
                </w:rPr>
                <w:t>6</w:t>
              </w:r>
            </w:hyperlink>
            <w:r w:rsidR="000B33A8">
              <w:t xml:space="preserve"> – Disposizioni derogatorie della normativa vigente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Disposizione implicitamente derogatoria e transitoria. Richiamo alla sentenza . 289/1994 della Corte costituzionale e alla sentenza n. 23793/2010 della Corte di Cassazione.</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1a07" w:history="1">
              <w:r w:rsidR="000B33A8" w:rsidRPr="006533B3">
                <w:rPr>
                  <w:rStyle w:val="Collegamentoipertestuale"/>
                </w:rPr>
                <w:t>7</w:t>
              </w:r>
            </w:hyperlink>
            <w:r w:rsidR="000B33A8">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Assenti. Manca il riferimento all’eventuale esenzione dall’AIR.</w:t>
            </w:r>
          </w:p>
        </w:tc>
      </w:tr>
    </w:tbl>
    <w:p w:rsidR="000B33A8" w:rsidRDefault="000B33A8" w:rsidP="000B33A8"/>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190"/>
        <w:gridCol w:w="3962"/>
      </w:tblGrid>
      <w:tr w:rsidR="000B33A8" w:rsidRPr="00A33B28" w:rsidTr="00FC05F5">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3A04FD" w:rsidTr="00FC05F5">
        <w:trPr>
          <w:trHeight w:val="423"/>
        </w:trPr>
        <w:tc>
          <w:tcPr>
            <w:tcW w:w="2570" w:type="pct"/>
            <w:tcBorders>
              <w:top w:val="nil"/>
              <w:left w:val="nil"/>
              <w:bottom w:val="nil"/>
              <w:right w:val="nil"/>
            </w:tcBorders>
            <w:shd w:val="clear" w:color="auto" w:fill="auto"/>
          </w:tcPr>
          <w:p w:rsidR="000B33A8" w:rsidRPr="003A04FD" w:rsidRDefault="00EB0878" w:rsidP="00FC05F5">
            <w:pPr>
              <w:keepNext/>
              <w:spacing w:before="100" w:beforeAutospacing="1" w:after="100" w:afterAutospacing="1"/>
              <w:ind w:firstLine="0"/>
              <w:jc w:val="left"/>
              <w:rPr>
                <w:rFonts w:cs="Arial"/>
              </w:rPr>
            </w:pPr>
            <w:hyperlink w:anchor="S11O" w:history="1">
              <w:r w:rsidR="000B33A8" w:rsidRPr="00852C73">
                <w:rPr>
                  <w:rStyle w:val="Collegamentoipertestuale"/>
                  <w:rFonts w:cs="Arial"/>
                </w:rPr>
                <w:t>O</w:t>
              </w:r>
            </w:hyperlink>
            <w:r w:rsidR="000B33A8" w:rsidRPr="003A04FD">
              <w:rPr>
                <w:rFonts w:cs="Arial"/>
              </w:rPr>
              <w:t xml:space="preserve"> - Osservazioni</w:t>
            </w:r>
          </w:p>
        </w:tc>
        <w:tc>
          <w:tcPr>
            <w:tcW w:w="2430" w:type="pct"/>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articolo 9 del DPCM n. 170/2008; sentenze n 70/2015 e n. 289/1994 della Corte costituzionale; sentenza n. 23793/2010 della Corte di Cassazione.</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CD40FA" w:rsidRDefault="000B33A8" w:rsidP="000B33A8">
      <w:pPr>
        <w:spacing w:after="120"/>
        <w:rPr>
          <w:rFonts w:cs="Arial"/>
          <w:szCs w:val="22"/>
        </w:rPr>
      </w:pPr>
      <w:bookmarkStart w:id="387" w:name="S11a01"/>
      <w:r w:rsidRPr="00B91F58">
        <w:rPr>
          <w:rFonts w:cs="Arial"/>
          <w:szCs w:val="22"/>
        </w:rPr>
        <w:t>1</w:t>
      </w:r>
      <w:bookmarkEnd w:id="387"/>
      <w:r w:rsidRPr="00B91F58">
        <w:rPr>
          <w:rFonts w:cs="Arial"/>
          <w:szCs w:val="22"/>
        </w:rPr>
        <w:t xml:space="preserve"> – </w:t>
      </w:r>
      <w:hyperlink w:anchor="premessa11" w:history="1">
        <w:r w:rsidRPr="00B91F58">
          <w:rPr>
            <w:rStyle w:val="Collegamentoipertestuale"/>
            <w:rFonts w:cs="Arial"/>
            <w:b/>
            <w:szCs w:val="22"/>
          </w:rPr>
          <w:t>Premessa</w:t>
        </w:r>
        <w:r w:rsidRPr="00B91F58">
          <w:rPr>
            <w:rStyle w:val="Collegamentoipertestuale"/>
            <w:rFonts w:cs="Arial"/>
            <w:szCs w:val="22"/>
          </w:rPr>
          <w:t>:</w:t>
        </w:r>
      </w:hyperlink>
      <w:r w:rsidRPr="00E772E0">
        <w:rPr>
          <w:rStyle w:val="Collegamentoipertestuale"/>
          <w:rFonts w:cs="Arial"/>
          <w:szCs w:val="22"/>
        </w:rPr>
        <w:t xml:space="preserve"> </w:t>
      </w:r>
      <w:r w:rsidRPr="00B91F58">
        <w:rPr>
          <w:rFonts w:cs="Arial"/>
          <w:szCs w:val="22"/>
        </w:rPr>
        <w:t>«</w:t>
      </w:r>
      <w:r w:rsidRPr="00CD40FA">
        <w:rPr>
          <w:rFonts w:cs="Arial"/>
          <w:szCs w:val="22"/>
        </w:rPr>
        <w:t xml:space="preserve">il decreto-legge è stato approvato a seguito della </w:t>
      </w:r>
      <w:r w:rsidRPr="00CD40FA">
        <w:rPr>
          <w:rFonts w:cs="Arial"/>
          <w:b/>
          <w:szCs w:val="22"/>
        </w:rPr>
        <w:t>sentenza n.</w:t>
      </w:r>
      <w:r>
        <w:rPr>
          <w:rFonts w:cs="Arial"/>
          <w:b/>
          <w:szCs w:val="22"/>
        </w:rPr>
        <w:t xml:space="preserve"> </w:t>
      </w:r>
      <w:r w:rsidRPr="00CD40FA">
        <w:rPr>
          <w:rFonts w:cs="Arial"/>
          <w:b/>
          <w:szCs w:val="22"/>
        </w:rPr>
        <w:t>70 del 2015 della Corte costituzionale</w:t>
      </w:r>
      <w:r w:rsidRPr="00CD40FA">
        <w:rPr>
          <w:rFonts w:cs="Arial"/>
          <w:szCs w:val="22"/>
        </w:rPr>
        <w:t>;</w:t>
      </w:r>
      <w:r>
        <w:rPr>
          <w:rFonts w:cs="Arial"/>
          <w:szCs w:val="22"/>
        </w:rPr>
        <w:t xml:space="preserve"> </w:t>
      </w:r>
      <w:r w:rsidRPr="00CD40FA">
        <w:rPr>
          <w:rFonts w:cs="Arial"/>
          <w:szCs w:val="22"/>
        </w:rPr>
        <w:t>la predetta sentenza ha dichiarato costituzionalmente illegittimo l'articolo 24, comma 25, del decreto-legge 6 dicembre 2011, n.</w:t>
      </w:r>
      <w:r>
        <w:rPr>
          <w:rFonts w:cs="Arial"/>
          <w:szCs w:val="22"/>
        </w:rPr>
        <w:t xml:space="preserve"> </w:t>
      </w:r>
      <w:r w:rsidRPr="00CD40FA">
        <w:rPr>
          <w:rFonts w:cs="Arial"/>
          <w:szCs w:val="22"/>
        </w:rPr>
        <w:t>201 nella parte in cui prevedeva che «In considerazione della contingente situazione finanziaria, la rivalutazione automatica dei trattamenti pensionistici, secondo il meccanismo stabilito dall'articolo 34, comma 1, della legge 23 dicembre 1998, n.</w:t>
      </w:r>
      <w:r>
        <w:rPr>
          <w:rFonts w:cs="Arial"/>
          <w:szCs w:val="22"/>
        </w:rPr>
        <w:t xml:space="preserve"> </w:t>
      </w:r>
      <w:r w:rsidRPr="00CD40FA">
        <w:rPr>
          <w:rFonts w:cs="Arial"/>
          <w:szCs w:val="22"/>
        </w:rPr>
        <w:t>448, è riconosciuta, per gli anni 2012 e 2013, esclusivamente ai trattamenti pensionistici di importo complessivo fino a tre volte il trattamento minimo INPS, nella misura del 100 per cento», con riferimento agli articoli 3 (sotto il profilo del principio di ragionevolezza), 36, primo comma (principio della sufficienza della retribuzione) e 38, secondo comma (principio dell'adeguatezza dell'assistenza sociale) della Costituzione;</w:t>
      </w:r>
    </w:p>
    <w:p w:rsidR="000B33A8" w:rsidRPr="00CD40FA" w:rsidRDefault="000B33A8" w:rsidP="000B33A8">
      <w:pPr>
        <w:spacing w:after="120"/>
        <w:rPr>
          <w:rFonts w:cs="Arial"/>
          <w:szCs w:val="22"/>
        </w:rPr>
      </w:pPr>
      <w:r w:rsidRPr="00CD40FA">
        <w:rPr>
          <w:rFonts w:cs="Arial"/>
          <w:szCs w:val="22"/>
        </w:rPr>
        <w:t>la sentenza, allo stesso tempo, ha dichiarato non fondata l'ulteriore questione di legittimità costituzionale del medesimo comma 25, sollevata con riferimento agli articoli 2, 3, 23 e 53 della Costituzione per ragioni sostanziali, in quanto la disposizione annullata non rivestiva natura tributaria (punto 4 del Considerato in diritto) e ha ritenuto inammissibile un'ulteriore questione di legittimità costituzionale – che prospettava una possibile violazione della Convenzione europea dei diritti dell'uomo (in riferimento all'articolo 117 della Costituzione) – per ragioni procedurali, in quanto la relativa ordinanza di rimessione non era sufficientemente argomentata (punto 3 del Considerato in diritto);</w:t>
      </w:r>
    </w:p>
    <w:p w:rsidR="000B33A8" w:rsidRPr="00CD40FA" w:rsidRDefault="000B33A8" w:rsidP="000B33A8">
      <w:pPr>
        <w:spacing w:after="120"/>
        <w:rPr>
          <w:rFonts w:cs="Arial"/>
          <w:szCs w:val="22"/>
        </w:rPr>
      </w:pPr>
      <w:r w:rsidRPr="00CD40FA">
        <w:rPr>
          <w:rFonts w:cs="Arial"/>
          <w:szCs w:val="22"/>
        </w:rPr>
        <w:lastRenderedPageBreak/>
        <w:t>la sentenza n.</w:t>
      </w:r>
      <w:r>
        <w:rPr>
          <w:rFonts w:cs="Arial"/>
          <w:szCs w:val="22"/>
        </w:rPr>
        <w:t xml:space="preserve"> </w:t>
      </w:r>
      <w:r w:rsidRPr="00CD40FA">
        <w:rPr>
          <w:rFonts w:cs="Arial"/>
          <w:szCs w:val="22"/>
        </w:rPr>
        <w:t xml:space="preserve">70, ripercorsa la giurisprudenza costituzionale formatasi su provvedimenti di analogo tenore, evidenzia che non ogni intervento del legislatore sui meccanismi di rivalutazione delle pensioni è costituzionalmente illegittimo; in particolare, dunque, essa finisce per indicare alcuni princìpi e criteri che debbono circoscrivere e limitare la discrezionalità del legislatore, senza tuttavia annullarla; infatti: </w:t>
      </w:r>
      <w:r>
        <w:rPr>
          <w:rFonts w:cs="Arial"/>
          <w:szCs w:val="22"/>
        </w:rPr>
        <w:t>“</w:t>
      </w:r>
      <w:r w:rsidRPr="00CD40FA">
        <w:rPr>
          <w:rFonts w:cs="Arial"/>
          <w:szCs w:val="22"/>
        </w:rPr>
        <w:t>Il legislatore, sulla base di un ragionevole bilanciamento dei valori costituzionali deve «dettare la disciplina di un adeguato trattamento pensionistico, alla stregua delle risorse finanziarie attingibili e fatta salva la garanzia irrinunciabile delle esigenze minime di protezione della persona» (sentenza n.</w:t>
      </w:r>
      <w:r>
        <w:rPr>
          <w:rFonts w:cs="Arial"/>
          <w:szCs w:val="22"/>
        </w:rPr>
        <w:t xml:space="preserve"> </w:t>
      </w:r>
      <w:r w:rsidRPr="00CD40FA">
        <w:rPr>
          <w:rFonts w:cs="Arial"/>
          <w:szCs w:val="22"/>
        </w:rPr>
        <w:t>316 del 2010). [...] Al legislatore spetta, inoltre, individuare idonei meccanismi che assicurino la perdurante adeguatezza delle pensioni all'incremento del costo della vita. Così è avvenuto anche per la previdenza complementare [...] Pertanto, il criterio di ragionevolezza, così come delineato dalla giurisprudenza citata in relazione ai principi contenuti negli artt. 36, primo comma, e 38, secondo comma, Cost., circoscrive la discrezionalità del legislatore e vincola le sue scelte all'adozione di soluzioni coerenti con i parametri costituzionali</w:t>
      </w:r>
      <w:r>
        <w:rPr>
          <w:rFonts w:cs="Arial"/>
          <w:szCs w:val="22"/>
        </w:rPr>
        <w:t>”</w:t>
      </w:r>
      <w:r w:rsidRPr="00CD40FA">
        <w:rPr>
          <w:rFonts w:cs="Arial"/>
          <w:szCs w:val="22"/>
        </w:rPr>
        <w:t xml:space="preserve"> (punto 8 del Considerato in diritto);</w:t>
      </w:r>
    </w:p>
    <w:p w:rsidR="000B33A8" w:rsidRPr="00B91F58" w:rsidRDefault="000B33A8" w:rsidP="000B33A8">
      <w:pPr>
        <w:spacing w:after="120"/>
        <w:rPr>
          <w:rFonts w:cs="Arial"/>
          <w:szCs w:val="22"/>
        </w:rPr>
      </w:pPr>
      <w:r w:rsidRPr="00CD40FA">
        <w:rPr>
          <w:rFonts w:cs="Arial"/>
          <w:szCs w:val="22"/>
        </w:rPr>
        <w:t xml:space="preserve">conseguentemente, secondo la relazione illustrativa, l'articolo 1 del decreto-legge in esame </w:t>
      </w:r>
      <w:r>
        <w:rPr>
          <w:rFonts w:cs="Arial"/>
          <w:szCs w:val="22"/>
        </w:rPr>
        <w:t>“</w:t>
      </w:r>
      <w:r w:rsidRPr="00CD40FA">
        <w:rPr>
          <w:rFonts w:cs="Arial"/>
          <w:szCs w:val="22"/>
        </w:rPr>
        <w:t>detta una disciplina volta a ricondurre nell'alveo dei princìpi di proporzionalità e adeguatezza la riperequazione del trattamento pensionistico</w:t>
      </w:r>
      <w:r>
        <w:rPr>
          <w:rFonts w:cs="Arial"/>
          <w:szCs w:val="22"/>
        </w:rPr>
        <w:t>”</w:t>
      </w:r>
      <w:r w:rsidRPr="00CD40FA">
        <w:rPr>
          <w:rFonts w:cs="Arial"/>
          <w:szCs w:val="22"/>
        </w:rPr>
        <w:t xml:space="preserve"> nell'ambito dei parametri costituzionali cui deve attenersi il legislatore nell'esercizio della sua discrezionalità; la relazione dà quindi dettagliatamente conto delle ragioni alla base dell'intervento legislativo; il bilanciamento fra valori costituzionali perseguito dal legislatore è ribadito, altresì, esplicitamente nel corpo stesso del testo normativo, all'articolo 1, comma 1, alinea</w:t>
      </w:r>
      <w:r w:rsidRPr="00B91F58">
        <w:rPr>
          <w:rFonts w:cs="Arial"/>
          <w:szCs w:val="22"/>
        </w:rPr>
        <w:t>»;</w:t>
      </w:r>
      <w:r>
        <w:rPr>
          <w:rFonts w:cs="Arial"/>
          <w:szCs w:val="22"/>
        </w:rPr>
        <w:t xml:space="preserve"> </w:t>
      </w:r>
    </w:p>
    <w:p w:rsidR="000B33A8" w:rsidRPr="00B91F58" w:rsidRDefault="000B33A8" w:rsidP="000B33A8">
      <w:pPr>
        <w:spacing w:after="120"/>
        <w:rPr>
          <w:rFonts w:cs="Arial"/>
          <w:szCs w:val="22"/>
        </w:rPr>
      </w:pPr>
    </w:p>
    <w:p w:rsidR="000B33A8" w:rsidRPr="00B91F58" w:rsidRDefault="000B33A8" w:rsidP="000B33A8">
      <w:pPr>
        <w:spacing w:after="120"/>
        <w:rPr>
          <w:rFonts w:cs="Arial"/>
          <w:szCs w:val="22"/>
        </w:rPr>
      </w:pPr>
    </w:p>
    <w:p w:rsidR="000B33A8" w:rsidRPr="00B91F58" w:rsidRDefault="000B33A8" w:rsidP="000B33A8">
      <w:pPr>
        <w:rPr>
          <w:rFonts w:cs="Arial"/>
          <w:szCs w:val="22"/>
        </w:rPr>
      </w:pPr>
      <w:bookmarkStart w:id="388" w:name="S11a02"/>
      <w:r w:rsidRPr="00B91F58">
        <w:rPr>
          <w:rFonts w:cs="Arial"/>
          <w:szCs w:val="22"/>
        </w:rPr>
        <w:t xml:space="preserve">2 </w:t>
      </w:r>
      <w:bookmarkEnd w:id="388"/>
      <w:r w:rsidRPr="00B91F58">
        <w:rPr>
          <w:rFonts w:cs="Arial"/>
          <w:szCs w:val="22"/>
        </w:rPr>
        <w:t xml:space="preserve">– </w:t>
      </w:r>
      <w:hyperlink w:anchor="premessa1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E7627">
        <w:t xml:space="preserve">il decreto è </w:t>
      </w:r>
      <w:r w:rsidRPr="009E7627">
        <w:rPr>
          <w:b/>
        </w:rPr>
        <w:t>omogeneo per materia</w:t>
      </w:r>
      <w:r w:rsidRPr="009E7627">
        <w:t xml:space="preserve">, in quanto reca disposizioni concernenti, in sintesi, le pensioni (articolo 1: rivalutazione dei trattamenti; articolo 5: rivalutazione del montante contributivo; articolo 6: termini di pagamento), gli ammortizzatori sociali e i contratti di solidarietà (articoli 2, 3 e 4: rifinanziamenti), il </w:t>
      </w:r>
      <w:r>
        <w:t>“</w:t>
      </w:r>
      <w:r w:rsidRPr="009E7627">
        <w:t>TFR in busta paga</w:t>
      </w:r>
      <w:r>
        <w:t>”</w:t>
      </w:r>
      <w:r w:rsidRPr="009E7627">
        <w:t xml:space="preserve"> (articolo 7: semplificazioni procedurali): detti oggetti sono fra loro correlati, rientrando nell'alveo dei redditi da lavoro (in particolare, forme di retribuzione differita e di integrazione della retribuzione)</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603E3" w:rsidRDefault="000B33A8" w:rsidP="000B33A8">
      <w:pPr>
        <w:rPr>
          <w:rFonts w:cs="Arial"/>
          <w:szCs w:val="22"/>
        </w:rPr>
      </w:pPr>
      <w:bookmarkStart w:id="389" w:name="S11a03"/>
      <w:r w:rsidRPr="00B91F58">
        <w:rPr>
          <w:rFonts w:cs="Arial"/>
          <w:szCs w:val="22"/>
        </w:rPr>
        <w:t xml:space="preserve">3 </w:t>
      </w:r>
      <w:bookmarkEnd w:id="389"/>
      <w:r w:rsidRPr="00B91F58">
        <w:rPr>
          <w:rFonts w:cs="Arial"/>
          <w:szCs w:val="22"/>
        </w:rPr>
        <w:t xml:space="preserve">– </w:t>
      </w:r>
      <w:hyperlink w:anchor="premessa1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B603E3">
        <w:rPr>
          <w:rFonts w:cs="Arial"/>
          <w:szCs w:val="22"/>
        </w:rPr>
        <w:t xml:space="preserve">il decreto modifica in più punti, </w:t>
      </w:r>
      <w:r w:rsidRPr="00B603E3">
        <w:rPr>
          <w:rFonts w:cs="Arial"/>
          <w:b/>
          <w:szCs w:val="22"/>
        </w:rPr>
        <w:t>sia in modo testuale sia implicitamente</w:t>
      </w:r>
      <w:r w:rsidRPr="00B603E3">
        <w:rPr>
          <w:rFonts w:cs="Arial"/>
          <w:szCs w:val="22"/>
        </w:rPr>
        <w:t xml:space="preserve">, la </w:t>
      </w:r>
      <w:r w:rsidRPr="00B603E3">
        <w:rPr>
          <w:rFonts w:cs="Arial"/>
          <w:b/>
          <w:szCs w:val="22"/>
        </w:rPr>
        <w:t>recente legge</w:t>
      </w:r>
      <w:r w:rsidRPr="00B603E3">
        <w:rPr>
          <w:rFonts w:cs="Arial"/>
          <w:szCs w:val="22"/>
        </w:rPr>
        <w:t xml:space="preserve"> 23 dicembre 2014, n.</w:t>
      </w:r>
      <w:r>
        <w:rPr>
          <w:rFonts w:cs="Arial"/>
          <w:szCs w:val="22"/>
        </w:rPr>
        <w:t xml:space="preserve"> </w:t>
      </w:r>
      <w:r w:rsidRPr="00B603E3">
        <w:rPr>
          <w:rFonts w:cs="Arial"/>
          <w:szCs w:val="22"/>
        </w:rPr>
        <w:t xml:space="preserve">190 (legge di stabilità </w:t>
      </w:r>
      <w:r w:rsidRPr="00B603E3">
        <w:rPr>
          <w:rFonts w:cs="Arial"/>
          <w:szCs w:val="22"/>
        </w:rPr>
        <w:lastRenderedPageBreak/>
        <w:t>per il 2015), circostanza che, come rilevato già in occasioni analoghe, costituisce una modalità di produzione legislativa non pienamente conforme alle esigenze di stabilità, certezza e semplificazione della legislazione; in particolare, infatti:</w:t>
      </w:r>
    </w:p>
    <w:p w:rsidR="000B33A8" w:rsidRPr="00B603E3" w:rsidRDefault="000B33A8" w:rsidP="000B33A8">
      <w:pPr>
        <w:rPr>
          <w:rFonts w:cs="Arial"/>
          <w:szCs w:val="22"/>
        </w:rPr>
      </w:pPr>
      <w:r w:rsidRPr="00B603E3">
        <w:rPr>
          <w:rFonts w:cs="Arial"/>
          <w:szCs w:val="22"/>
        </w:rPr>
        <w:t>a) l'articolo 3 incrementa in modo non testuale le risorse destinate dall'articolo 1, comma 109, al rifinanziamento degli ammortizzatori sociali in deroga per il settore della pesca;</w:t>
      </w:r>
    </w:p>
    <w:p w:rsidR="000B33A8" w:rsidRPr="00B603E3" w:rsidRDefault="000B33A8" w:rsidP="000B33A8">
      <w:pPr>
        <w:rPr>
          <w:rFonts w:cs="Arial"/>
          <w:szCs w:val="22"/>
        </w:rPr>
      </w:pPr>
      <w:r w:rsidRPr="00B603E3">
        <w:rPr>
          <w:rFonts w:cs="Arial"/>
          <w:szCs w:val="22"/>
        </w:rPr>
        <w:t>b) l'articolo 6, comma 1, novella il comma 302, al fine di razionalizzare le procedure di pagamento dell'INPS;</w:t>
      </w:r>
    </w:p>
    <w:p w:rsidR="000B33A8" w:rsidRPr="00B91F58" w:rsidRDefault="000B33A8" w:rsidP="000B33A8">
      <w:pPr>
        <w:rPr>
          <w:rFonts w:cs="Arial"/>
          <w:szCs w:val="22"/>
        </w:rPr>
      </w:pPr>
      <w:r w:rsidRPr="00B603E3">
        <w:rPr>
          <w:rFonts w:cs="Arial"/>
          <w:szCs w:val="22"/>
        </w:rPr>
        <w:t>c) all'articolo 7, i commi 1 e 2 modificano – rispettivamente – i commi 30 e 32, in materia di anticipazione del trattamento di fine rapporto (TFR)</w:t>
      </w:r>
      <w:r w:rsidRPr="00B91F58">
        <w:rPr>
          <w:rFonts w:cs="Arial"/>
          <w:szCs w:val="22"/>
        </w:rPr>
        <w:t>»</w:t>
      </w:r>
      <w:r>
        <w:rPr>
          <w:rFonts w:cs="Arial"/>
          <w:szCs w:val="22"/>
        </w:rPr>
        <w:t xml:space="preserve"> (</w:t>
      </w:r>
      <w:hyperlink w:anchor="S11o03" w:history="1">
        <w:r w:rsidRPr="006649D0">
          <w:rPr>
            <w:rStyle w:val="Collegamentoipertestuale"/>
            <w:rFonts w:cs="Arial"/>
            <w:b/>
            <w:szCs w:val="22"/>
          </w:rPr>
          <w:t>conseguente osservazione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390" w:name="S11a04"/>
      <w:r>
        <w:rPr>
          <w:rFonts w:cs="Arial"/>
          <w:szCs w:val="22"/>
        </w:rPr>
        <w:t>4</w:t>
      </w:r>
      <w:r w:rsidRPr="00B91F58">
        <w:rPr>
          <w:rFonts w:cs="Arial"/>
          <w:szCs w:val="22"/>
        </w:rPr>
        <w:t xml:space="preserve"> </w:t>
      </w:r>
      <w:bookmarkEnd w:id="390"/>
      <w:r w:rsidRPr="00B91F58">
        <w:rPr>
          <w:rFonts w:cs="Arial"/>
          <w:szCs w:val="22"/>
        </w:rPr>
        <w:t xml:space="preserve">– </w:t>
      </w:r>
      <w:hyperlink w:anchor="premessa1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0E00AF">
        <w:rPr>
          <w:rFonts w:cs="Arial"/>
          <w:szCs w:val="22"/>
        </w:rPr>
        <w:t>l'articolo 1, comma 1, nel fare seguito, come detto, alla citata sentenza n.</w:t>
      </w:r>
      <w:r>
        <w:rPr>
          <w:rFonts w:cs="Arial"/>
          <w:szCs w:val="22"/>
        </w:rPr>
        <w:t xml:space="preserve"> </w:t>
      </w:r>
      <w:r w:rsidRPr="000E00AF">
        <w:rPr>
          <w:rFonts w:cs="Arial"/>
          <w:szCs w:val="22"/>
        </w:rPr>
        <w:t>70/2015, sostituisce il comma 25 e introduce il comma 25-bis nell'ambito dell'articolo 24 del decreto-legge n.</w:t>
      </w:r>
      <w:r>
        <w:rPr>
          <w:rFonts w:cs="Arial"/>
          <w:szCs w:val="22"/>
        </w:rPr>
        <w:t xml:space="preserve"> </w:t>
      </w:r>
      <w:r w:rsidRPr="000E00AF">
        <w:rPr>
          <w:rFonts w:cs="Arial"/>
          <w:szCs w:val="22"/>
        </w:rPr>
        <w:t xml:space="preserve">201 del 2011 (con cui era stato previsto il blocco della rivalutazione automatica dei trattamenti pensionistici di importo superiore a tre volte il trattamento minimo INPS per gli anni 2012-2013), prevedendo una nuova disciplina delle rivalutazioni; per il triennio 2014-2016, una disciplina </w:t>
      </w:r>
      <w:r w:rsidRPr="000E00AF">
        <w:rPr>
          <w:rFonts w:cs="Arial"/>
          <w:i/>
          <w:szCs w:val="22"/>
        </w:rPr>
        <w:t>ad hoc</w:t>
      </w:r>
      <w:r w:rsidRPr="000E00AF">
        <w:rPr>
          <w:rFonts w:cs="Arial"/>
          <w:szCs w:val="22"/>
        </w:rPr>
        <w:t xml:space="preserve"> delle rivalutazioni era già stata prevista dall'articolo 1, comma 483, della legge n.</w:t>
      </w:r>
      <w:r>
        <w:rPr>
          <w:rFonts w:cs="Arial"/>
          <w:szCs w:val="22"/>
        </w:rPr>
        <w:t xml:space="preserve"> </w:t>
      </w:r>
      <w:r w:rsidRPr="000E00AF">
        <w:rPr>
          <w:rFonts w:cs="Arial"/>
          <w:szCs w:val="22"/>
        </w:rPr>
        <w:t xml:space="preserve">147 del 2013 (legge di stabilità 2014); dunque, il meccanismo previsto per il triennio 2014-2016 con riguardo alla rivalutazione prevista per il biennio 2012-2013 </w:t>
      </w:r>
      <w:r w:rsidRPr="000E00AF">
        <w:rPr>
          <w:rFonts w:cs="Arial"/>
          <w:b/>
          <w:szCs w:val="22"/>
        </w:rPr>
        <w:t>si intreccia</w:t>
      </w:r>
      <w:r w:rsidRPr="000E00AF">
        <w:rPr>
          <w:rFonts w:cs="Arial"/>
          <w:szCs w:val="22"/>
        </w:rPr>
        <w:t xml:space="preserve"> con il meccanismo di rivalutazione previsto per il medesimo triennio 2014-2016 dall'articolo 1, comma 483, della legge 27 dicembre 2013, n.</w:t>
      </w:r>
      <w:r>
        <w:rPr>
          <w:rFonts w:cs="Arial"/>
          <w:szCs w:val="22"/>
        </w:rPr>
        <w:t xml:space="preserve"> </w:t>
      </w:r>
      <w:r w:rsidRPr="000E00AF">
        <w:rPr>
          <w:rFonts w:cs="Arial"/>
          <w:szCs w:val="22"/>
        </w:rPr>
        <w:t>147: andrebbe quindi valutata l'opportunità di specificare su quale importo previdenziale (rivalutato ai sensi del comma 1), operi il meccanismo di rivalutazione automatica già previsto, per gli anni 2014-2016, dalla legge di stabilità per il 2014</w:t>
      </w:r>
      <w:r w:rsidRPr="00B91F58">
        <w:rPr>
          <w:rFonts w:cs="Arial"/>
          <w:szCs w:val="22"/>
        </w:rPr>
        <w:t>»</w:t>
      </w:r>
      <w:r>
        <w:rPr>
          <w:rFonts w:cs="Arial"/>
          <w:szCs w:val="22"/>
        </w:rPr>
        <w:t xml:space="preserve"> (</w:t>
      </w:r>
      <w:hyperlink w:anchor="S11o02" w:history="1">
        <w:r w:rsidRPr="006649D0">
          <w:rPr>
            <w:rStyle w:val="Collegamentoipertestuale"/>
            <w:rFonts w:cs="Arial"/>
            <w:b/>
            <w:szCs w:val="22"/>
          </w:rPr>
          <w:t>conseguente osservazione</w:t>
        </w:r>
      </w:hyperlink>
      <w:r>
        <w:rPr>
          <w:rFonts w:cs="Arial"/>
          <w:szCs w:val="22"/>
        </w:rPr>
        <w:t xml:space="preserve">); </w:t>
      </w:r>
    </w:p>
    <w:p w:rsidR="000B33A8" w:rsidRDefault="000B33A8" w:rsidP="000B33A8">
      <w:pPr>
        <w:spacing w:after="120"/>
        <w:rPr>
          <w:rFonts w:cs="Arial"/>
          <w:szCs w:val="22"/>
        </w:rPr>
      </w:pPr>
    </w:p>
    <w:p w:rsidR="000B33A8" w:rsidRDefault="000B33A8" w:rsidP="000B33A8">
      <w:pPr>
        <w:spacing w:after="120"/>
        <w:rPr>
          <w:rFonts w:cs="Arial"/>
          <w:szCs w:val="22"/>
        </w:rPr>
      </w:pPr>
    </w:p>
    <w:p w:rsidR="000B33A8" w:rsidRPr="00B91F58" w:rsidRDefault="000B33A8" w:rsidP="000B33A8">
      <w:pPr>
        <w:spacing w:after="120"/>
        <w:rPr>
          <w:rFonts w:cs="Arial"/>
          <w:szCs w:val="22"/>
        </w:rPr>
      </w:pPr>
      <w:bookmarkStart w:id="391" w:name="S11a05"/>
      <w:r>
        <w:rPr>
          <w:rFonts w:cs="Arial"/>
          <w:szCs w:val="22"/>
        </w:rPr>
        <w:t>5</w:t>
      </w:r>
      <w:r w:rsidRPr="00B91F58">
        <w:rPr>
          <w:rFonts w:cs="Arial"/>
          <w:szCs w:val="22"/>
        </w:rPr>
        <w:t xml:space="preserve"> </w:t>
      </w:r>
      <w:bookmarkEnd w:id="391"/>
      <w:r w:rsidRPr="00B91F58">
        <w:rPr>
          <w:rFonts w:cs="Arial"/>
          <w:szCs w:val="22"/>
        </w:rPr>
        <w:t xml:space="preserve">– </w:t>
      </w:r>
      <w:hyperlink w:anchor="premessa1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844964">
        <w:t>l'articolo 1, comma 1, alinea, premette testualmente che le modificazioni al decreto-legge n.</w:t>
      </w:r>
      <w:r>
        <w:t xml:space="preserve"> </w:t>
      </w:r>
      <w:r w:rsidRPr="00844964">
        <w:t xml:space="preserve">201 del 2011 avvengono: </w:t>
      </w:r>
      <w:r>
        <w:t>“</w:t>
      </w:r>
      <w:r w:rsidRPr="00844964">
        <w:rPr>
          <w:i/>
          <w:iCs/>
        </w:rPr>
        <w:t>Al fine di dare attuazione ai princìpi enunciati nella sentenza della Corte costituzionale n.</w:t>
      </w:r>
      <w:r>
        <w:rPr>
          <w:i/>
          <w:iCs/>
        </w:rPr>
        <w:t xml:space="preserve"> </w:t>
      </w:r>
      <w:r w:rsidRPr="00844964">
        <w:rPr>
          <w:i/>
          <w:iCs/>
        </w:rPr>
        <w:t>70 del 2015, nel rispetto del principio dell'equilibrio di bilancio e degli obiettivi di finanza pubblica, assicurando la tutela dei livelli essenziali delle prestazioni concernenti i diritti civili e sociali, anche in funzione della salvaguardia della solidarietà intergenerazionale</w:t>
      </w:r>
      <w:r w:rsidRPr="00844964">
        <w:t>...</w:t>
      </w:r>
      <w:r>
        <w:t>”</w:t>
      </w:r>
      <w:r w:rsidRPr="00844964">
        <w:t xml:space="preserve">; tale </w:t>
      </w:r>
      <w:r w:rsidRPr="00844964">
        <w:rPr>
          <w:b/>
        </w:rPr>
        <w:t>esplicitazione delle finalità</w:t>
      </w:r>
      <w:r w:rsidRPr="00844964">
        <w:t xml:space="preserve">, del bilanciamento perseguito nonché dei vincoli costituzionali a prima vista parrebbe di dubbia portata normativa, in quanto </w:t>
      </w:r>
      <w:r w:rsidRPr="00844964">
        <w:rPr>
          <w:b/>
        </w:rPr>
        <w:t>non ha carattere effettivamente innovativo dell'ordinamento vigente</w:t>
      </w:r>
      <w:r w:rsidRPr="00844964">
        <w:t xml:space="preserve"> ed è </w:t>
      </w:r>
      <w:r w:rsidRPr="00844964">
        <w:rPr>
          <w:b/>
        </w:rPr>
        <w:t>meramente descrittiva</w:t>
      </w:r>
      <w:r w:rsidRPr="00844964">
        <w:t xml:space="preserve"> di elementi del contesto istituzionale nel quale è posta in essere la norma: tuttavia, nel caso di specie, </w:t>
      </w:r>
      <w:r w:rsidRPr="00844964">
        <w:lastRenderedPageBreak/>
        <w:t>essa appare rispondente a un espresso richiamo della Corte costituzionale che nella citata sentenza n.</w:t>
      </w:r>
      <w:r>
        <w:t xml:space="preserve"> </w:t>
      </w:r>
      <w:r w:rsidRPr="00844964">
        <w:t xml:space="preserve">70 ha osservato, fra l'altro, che la disposizione annullata </w:t>
      </w:r>
      <w:r>
        <w:t>“</w:t>
      </w:r>
      <w:r w:rsidRPr="00844964">
        <w:rPr>
          <w:i/>
          <w:iCs/>
        </w:rPr>
        <w:t xml:space="preserve">si limita a richiamare genericamente la </w:t>
      </w:r>
      <w:r>
        <w:rPr>
          <w:i/>
          <w:iCs/>
        </w:rPr>
        <w:t>‘</w:t>
      </w:r>
      <w:r w:rsidRPr="00844964">
        <w:rPr>
          <w:i/>
          <w:iCs/>
        </w:rPr>
        <w:t>contingente situazione finanziaria</w:t>
      </w:r>
      <w:r>
        <w:rPr>
          <w:i/>
          <w:iCs/>
        </w:rPr>
        <w:t>’</w:t>
      </w:r>
      <w:r w:rsidRPr="00844964">
        <w:rPr>
          <w:i/>
          <w:iCs/>
        </w:rPr>
        <w:t>, senza che emerga dal disegno complessivo Pag. 6la necessaria prevalenza delle esigenze finanziarie sui diritti oggetto di bilanciamento, nei cui confronti si effettuano interventi così fortemente incisivi</w:t>
      </w:r>
      <w:r w:rsidRPr="00844964">
        <w:t>. ..</w:t>
      </w:r>
      <w:r>
        <w:t>”</w:t>
      </w:r>
      <w:r w:rsidRPr="00844964">
        <w:t xml:space="preserve">; poiché dunque il giudice delle leggi – in questa sentenza – sembra richiedere al legislatore l'esplicitazione, nello stesso testo normativo e non </w:t>
      </w:r>
      <w:r w:rsidRPr="00844964">
        <w:rPr>
          <w:i/>
          <w:iCs/>
        </w:rPr>
        <w:t>ab extra</w:t>
      </w:r>
      <w:r w:rsidRPr="00844964">
        <w:t>, del percorso logico seguito nell'esercizio della sua discrezionalità, nel caso di specie la predetta premessa appare giustificata</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392" w:name="S11a06"/>
      <w:r>
        <w:rPr>
          <w:rFonts w:cs="Arial"/>
          <w:szCs w:val="22"/>
        </w:rPr>
        <w:t>6</w:t>
      </w:r>
      <w:r w:rsidRPr="00B91F58">
        <w:rPr>
          <w:rFonts w:cs="Arial"/>
          <w:szCs w:val="22"/>
        </w:rPr>
        <w:t xml:space="preserve"> </w:t>
      </w:r>
      <w:bookmarkEnd w:id="392"/>
      <w:r w:rsidRPr="00B91F58">
        <w:rPr>
          <w:rFonts w:cs="Arial"/>
          <w:szCs w:val="22"/>
        </w:rPr>
        <w:t xml:space="preserve">– </w:t>
      </w:r>
      <w:hyperlink w:anchor="premessa1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07C0B">
        <w:t xml:space="preserve">l'articolo 1, comma 2, prevede che le disposizioni in esame </w:t>
      </w:r>
      <w:r>
        <w:t>“</w:t>
      </w:r>
      <w:r w:rsidRPr="00707C0B">
        <w:rPr>
          <w:i/>
          <w:iCs/>
        </w:rPr>
        <w:t>si riferiscono a ogni singolo beneficiario in funzione dell'importo complessivo di tutti i trattamenti pensionistici in godimento, inclusi gli assegni vitalizi derivanti da uffici elettivi</w:t>
      </w:r>
      <w:r>
        <w:t>”</w:t>
      </w:r>
      <w:r w:rsidRPr="00707C0B">
        <w:t xml:space="preserve">; tale formulazione sembrerebbe, testualmente, presupporre che l'assegno vitalizio sia un tipo di trattamento previdenziale benché </w:t>
      </w:r>
      <w:r>
        <w:t>“</w:t>
      </w:r>
      <w:r w:rsidRPr="00707C0B">
        <w:rPr>
          <w:i/>
          <w:iCs/>
        </w:rPr>
        <w:t>Tra le due situazioni – nonostante la presenza di alcuni profili di affinità – non sussiste, infatti, una identità né di natura né di regime giuridico...</w:t>
      </w:r>
      <w:r>
        <w:t>”</w:t>
      </w:r>
      <w:r w:rsidRPr="00707C0B">
        <w:t xml:space="preserve"> (</w:t>
      </w:r>
      <w:r w:rsidRPr="00707C0B">
        <w:rPr>
          <w:b/>
        </w:rPr>
        <w:t>sent. C. Cost. n. 289 del 1994</w:t>
      </w:r>
      <w:r w:rsidRPr="00707C0B">
        <w:t xml:space="preserve">, richiamata e condivisa dalla </w:t>
      </w:r>
      <w:r w:rsidRPr="00707C0B">
        <w:rPr>
          <w:b/>
        </w:rPr>
        <w:t>Corte di Cassazione</w:t>
      </w:r>
      <w:r w:rsidRPr="00707C0B">
        <w:t>, con</w:t>
      </w:r>
      <w:r w:rsidRPr="00707C0B">
        <w:rPr>
          <w:b/>
        </w:rPr>
        <w:t xml:space="preserve"> sent. n. 23793 del 2010</w:t>
      </w:r>
      <w:r w:rsidRPr="00707C0B">
        <w:t xml:space="preserve">); in effetti, si tratta invece di una </w:t>
      </w:r>
      <w:r w:rsidRPr="00707C0B">
        <w:rPr>
          <w:b/>
        </w:rPr>
        <w:t>previsione implicitamente derogatoria e transitoria</w:t>
      </w:r>
      <w:r w:rsidRPr="00707C0B">
        <w:t>, circoscritta alla determinazione della rivalutazione di cui all'articolo 1, comma 1, del decreto in esame; si dovrebbe valutare l'opportunità e il modo di riformulare la disposizione in modo tecnicamente più corretto, pur mantenendo fermo il medesimo contenuto dispositivo</w:t>
      </w:r>
      <w:r w:rsidRPr="00B91F58">
        <w:rPr>
          <w:rFonts w:cs="Arial"/>
          <w:szCs w:val="22"/>
        </w:rPr>
        <w:t>»</w:t>
      </w:r>
      <w:r>
        <w:rPr>
          <w:rFonts w:cs="Arial"/>
          <w:szCs w:val="22"/>
        </w:rPr>
        <w:t>; (</w:t>
      </w:r>
      <w:hyperlink w:anchor="S11o01" w:history="1">
        <w:r w:rsidRPr="006649D0">
          <w:rPr>
            <w:rStyle w:val="Collegamentoipertestuale"/>
            <w:rFonts w:cs="Arial"/>
            <w:b/>
            <w:szCs w:val="22"/>
          </w:rPr>
          <w:t>conseguente osservazione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393" w:name="S11a07"/>
      <w:r>
        <w:rPr>
          <w:rFonts w:cs="Arial"/>
          <w:szCs w:val="22"/>
        </w:rPr>
        <w:t>7</w:t>
      </w:r>
      <w:r w:rsidRPr="00B91F58">
        <w:rPr>
          <w:rFonts w:cs="Arial"/>
          <w:szCs w:val="22"/>
        </w:rPr>
        <w:t xml:space="preserve"> </w:t>
      </w:r>
      <w:bookmarkEnd w:id="393"/>
      <w:r w:rsidRPr="00B91F58">
        <w:rPr>
          <w:rFonts w:cs="Arial"/>
          <w:szCs w:val="22"/>
        </w:rPr>
        <w:t xml:space="preserve">– </w:t>
      </w:r>
      <w:hyperlink w:anchor="premessa1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D2E56">
        <w:rPr>
          <w:rFonts w:cs="Arial"/>
          <w:szCs w:val="22"/>
        </w:rPr>
        <w:t>il disegno di legge di conversione non è corredato della relazione sull'analisi tecnico-normativa (</w:t>
      </w:r>
      <w:r w:rsidRPr="003D2E56">
        <w:rPr>
          <w:rFonts w:cs="Arial"/>
          <w:b/>
          <w:szCs w:val="22"/>
        </w:rPr>
        <w:t>ATN</w:t>
      </w:r>
      <w:r w:rsidRPr="003D2E56">
        <w:rPr>
          <w:rFonts w:cs="Arial"/>
          <w:szCs w:val="22"/>
        </w:rPr>
        <w:t>), né è provvisto della relazione sull'analisi di impatto della regolamentazione (</w:t>
      </w:r>
      <w:r w:rsidRPr="003D2E56">
        <w:rPr>
          <w:rFonts w:cs="Arial"/>
          <w:b/>
          <w:szCs w:val="22"/>
        </w:rPr>
        <w:t>AIR</w:t>
      </w:r>
      <w:r w:rsidRPr="003D2E56">
        <w:rPr>
          <w:rFonts w:cs="Arial"/>
          <w:szCs w:val="22"/>
        </w:rPr>
        <w:t>), senza che nella relazione di accompagnamento si riferisca in merito all'eventuale esenzione dall'obbligo di redigerla, in difformità dunque da quanto statuito dall'articolo 9 del decreto del Presidente del Consiglio dei Ministri n.</w:t>
      </w:r>
      <w:r>
        <w:rPr>
          <w:rFonts w:cs="Arial"/>
          <w:szCs w:val="22"/>
        </w:rPr>
        <w:t xml:space="preserve"> </w:t>
      </w:r>
      <w:r w:rsidRPr="003D2E56">
        <w:rPr>
          <w:rFonts w:cs="Arial"/>
          <w:szCs w:val="22"/>
        </w:rPr>
        <w:t>170 del 2008</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Pr="00CC2FFB" w:rsidRDefault="000B33A8" w:rsidP="000B33A8">
      <w:pPr>
        <w:keepNext/>
        <w:ind w:firstLine="0"/>
        <w:rPr>
          <w:rFonts w:cs="Arial"/>
          <w:b/>
          <w:szCs w:val="22"/>
        </w:rPr>
      </w:pPr>
      <w:bookmarkStart w:id="394" w:name="S11O"/>
      <w:r w:rsidRPr="00CC2FFB">
        <w:rPr>
          <w:rFonts w:cs="Arial"/>
          <w:b/>
          <w:szCs w:val="22"/>
        </w:rPr>
        <w:lastRenderedPageBreak/>
        <w:t>Osservazioni:</w:t>
      </w:r>
    </w:p>
    <w:bookmarkEnd w:id="394"/>
    <w:p w:rsidR="000B33A8" w:rsidRDefault="000B33A8" w:rsidP="000B33A8">
      <w:pPr>
        <w:keepNext/>
        <w:ind w:firstLine="0"/>
        <w:rPr>
          <w:rFonts w:cs="Arial"/>
          <w:i/>
          <w:szCs w:val="22"/>
        </w:rPr>
      </w:pPr>
      <w:r w:rsidRPr="00261390">
        <w:rPr>
          <w:rFonts w:cs="Arial"/>
          <w:i/>
          <w:szCs w:val="22"/>
        </w:rPr>
        <w:t>sotto il profilo della chiarezza e della proprietà della formulazione:</w:t>
      </w:r>
      <w:r>
        <w:rPr>
          <w:rFonts w:cs="Arial"/>
          <w:i/>
          <w:szCs w:val="22"/>
        </w:rPr>
        <w:t>:</w:t>
      </w:r>
    </w:p>
    <w:p w:rsidR="000B33A8" w:rsidRDefault="000B33A8" w:rsidP="00B26E1F">
      <w:pPr>
        <w:pStyle w:val="Paragrafoelenco"/>
        <w:numPr>
          <w:ilvl w:val="0"/>
          <w:numId w:val="39"/>
        </w:numPr>
        <w:ind w:left="567" w:hanging="283"/>
        <w:rPr>
          <w:rFonts w:cs="Arial"/>
          <w:szCs w:val="22"/>
        </w:rPr>
      </w:pPr>
      <w:bookmarkStart w:id="395" w:name="S11o01"/>
      <w:r w:rsidRPr="00061F0C">
        <w:rPr>
          <w:rFonts w:cs="Arial"/>
          <w:szCs w:val="22"/>
        </w:rPr>
        <w:t xml:space="preserve">all'articolo 1, comma </w:t>
      </w:r>
      <w:bookmarkEnd w:id="395"/>
      <w:r w:rsidRPr="00061F0C">
        <w:rPr>
          <w:rFonts w:cs="Arial"/>
          <w:szCs w:val="22"/>
        </w:rPr>
        <w:t>2, si dovrebbe valutare l'opportunità e il modo di riformulare la disposizione in modo tecnicamente più corretto, pur mantenendo fermo il medesimo contenuto dispositivo</w:t>
      </w:r>
      <w:r w:rsidRPr="00261390">
        <w:rPr>
          <w:rFonts w:cs="Arial"/>
          <w:szCs w:val="22"/>
        </w:rPr>
        <w:t>;</w:t>
      </w:r>
      <w:r>
        <w:rPr>
          <w:rFonts w:cs="Arial"/>
          <w:szCs w:val="22"/>
        </w:rPr>
        <w:t xml:space="preserve"> [</w:t>
      </w:r>
      <w:hyperlink w:anchor="premessa11" w:history="1">
        <w:r w:rsidRPr="00261390">
          <w:rPr>
            <w:rStyle w:val="Collegamentoipertestuale"/>
            <w:rFonts w:cs="Arial"/>
            <w:szCs w:val="22"/>
          </w:rPr>
          <w:t>torna su</w:t>
        </w:r>
      </w:hyperlink>
      <w:r>
        <w:rPr>
          <w:rFonts w:cs="Arial"/>
          <w:szCs w:val="22"/>
        </w:rPr>
        <w:t xml:space="preserve">] </w:t>
      </w:r>
    </w:p>
    <w:p w:rsidR="000B33A8" w:rsidRDefault="000B33A8" w:rsidP="000B33A8">
      <w:pPr>
        <w:pStyle w:val="Paragrafoelenco"/>
        <w:ind w:left="567" w:hanging="283"/>
        <w:rPr>
          <w:rFonts w:cs="Arial"/>
          <w:szCs w:val="22"/>
        </w:rPr>
      </w:pPr>
    </w:p>
    <w:p w:rsidR="000B33A8" w:rsidRPr="00261390" w:rsidRDefault="000B33A8" w:rsidP="000B33A8">
      <w:pPr>
        <w:ind w:left="567" w:hanging="283"/>
        <w:rPr>
          <w:rFonts w:cs="Arial"/>
          <w:i/>
          <w:szCs w:val="22"/>
        </w:rPr>
      </w:pPr>
      <w:r>
        <w:rPr>
          <w:rFonts w:cs="Arial"/>
          <w:i/>
          <w:szCs w:val="22"/>
        </w:rPr>
        <w:t>sotto il profilo dell’efficacia del testo per la semplificazione e il riordinamento della legislazione vigente:</w:t>
      </w:r>
    </w:p>
    <w:p w:rsidR="000B33A8" w:rsidRDefault="000B33A8" w:rsidP="00B26E1F">
      <w:pPr>
        <w:pStyle w:val="Paragrafoelenco"/>
        <w:numPr>
          <w:ilvl w:val="0"/>
          <w:numId w:val="39"/>
        </w:numPr>
        <w:ind w:left="567" w:hanging="283"/>
        <w:rPr>
          <w:rFonts w:cs="Arial"/>
          <w:szCs w:val="22"/>
        </w:rPr>
      </w:pPr>
      <w:bookmarkStart w:id="396" w:name="S11o02"/>
      <w:r w:rsidRPr="00061F0C">
        <w:rPr>
          <w:rFonts w:cs="Arial"/>
          <w:szCs w:val="22"/>
        </w:rPr>
        <w:t xml:space="preserve">si dovrebbe valutare se </w:t>
      </w:r>
      <w:bookmarkEnd w:id="396"/>
      <w:r w:rsidRPr="00061F0C">
        <w:rPr>
          <w:rFonts w:cs="Arial"/>
          <w:szCs w:val="22"/>
        </w:rPr>
        <w:t>e come sia opportuno coordinare la disciplina delle rivalutazioni disposta dall'articolo 1, comma 1, del decreto-legge in esame con la disciplina delle rivalutazioni già prevista per il triennio 2014-2016 dall'articolo 1, comma 483, della legge n.</w:t>
      </w:r>
      <w:r>
        <w:rPr>
          <w:rFonts w:cs="Arial"/>
          <w:szCs w:val="22"/>
        </w:rPr>
        <w:t xml:space="preserve"> </w:t>
      </w:r>
      <w:r w:rsidRPr="00061F0C">
        <w:rPr>
          <w:rFonts w:cs="Arial"/>
          <w:szCs w:val="22"/>
        </w:rPr>
        <w:t>147 del 2013 (legge di stabilità 2014)</w:t>
      </w:r>
      <w:r>
        <w:rPr>
          <w:rFonts w:cs="Arial"/>
          <w:szCs w:val="22"/>
        </w:rPr>
        <w:t>; [</w:t>
      </w:r>
      <w:hyperlink w:anchor="premessa11" w:history="1">
        <w:r w:rsidRPr="00261390">
          <w:rPr>
            <w:rStyle w:val="Collegamentoipertestuale"/>
            <w:rFonts w:cs="Arial"/>
            <w:szCs w:val="22"/>
          </w:rPr>
          <w:t>torna su</w:t>
        </w:r>
      </w:hyperlink>
      <w:r>
        <w:rPr>
          <w:rFonts w:cs="Arial"/>
          <w:szCs w:val="22"/>
        </w:rPr>
        <w:t>]</w:t>
      </w:r>
    </w:p>
    <w:p w:rsidR="000B33A8" w:rsidRDefault="000B33A8" w:rsidP="00B26E1F">
      <w:pPr>
        <w:pStyle w:val="Paragrafoelenco"/>
        <w:numPr>
          <w:ilvl w:val="0"/>
          <w:numId w:val="39"/>
        </w:numPr>
        <w:ind w:left="567" w:hanging="283"/>
        <w:rPr>
          <w:rFonts w:cs="Arial"/>
          <w:szCs w:val="22"/>
        </w:rPr>
      </w:pPr>
      <w:bookmarkStart w:id="397" w:name="S11o03"/>
      <w:r w:rsidRPr="00061F0C">
        <w:rPr>
          <w:rFonts w:cs="Arial"/>
          <w:szCs w:val="22"/>
        </w:rPr>
        <w:t xml:space="preserve">all'articolo 3, comma </w:t>
      </w:r>
      <w:bookmarkEnd w:id="397"/>
      <w:r w:rsidRPr="00061F0C">
        <w:rPr>
          <w:rFonts w:cs="Arial"/>
          <w:szCs w:val="22"/>
        </w:rPr>
        <w:t>1, che incide sulla legge di stabilità in modo non testuale, il rifinanziamento dovrebbe essere riformulato in termini di novella</w:t>
      </w:r>
      <w:r>
        <w:rPr>
          <w:rFonts w:cs="Arial"/>
          <w:szCs w:val="22"/>
        </w:rPr>
        <w:t>. [</w:t>
      </w:r>
      <w:hyperlink w:anchor="premessa11" w:history="1">
        <w:r w:rsidRPr="00261390">
          <w:rPr>
            <w:rStyle w:val="Collegamentoipertestuale"/>
            <w:rFonts w:cs="Arial"/>
            <w:szCs w:val="22"/>
          </w:rPr>
          <w:t>torna su</w:t>
        </w:r>
      </w:hyperlink>
      <w:r>
        <w:rPr>
          <w:rFonts w:cs="Arial"/>
          <w:szCs w:val="22"/>
        </w:rPr>
        <w:t>]</w:t>
      </w:r>
    </w:p>
    <w:p w:rsidR="000B33A8" w:rsidRDefault="000B33A8" w:rsidP="000B33A8">
      <w:pPr>
        <w:pStyle w:val="Paragrafoelenco"/>
        <w:ind w:firstLine="0"/>
        <w:rPr>
          <w:rFonts w:cs="Arial"/>
          <w:szCs w:val="22"/>
        </w:rPr>
      </w:pPr>
    </w:p>
    <w:p w:rsidR="000B33A8" w:rsidRPr="004325F3" w:rsidRDefault="000B33A8" w:rsidP="000B33A8">
      <w:pPr>
        <w:pStyle w:val="Paragrafoelenco"/>
        <w:ind w:firstLine="0"/>
        <w:rPr>
          <w:rFonts w:cs="Arial"/>
          <w:szCs w:val="22"/>
        </w:rPr>
      </w:pPr>
      <w:r>
        <w:rPr>
          <w:rFonts w:cs="Arial"/>
          <w:szCs w:val="22"/>
        </w:rPr>
        <w:t xml:space="preserve"> </w:t>
      </w:r>
    </w:p>
    <w:p w:rsidR="000B33A8" w:rsidRDefault="000B33A8" w:rsidP="000B33A8">
      <w:pPr>
        <w:ind w:firstLine="0"/>
        <w:rPr>
          <w:rFonts w:cs="Arial"/>
          <w:i/>
          <w:szCs w:val="22"/>
        </w:rPr>
        <w:sectPr w:rsidR="000B33A8" w:rsidSect="000B33A8">
          <w:headerReference w:type="default" r:id="rId332"/>
          <w:footerReference w:type="even" r:id="rId333"/>
          <w:footerReference w:type="default" r:id="rId334"/>
          <w:pgSz w:w="11906" w:h="16838" w:code="9"/>
          <w:pgMar w:top="1985" w:right="1985" w:bottom="1985" w:left="1985" w:header="1134" w:footer="1134" w:gutter="0"/>
          <w:cols w:space="720"/>
          <w:formProt w:val="0"/>
        </w:sectPr>
      </w:pPr>
    </w:p>
    <w:p w:rsidR="000B33A8" w:rsidRPr="005C7D5A" w:rsidRDefault="000B33A8" w:rsidP="000B33A8">
      <w:pPr>
        <w:ind w:firstLine="0"/>
        <w:rPr>
          <w:rFonts w:cs="Arial"/>
          <w:i/>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0012</w:t>
            </w:r>
          </w:p>
        </w:tc>
        <w:tc>
          <w:tcPr>
            <w:tcW w:w="750" w:type="pct"/>
            <w:shd w:val="clear" w:color="auto" w:fill="auto"/>
          </w:tcPr>
          <w:p w:rsidR="000B33A8" w:rsidRPr="00B26E1F" w:rsidRDefault="000B33A8" w:rsidP="000B33A8">
            <w:pPr>
              <w:pStyle w:val="Collegamento"/>
              <w:rPr>
                <w:rFonts w:cs="Arial"/>
              </w:rPr>
            </w:pPr>
            <w:r w:rsidRPr="00B26E1F">
              <w:rPr>
                <w:rFonts w:cs="Arial"/>
              </w:rPr>
              <w:t>3098</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35" w:history="1">
              <w:r w:rsidR="000B33A8" w:rsidRPr="00B26E1F">
                <w:rPr>
                  <w:rStyle w:val="Collegamentoipertestuale"/>
                  <w:rFonts w:cs="Arial"/>
                </w:rPr>
                <w:t>ddl Governo</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Delega per riorganizzazione PA</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highlight w:val="yellow"/>
              </w:rPr>
            </w:pPr>
            <w:hyperlink r:id="rId336" w:anchor="data.20150611.com48.bollettino.sede00010.tit00010" w:history="1">
              <w:r w:rsidR="000B33A8" w:rsidRPr="00A53CEA">
                <w:rPr>
                  <w:rStyle w:val="Collegamentoipertestuale"/>
                </w:rPr>
                <w:t>11/06/2015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6-</w:t>
            </w:r>
            <w:r w:rsidRPr="00B26E1F">
              <w:rPr>
                <w:rFonts w:cs="Arial"/>
                <w:b/>
                <w:bCs/>
                <w:i/>
                <w:sz w:val="24"/>
              </w:rPr>
              <w:t>BIS</w:t>
            </w:r>
            <w:r w:rsidRPr="00B26E1F">
              <w:rPr>
                <w:rFonts w:cs="Arial"/>
                <w:b/>
                <w:bCs/>
                <w:sz w:val="24"/>
              </w:rPr>
              <w:t>,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398" w:name="premessa12"/>
            <w:r w:rsidRPr="00B26E1F">
              <w:rPr>
                <w:rFonts w:cs="Arial"/>
                <w:b/>
                <w:color w:val="0000FF"/>
                <w:sz w:val="24"/>
                <w:szCs w:val="24"/>
              </w:rPr>
              <w:t>Premessa</w:t>
            </w:r>
            <w:bookmarkEnd w:id="398"/>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6 Condizioni, 5 Osservazioni</w:t>
            </w:r>
          </w:p>
        </w:tc>
      </w:tr>
      <w:tr w:rsidR="000B33A8" w:rsidRPr="008B2DCE" w:rsidTr="00B26E1F">
        <w:trPr>
          <w:trHeight w:val="69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2a01" w:history="1">
              <w:r w:rsidR="000B33A8" w:rsidRPr="00D40FBA">
                <w:rPr>
                  <w:rStyle w:val="Collegamentoipertestuale"/>
                </w:rPr>
                <w:t>1</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697"/>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2a02" w:history="1">
              <w:r w:rsidR="000B33A8" w:rsidRPr="00812559">
                <w:rPr>
                  <w:rStyle w:val="Collegamentoipertestuale"/>
                </w:rPr>
                <w:t>2</w:t>
              </w:r>
            </w:hyperlink>
            <w:r w:rsidR="000B33A8" w:rsidRPr="00B26E1F">
              <w:rPr>
                <w:rFonts w:cs="Arial"/>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Principi e criteri direttivi in alcuni casi sovrapposti all’oggetto della delega. Richiamo al punto 2, lettera </w:t>
            </w:r>
            <w:r w:rsidRPr="00B26E1F">
              <w:rPr>
                <w:rFonts w:cs="Arial"/>
                <w:i/>
              </w:rPr>
              <w:t>d)</w:t>
            </w:r>
            <w:r w:rsidRPr="00B26E1F">
              <w:rPr>
                <w:rFonts w:cs="Arial"/>
              </w:rPr>
              <w:t xml:space="preserve"> della circolare sulla formulazione tecnica dei testi normativi.</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2a03" w:history="1">
              <w:r w:rsidR="000B33A8" w:rsidRPr="00812559">
                <w:rPr>
                  <w:rStyle w:val="Collegamentoipertestuale"/>
                </w:rPr>
                <w:t>3</w:t>
              </w:r>
            </w:hyperlink>
            <w:r w:rsidR="000B33A8" w:rsidRPr="00B26E1F">
              <w:rPr>
                <w:rFonts w:cs="Arial"/>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after="120"/>
              <w:ind w:firstLine="0"/>
              <w:rPr>
                <w:rFonts w:cs="Arial"/>
              </w:rPr>
            </w:pPr>
            <w:r w:rsidRPr="00B26E1F">
              <w:rPr>
                <w:rFonts w:cs="Arial"/>
              </w:rPr>
              <w:t>Principi e criteri direttivi formulati con espressioni che fanno riferimento a mere eventualità o ad opzioni alternative selezionabili dal Governo delegato. Richiamo alle sentenze n. 68/1991 e n. 340/2007 della Corte costituzionale.</w:t>
            </w:r>
          </w:p>
          <w:p w:rsidR="000B33A8" w:rsidRPr="00B26E1F" w:rsidRDefault="000B33A8" w:rsidP="00B26E1F">
            <w:pPr>
              <w:spacing w:before="100" w:beforeAutospacing="1" w:after="100" w:afterAutospacing="1"/>
              <w:ind w:firstLine="0"/>
              <w:rPr>
                <w:rFonts w:cs="Arial"/>
              </w:rPr>
            </w:pPr>
            <w:r w:rsidRPr="00B26E1F">
              <w:rPr>
                <w:rFonts w:cs="Arial"/>
              </w:rPr>
              <w:t>Condizione 4</w:t>
            </w:r>
          </w:p>
        </w:tc>
      </w:tr>
      <w:tr w:rsidR="000B33A8" w:rsidRPr="008B2DCE" w:rsidTr="00B26E1F">
        <w:trPr>
          <w:trHeight w:val="94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2204D6" w:rsidRDefault="00EB0878" w:rsidP="00B26E1F">
            <w:pPr>
              <w:spacing w:before="100" w:beforeAutospacing="1" w:after="100" w:afterAutospacing="1"/>
              <w:ind w:firstLine="0"/>
            </w:pPr>
            <w:hyperlink w:anchor="S12a04" w:history="1">
              <w:r w:rsidR="000B33A8" w:rsidRPr="00C563FD">
                <w:rPr>
                  <w:rStyle w:val="Collegamentoipertestuale"/>
                </w:rPr>
                <w:t>4</w:t>
              </w:r>
            </w:hyperlink>
            <w:r w:rsidR="000B33A8">
              <w:t xml:space="preserve"> – Disposizioni di delega: principi e criteri direttivi. Coordinamento con la normativa vigente.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Principi e criteri direttivi in alcuni casi non coordinati con la normativa vigente o formulati con espressioni che possono far insorgere dubbi interpretativi.</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70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12a05" w:history="1">
              <w:r w:rsidR="000B33A8" w:rsidRPr="00812559">
                <w:rPr>
                  <w:rStyle w:val="Collegamentoipertestuale"/>
                </w:rPr>
                <w:t>5</w:t>
              </w:r>
            </w:hyperlink>
            <w:r w:rsidR="000B33A8" w:rsidRPr="00B26E1F">
              <w:rPr>
                <w:rFonts w:cs="Arial"/>
              </w:rPr>
              <w:t xml:space="preserve"> – </w:t>
            </w:r>
            <w:r w:rsidR="000B33A8">
              <w:t>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Principi e criteri direttivi che non esplicitano l’effettiva portata della delega, ovvero se sia un riordino o una riforma della normativa vigente, e che non sono esplicitati, bensì individuati </w:t>
            </w:r>
            <w:r w:rsidRPr="00B26E1F">
              <w:rPr>
                <w:rFonts w:cs="Arial"/>
                <w:i/>
              </w:rPr>
              <w:t>per relationem</w:t>
            </w:r>
            <w:r w:rsidRPr="00B26E1F">
              <w:rPr>
                <w:rFonts w:cs="Arial"/>
              </w:rPr>
              <w:t>, con riferimento alla normativa vigente, nazionale ed europea. Richiamo alle sentenze della Corte Costituzionale n. 52/2005, 53/2005, 174/2005, 341/2007, 350/2007, 66/2005, 239/2003. Richiamo al parere del Comitato sull’AC 2617 (XVII, 11/12/2014, turno on. Taglialatela, Scheda 31).</w:t>
            </w:r>
          </w:p>
          <w:p w:rsidR="000B33A8" w:rsidRPr="00B26E1F" w:rsidRDefault="000B33A8" w:rsidP="00B26E1F">
            <w:pPr>
              <w:spacing w:before="100" w:beforeAutospacing="1" w:after="100" w:afterAutospacing="1"/>
              <w:ind w:firstLine="0"/>
              <w:rPr>
                <w:rFonts w:cs="Arial"/>
              </w:rPr>
            </w:pPr>
            <w:r w:rsidRPr="00B26E1F">
              <w:rPr>
                <w:rFonts w:cs="Arial"/>
              </w:rPr>
              <w:t>Condizione 2</w:t>
            </w:r>
          </w:p>
        </w:tc>
      </w:tr>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2a06" w:history="1">
              <w:r w:rsidR="000B33A8" w:rsidRPr="00B26E1F">
                <w:rPr>
                  <w:rStyle w:val="Collegamentoipertestuale"/>
                  <w:rFonts w:cs="Arial"/>
                </w:rPr>
                <w:t>6</w:t>
              </w:r>
            </w:hyperlink>
            <w:r w:rsidR="000B33A8" w:rsidRPr="00B26E1F">
              <w:rPr>
                <w:rStyle w:val="Collegamentoipertestuale"/>
                <w:rFonts w:cs="Arial"/>
              </w:rPr>
              <w:t xml:space="preserve"> </w:t>
            </w:r>
            <w:r w:rsidR="000B33A8">
              <w:t>–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Principi e criteri direttivi quasi coincidenti con l’ampio oggetto della delega, quindi da specificare.</w:t>
            </w:r>
          </w:p>
          <w:p w:rsidR="000B33A8" w:rsidRPr="00B26E1F" w:rsidRDefault="000B33A8" w:rsidP="00B26E1F">
            <w:pPr>
              <w:spacing w:before="100" w:beforeAutospacing="1" w:after="100" w:afterAutospacing="1"/>
              <w:ind w:firstLine="0"/>
              <w:rPr>
                <w:rFonts w:cs="Arial"/>
              </w:rPr>
            </w:pPr>
            <w:r w:rsidRPr="00B26E1F">
              <w:rPr>
                <w:rFonts w:cs="Arial"/>
              </w:rPr>
              <w:t xml:space="preserve">Condizione 3 </w:t>
            </w:r>
          </w:p>
        </w:tc>
      </w:tr>
      <w:tr w:rsidR="000B33A8" w:rsidRPr="008B2DCE" w:rsidTr="00B26E1F">
        <w:trPr>
          <w:trHeight w:val="126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2a07" w:history="1">
              <w:r w:rsidR="000B33A8" w:rsidRPr="00B26E1F">
                <w:rPr>
                  <w:rStyle w:val="Collegamentoipertestuale"/>
                  <w:rFonts w:cs="Arial"/>
                </w:rPr>
                <w:t>7</w:t>
              </w:r>
            </w:hyperlink>
            <w:r w:rsidR="000B33A8" w:rsidRPr="00B26E1F">
              <w:rPr>
                <w:rFonts w:cs="Arial"/>
              </w:rPr>
              <w:t xml:space="preserve"> – Disposizioni di delega: oggetto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Mancata esplicitazione del termine ultimo di riferimento nell’oggetto della delega.</w:t>
            </w:r>
          </w:p>
          <w:p w:rsidR="000B33A8" w:rsidRPr="00B26E1F" w:rsidRDefault="000B33A8" w:rsidP="00B26E1F">
            <w:pPr>
              <w:spacing w:before="100" w:beforeAutospacing="1" w:after="100" w:afterAutospacing="1"/>
              <w:ind w:firstLine="0"/>
              <w:rPr>
                <w:rFonts w:cs="Arial"/>
              </w:rPr>
            </w:pPr>
            <w:r w:rsidRPr="00B26E1F">
              <w:rPr>
                <w:rFonts w:cs="Arial"/>
              </w:rPr>
              <w:t>Osservazione 3</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2a08" w:history="1">
              <w:r w:rsidR="000B33A8" w:rsidRPr="00B26E1F">
                <w:rPr>
                  <w:rStyle w:val="Collegamentoipertestuale"/>
                  <w:rFonts w:cs="Arial"/>
                </w:rPr>
                <w:t>8</w:t>
              </w:r>
            </w:hyperlink>
            <w:r w:rsidR="000B33A8" w:rsidRPr="00B26E1F">
              <w:rPr>
                <w:rFonts w:cs="Arial"/>
              </w:rPr>
              <w:t xml:space="preserve"> – </w:t>
            </w:r>
            <w:r w:rsidR="000B33A8">
              <w:t>Disposizioni di delega: principi e criteri direttivi. Coordinamento con la normativa vigente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Principi e criteri direttivi in alcuni casi non coordinati con la normativa vigente. Richiamo all’articolo 17, commi 2 e 4-</w:t>
            </w:r>
            <w:r w:rsidRPr="00B26E1F">
              <w:rPr>
                <w:rFonts w:cs="Arial"/>
                <w:i/>
              </w:rPr>
              <w:t>bis</w:t>
            </w:r>
            <w:r w:rsidRPr="00B26E1F">
              <w:rPr>
                <w:rFonts w:cs="Arial"/>
              </w:rPr>
              <w:t xml:space="preserve">, della legge n. 400/1988. Richiamo all’articolo 1, c. 1, lettera </w:t>
            </w:r>
            <w:r w:rsidRPr="00B26E1F">
              <w:rPr>
                <w:rFonts w:cs="Arial"/>
                <w:i/>
              </w:rPr>
              <w:t>ii)</w:t>
            </w:r>
            <w:r w:rsidRPr="00B26E1F">
              <w:rPr>
                <w:rFonts w:cs="Arial"/>
              </w:rPr>
              <w:t>, della legge n. 13/1991.</w:t>
            </w:r>
          </w:p>
          <w:p w:rsidR="000B33A8" w:rsidRPr="00B26E1F" w:rsidRDefault="000B33A8" w:rsidP="00B26E1F">
            <w:pPr>
              <w:spacing w:before="100" w:beforeAutospacing="1" w:after="100" w:afterAutospacing="1"/>
              <w:ind w:firstLine="0"/>
              <w:rPr>
                <w:rFonts w:cs="Arial"/>
              </w:rPr>
            </w:pPr>
            <w:r w:rsidRPr="00B26E1F">
              <w:rPr>
                <w:rFonts w:cs="Arial"/>
              </w:rPr>
              <w:t>Osservazione 2</w:t>
            </w:r>
          </w:p>
        </w:tc>
      </w:tr>
      <w:tr w:rsidR="000B33A8" w:rsidRPr="008B2DCE" w:rsidTr="00FC05F5">
        <w:trPr>
          <w:trHeight w:val="41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2a09" w:history="1">
              <w:r w:rsidR="000B33A8" w:rsidRPr="00915ED9">
                <w:rPr>
                  <w:rStyle w:val="Collegamentoipertestuale"/>
                </w:rPr>
                <w:t>9</w:t>
              </w:r>
            </w:hyperlink>
            <w:r w:rsidR="000B33A8">
              <w:t xml:space="preserve"> – </w:t>
            </w:r>
            <w:r w:rsidR="000B33A8" w:rsidRPr="00B26E1F">
              <w:rPr>
                <w:rFonts w:cs="Arial"/>
              </w:rPr>
              <w:t>Procedure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Scorrimento dei termini per l’esercizio della delega principale e di quelle correttive e integrative. Richiamo al parere del Comitato sull’AC 2617 (XVII, 11/12/2014, turno on. Taglialatela, Scheda 31).</w:t>
            </w:r>
          </w:p>
          <w:p w:rsidR="000B33A8" w:rsidRDefault="000B33A8" w:rsidP="00B26E1F">
            <w:pPr>
              <w:spacing w:before="100" w:beforeAutospacing="1" w:after="100" w:afterAutospacing="1"/>
              <w:ind w:firstLine="0"/>
            </w:pPr>
            <w:r>
              <w:t>Condizione 5</w:t>
            </w:r>
          </w:p>
        </w:tc>
      </w:tr>
    </w:tbl>
    <w:p w:rsidR="00FC05F5" w:rsidRDefault="00FC05F5"/>
    <w:tbl>
      <w:tblPr>
        <w:tblW w:w="5000" w:type="pct"/>
        <w:jc w:val="center"/>
        <w:tblLook w:val="01E0" w:firstRow="1" w:lastRow="1" w:firstColumn="1" w:lastColumn="1" w:noHBand="0" w:noVBand="0"/>
      </w:tblPr>
      <w:tblGrid>
        <w:gridCol w:w="4076"/>
        <w:gridCol w:w="4076"/>
      </w:tblGrid>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2a10" w:history="1">
              <w:r w:rsidR="000B33A8" w:rsidRPr="00915ED9">
                <w:rPr>
                  <w:rStyle w:val="Collegamentoipertestuale"/>
                </w:rPr>
                <w:t>10</w:t>
              </w:r>
            </w:hyperlink>
            <w:r w:rsidR="000B33A8">
              <w:t xml:space="preserve"> – </w:t>
            </w:r>
            <w:r w:rsidR="000B33A8" w:rsidRPr="00B26E1F">
              <w:rPr>
                <w:rFonts w:cs="Arial"/>
              </w:rPr>
              <w:t>Procedure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Incertezza circa il termine ultimo per l’esercizio della delega integrativa e correttiva</w:t>
            </w:r>
          </w:p>
          <w:p w:rsidR="000B33A8" w:rsidRDefault="000B33A8" w:rsidP="00B26E1F">
            <w:pPr>
              <w:spacing w:before="100" w:beforeAutospacing="1" w:after="100" w:afterAutospacing="1"/>
              <w:ind w:firstLine="0"/>
            </w:pPr>
            <w:r>
              <w:t>Condizione 6</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2a11" w:history="1">
              <w:r w:rsidR="000B33A8" w:rsidRPr="00915ED9">
                <w:rPr>
                  <w:rStyle w:val="Collegamentoipertestuale"/>
                </w:rPr>
                <w:t>11</w:t>
              </w:r>
            </w:hyperlink>
            <w:r w:rsidR="000B33A8">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La formulazione del testo genera dubbi interpretativi ed applicativi. Rubrica dell’articolo 3 da integrare.</w:t>
            </w:r>
          </w:p>
          <w:p w:rsidR="000B33A8" w:rsidRDefault="000B33A8" w:rsidP="00B26E1F">
            <w:pPr>
              <w:spacing w:before="100" w:beforeAutospacing="1" w:after="100" w:afterAutospacing="1"/>
              <w:ind w:firstLine="0"/>
            </w:pPr>
            <w:r>
              <w:t>Osservazione 4</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2a12" w:history="1">
              <w:r w:rsidR="000B33A8" w:rsidRPr="00915ED9">
                <w:rPr>
                  <w:rStyle w:val="Collegamentoipertestuale"/>
                </w:rPr>
                <w:t>12</w:t>
              </w:r>
            </w:hyperlink>
            <w:r w:rsidR="000B33A8">
              <w:t xml:space="preserve"> – 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Espressione di dubbia o nulla portata normativa, che si limita a ricordare l’esistenza della normativa vigente.</w:t>
            </w:r>
          </w:p>
          <w:p w:rsidR="000B33A8" w:rsidRDefault="000B33A8" w:rsidP="00B26E1F">
            <w:pPr>
              <w:spacing w:before="100" w:beforeAutospacing="1" w:after="100" w:afterAutospacing="1"/>
              <w:ind w:firstLine="0"/>
            </w:pPr>
            <w:r>
              <w:t>Osservazione 5</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FC05F5">
            <w:pPr>
              <w:spacing w:before="100" w:beforeAutospacing="1" w:after="100" w:afterAutospacing="1"/>
              <w:ind w:firstLine="0"/>
            </w:pPr>
            <w:hyperlink w:anchor="S12a13" w:history="1">
              <w:r w:rsidR="000B33A8" w:rsidRPr="00915ED9">
                <w:rPr>
                  <w:rStyle w:val="Collegamentoipertestuale"/>
                </w:rPr>
                <w:t>13</w:t>
              </w:r>
            </w:hyperlink>
            <w:r w:rsidR="000B33A8">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Presenti.</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12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12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bl>
    <w:p w:rsidR="000B33A8" w:rsidRDefault="000B33A8" w:rsidP="000B33A8">
      <w:pPr>
        <w:ind w:firstLine="0"/>
      </w:pPr>
    </w:p>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rPr>
                <w:rFonts w:cs="Arial"/>
                <w:sz w:val="24"/>
              </w:rPr>
            </w:pPr>
            <w:r w:rsidRPr="00B26E1F">
              <w:rPr>
                <w:rFonts w:cs="Arial"/>
                <w:i/>
                <w:sz w:val="24"/>
              </w:rPr>
              <w:t>Articolo 17, commi 2 e 4-</w:t>
            </w:r>
            <w:r w:rsidRPr="00B26E1F">
              <w:rPr>
                <w:rFonts w:cs="Arial"/>
                <w:sz w:val="24"/>
              </w:rPr>
              <w:t>bis</w:t>
            </w:r>
            <w:r w:rsidRPr="00B26E1F">
              <w:rPr>
                <w:rFonts w:cs="Arial"/>
                <w:i/>
                <w:sz w:val="24"/>
              </w:rPr>
              <w:t xml:space="preserve">, della legge n. 400/1988; articolo 1, comma 1, lettera </w:t>
            </w:r>
            <w:r w:rsidRPr="00B26E1F">
              <w:rPr>
                <w:rFonts w:cs="Arial"/>
                <w:sz w:val="24"/>
              </w:rPr>
              <w:t>ii)</w:t>
            </w:r>
            <w:r w:rsidRPr="00B26E1F">
              <w:rPr>
                <w:rFonts w:cs="Arial"/>
                <w:i/>
                <w:sz w:val="24"/>
              </w:rPr>
              <w:t xml:space="preserve">, della legge n. 13/1991; circolare sulla formulazione tecnica dei testi normativi, punto 2, lettera </w:t>
            </w:r>
            <w:r w:rsidRPr="00B26E1F">
              <w:rPr>
                <w:rFonts w:cs="Arial"/>
                <w:sz w:val="24"/>
              </w:rPr>
              <w:t xml:space="preserve">d); </w:t>
            </w:r>
            <w:r w:rsidRPr="00B26E1F">
              <w:rPr>
                <w:rFonts w:cs="Arial"/>
                <w:i/>
                <w:sz w:val="24"/>
              </w:rPr>
              <w:t>sentenze della Corte costituzionale:</w:t>
            </w:r>
            <w:r w:rsidRPr="00B26E1F">
              <w:rPr>
                <w:rFonts w:cs="Arial"/>
                <w:sz w:val="24"/>
              </w:rPr>
              <w:t xml:space="preserve"> </w:t>
            </w:r>
            <w:r w:rsidRPr="00B26E1F">
              <w:rPr>
                <w:rFonts w:cs="Arial"/>
              </w:rPr>
              <w:t xml:space="preserve">n. 68/1991 e n. 340/2007; n. 52/2005, 53/2005, 174/2005, 341/2007, 350/2007, 66/2005, 239/2003; </w:t>
            </w:r>
            <w:r w:rsidRPr="00B26E1F">
              <w:rPr>
                <w:rFonts w:cs="Arial"/>
                <w:i/>
              </w:rPr>
              <w:t>parere del Comitato sull’AC 2617 (XVII, 11/12/2014, turno on. Taglialatela, Scheda 31).</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399" w:name="S12a01"/>
      <w:r w:rsidRPr="00B91F58">
        <w:rPr>
          <w:rFonts w:cs="Arial"/>
          <w:szCs w:val="22"/>
        </w:rPr>
        <w:t xml:space="preserve">1 </w:t>
      </w:r>
      <w:bookmarkEnd w:id="399"/>
      <w:r w:rsidRPr="00B91F58">
        <w:rPr>
          <w:rFonts w:cs="Arial"/>
          <w:szCs w:val="22"/>
        </w:rPr>
        <w:t xml:space="preserve">–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E772E0">
        <w:rPr>
          <w:rStyle w:val="Collegamentoipertestuale"/>
          <w:rFonts w:cs="Arial"/>
          <w:szCs w:val="22"/>
        </w:rPr>
        <w:t xml:space="preserve"> </w:t>
      </w:r>
      <w:r w:rsidRPr="00B91F58">
        <w:rPr>
          <w:rFonts w:cs="Arial"/>
          <w:szCs w:val="22"/>
        </w:rPr>
        <w:t>«</w:t>
      </w:r>
      <w:r w:rsidRPr="000C1FF7">
        <w:rPr>
          <w:rFonts w:cs="Arial"/>
          <w:szCs w:val="22"/>
        </w:rPr>
        <w:t xml:space="preserve">il provvedimento reca disposizioni sostanziali, destinate ad entrare immediatamente in vigore, e disposizioni recanti deleghe legislative al </w:t>
      </w:r>
      <w:r w:rsidRPr="000C1FF7">
        <w:rPr>
          <w:rFonts w:cs="Arial"/>
          <w:szCs w:val="22"/>
        </w:rPr>
        <w:lastRenderedPageBreak/>
        <w:t>Governo</w:t>
      </w:r>
      <w:r>
        <w:rPr>
          <w:rFonts w:cs="Arial"/>
          <w:szCs w:val="22"/>
        </w:rPr>
        <w:t>;</w:t>
      </w:r>
      <w:r w:rsidRPr="000C1FF7">
        <w:rPr>
          <w:rFonts w:ascii="Times New Roman" w:hAnsi="Times New Roman"/>
          <w:sz w:val="24"/>
          <w:lang w:eastAsia="ar-SA"/>
        </w:rPr>
        <w:t xml:space="preserve"> </w:t>
      </w:r>
      <w:r w:rsidRPr="000C1FF7">
        <w:rPr>
          <w:rFonts w:cs="Arial"/>
          <w:szCs w:val="22"/>
        </w:rPr>
        <w:t xml:space="preserve">il disegno di legge è </w:t>
      </w:r>
      <w:r w:rsidRPr="000C1FF7">
        <w:rPr>
          <w:rFonts w:cs="Arial"/>
          <w:b/>
          <w:szCs w:val="22"/>
        </w:rPr>
        <w:t>omogeneo</w:t>
      </w:r>
      <w:r w:rsidRPr="000C1FF7">
        <w:rPr>
          <w:rFonts w:cs="Arial"/>
          <w:szCs w:val="22"/>
        </w:rPr>
        <w:t>, concernendo una pluralità di oggetti riguardanti la materia della pubblica amministrazione</w:t>
      </w:r>
      <w:r w:rsidRPr="00B91F58">
        <w:rPr>
          <w:rFonts w:cs="Arial"/>
          <w:szCs w:val="22"/>
        </w:rPr>
        <w:t>»</w:t>
      </w:r>
      <w:r>
        <w:rPr>
          <w:rFonts w:cs="Arial"/>
          <w:szCs w:val="22"/>
        </w:rPr>
        <w:t xml:space="preserve"> </w:t>
      </w:r>
      <w:r w:rsidRPr="00B91F58">
        <w:rPr>
          <w:rFonts w:cs="Arial"/>
          <w:szCs w:val="22"/>
        </w:rPr>
        <w:t>;</w:t>
      </w:r>
      <w:r>
        <w:rPr>
          <w:rFonts w:cs="Arial"/>
          <w:szCs w:val="22"/>
        </w:rPr>
        <w:t xml:space="preserve"> </w:t>
      </w:r>
    </w:p>
    <w:p w:rsidR="000B33A8" w:rsidRDefault="000B33A8" w:rsidP="000B33A8">
      <w:pPr>
        <w:spacing w:before="100" w:beforeAutospacing="1" w:after="100" w:afterAutospacing="1" w:line="240" w:lineRule="auto"/>
        <w:ind w:firstLine="0"/>
        <w:jc w:val="left"/>
        <w:rPr>
          <w:rFonts w:cs="Arial"/>
          <w:szCs w:val="22"/>
        </w:rPr>
      </w:pPr>
    </w:p>
    <w:p w:rsidR="000B33A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400" w:name="S12a02"/>
      <w:r w:rsidRPr="00B91F58">
        <w:rPr>
          <w:rFonts w:cs="Arial"/>
          <w:szCs w:val="22"/>
        </w:rPr>
        <w:t xml:space="preserve">2 </w:t>
      </w:r>
      <w:bookmarkEnd w:id="400"/>
      <w:r w:rsidRPr="00B91F58">
        <w:rPr>
          <w:rFonts w:cs="Arial"/>
          <w:szCs w:val="22"/>
        </w:rPr>
        <w:t xml:space="preserve">–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F8418D">
        <w:rPr>
          <w:rFonts w:cs="Arial"/>
          <w:szCs w:val="22"/>
        </w:rPr>
        <w:t xml:space="preserve">con riferimento alle </w:t>
      </w:r>
      <w:r w:rsidRPr="00F8418D">
        <w:rPr>
          <w:rFonts w:cs="Arial"/>
          <w:b/>
          <w:szCs w:val="22"/>
        </w:rPr>
        <w:t>disposizioni di delega</w:t>
      </w:r>
      <w:r w:rsidRPr="00F8418D">
        <w:rPr>
          <w:rFonts w:cs="Arial"/>
          <w:szCs w:val="22"/>
        </w:rPr>
        <w:t xml:space="preserve">, in alcuni casi i </w:t>
      </w:r>
      <w:r w:rsidRPr="00F8418D">
        <w:rPr>
          <w:rFonts w:cs="Arial"/>
          <w:b/>
          <w:szCs w:val="22"/>
        </w:rPr>
        <w:t>principi e criteri direttivi</w:t>
      </w:r>
      <w:r w:rsidRPr="00F8418D">
        <w:rPr>
          <w:rFonts w:cs="Arial"/>
          <w:szCs w:val="22"/>
        </w:rPr>
        <w:t xml:space="preserve"> appaiono presentare elementi di </w:t>
      </w:r>
      <w:r w:rsidRPr="00F8418D">
        <w:rPr>
          <w:rFonts w:cs="Arial"/>
          <w:b/>
          <w:szCs w:val="22"/>
        </w:rPr>
        <w:t>sovrapposizione con l’oggetto della delega</w:t>
      </w:r>
      <w:r w:rsidRPr="00F8418D">
        <w:rPr>
          <w:rFonts w:cs="Arial"/>
          <w:szCs w:val="22"/>
        </w:rPr>
        <w:t xml:space="preserve">, mentre la </w:t>
      </w:r>
      <w:r w:rsidRPr="00F8418D">
        <w:rPr>
          <w:rFonts w:cs="Arial"/>
          <w:b/>
          <w:szCs w:val="22"/>
        </w:rPr>
        <w:t>circolare del 2001</w:t>
      </w:r>
      <w:r w:rsidRPr="00F8418D">
        <w:rPr>
          <w:rFonts w:cs="Arial"/>
          <w:szCs w:val="22"/>
        </w:rPr>
        <w:t xml:space="preserve"> sulla formulazione tecnica dei testi legislativi prevede che “i principi e i criteri direttivi … devono essere distinti dall’oggetto della delega” (</w:t>
      </w:r>
      <w:r w:rsidRPr="00F8418D">
        <w:rPr>
          <w:rFonts w:cs="Arial"/>
          <w:b/>
          <w:szCs w:val="22"/>
        </w:rPr>
        <w:t xml:space="preserve">punto 2, lettera </w:t>
      </w:r>
      <w:r w:rsidRPr="00F8418D">
        <w:rPr>
          <w:rFonts w:cs="Arial"/>
          <w:b/>
          <w:i/>
          <w:szCs w:val="22"/>
        </w:rPr>
        <w:t>d)</w:t>
      </w:r>
      <w:r w:rsidRPr="00F8418D">
        <w:rPr>
          <w:rFonts w:cs="Arial"/>
          <w:szCs w:val="22"/>
        </w:rPr>
        <w:t xml:space="preserve">); in particolare, per effetto della suddetta sovrapposizione, alcune disposizioni, qualificate come “principi e criteri direttivi”, finiscono, di fatto, per costituire ulteriori oggetti di delega; ciò si riscontra, in particolare, all’articolo 7, comma 1, lettera </w:t>
      </w:r>
      <w:r w:rsidRPr="00F8418D">
        <w:rPr>
          <w:rFonts w:cs="Arial"/>
          <w:i/>
          <w:szCs w:val="22"/>
        </w:rPr>
        <w:t>a)</w:t>
      </w:r>
      <w:r w:rsidRPr="00F8418D">
        <w:rPr>
          <w:rFonts w:cs="Arial"/>
          <w:szCs w:val="22"/>
        </w:rPr>
        <w:t xml:space="preserve">, ove una serie di oggetti sono frammisti a criteri, talvolta di carattere generale, e all’articolo 8, comma 1, che enuclea – alle lettere </w:t>
      </w:r>
      <w:r w:rsidRPr="00F8418D">
        <w:rPr>
          <w:rFonts w:cs="Arial"/>
          <w:i/>
          <w:szCs w:val="22"/>
        </w:rPr>
        <w:t>c)</w:t>
      </w:r>
      <w:r w:rsidRPr="00F8418D">
        <w:rPr>
          <w:rFonts w:cs="Arial"/>
          <w:szCs w:val="22"/>
        </w:rPr>
        <w:t xml:space="preserve">, </w:t>
      </w:r>
      <w:r w:rsidRPr="00F8418D">
        <w:rPr>
          <w:rFonts w:cs="Arial"/>
          <w:i/>
          <w:szCs w:val="22"/>
        </w:rPr>
        <w:t>d)</w:t>
      </w:r>
      <w:r w:rsidRPr="00F8418D">
        <w:rPr>
          <w:rFonts w:cs="Arial"/>
          <w:szCs w:val="22"/>
        </w:rPr>
        <w:t xml:space="preserve">, </w:t>
      </w:r>
      <w:r w:rsidRPr="00F8418D">
        <w:rPr>
          <w:rFonts w:cs="Arial"/>
          <w:i/>
          <w:szCs w:val="22"/>
        </w:rPr>
        <w:t>e)</w:t>
      </w:r>
      <w:r w:rsidRPr="00F8418D">
        <w:rPr>
          <w:rFonts w:cs="Arial"/>
          <w:szCs w:val="22"/>
        </w:rPr>
        <w:t>,</w:t>
      </w:r>
      <w:r w:rsidRPr="00F8418D">
        <w:rPr>
          <w:rFonts w:cs="Arial"/>
          <w:i/>
          <w:szCs w:val="22"/>
        </w:rPr>
        <w:t xml:space="preserve"> f)</w:t>
      </w:r>
      <w:r w:rsidRPr="00F8418D">
        <w:rPr>
          <w:rFonts w:cs="Arial"/>
          <w:szCs w:val="22"/>
        </w:rPr>
        <w:t xml:space="preserve"> e </w:t>
      </w:r>
      <w:r w:rsidRPr="00F8418D">
        <w:rPr>
          <w:rFonts w:cs="Arial"/>
          <w:i/>
          <w:szCs w:val="22"/>
        </w:rPr>
        <w:t>g)</w:t>
      </w:r>
      <w:r w:rsidRPr="00F8418D">
        <w:rPr>
          <w:rFonts w:cs="Arial"/>
          <w:szCs w:val="22"/>
        </w:rPr>
        <w:t xml:space="preserve"> – come principi e criteri direttivi quelli che appaiono piuttosto oggetti della delega; all’articolo 12, comma 2, lettere </w:t>
      </w:r>
      <w:r w:rsidRPr="00F8418D">
        <w:rPr>
          <w:rFonts w:cs="Arial"/>
          <w:i/>
          <w:szCs w:val="22"/>
        </w:rPr>
        <w:t>a)</w:t>
      </w:r>
      <w:r w:rsidRPr="00F8418D">
        <w:rPr>
          <w:rFonts w:cs="Arial"/>
          <w:szCs w:val="22"/>
        </w:rPr>
        <w:t xml:space="preserve"> ed </w:t>
      </w:r>
      <w:r w:rsidRPr="00F8418D">
        <w:rPr>
          <w:rFonts w:cs="Arial"/>
          <w:i/>
          <w:szCs w:val="22"/>
        </w:rPr>
        <w:t>e)</w:t>
      </w:r>
      <w:r w:rsidRPr="00B91F58">
        <w:rPr>
          <w:rFonts w:cs="Arial"/>
          <w:szCs w:val="22"/>
        </w:rPr>
        <w:t>»</w:t>
      </w:r>
      <w:r>
        <w:rPr>
          <w:rFonts w:cs="Arial"/>
          <w:szCs w:val="22"/>
        </w:rPr>
        <w:t xml:space="preserve"> </w:t>
      </w:r>
      <w:r w:rsidRPr="00B91F58">
        <w:rPr>
          <w:rFonts w:cs="Arial"/>
          <w:szCs w:val="22"/>
        </w:rPr>
        <w:t>(</w:t>
      </w:r>
      <w:hyperlink w:anchor="S12c01" w:history="1">
        <w:r>
          <w:rPr>
            <w:rStyle w:val="Collegamentoipertestuale"/>
            <w:rFonts w:cs="Arial"/>
            <w:b/>
            <w:szCs w:val="22"/>
          </w:rPr>
          <w:t>conseguente condizione</w:t>
        </w:r>
      </w:hyperlink>
      <w:r w:rsidRPr="00B91F58">
        <w:rPr>
          <w:rFonts w:cs="Arial"/>
          <w:szCs w:val="22"/>
        </w:rPr>
        <w:t>);</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401" w:name="S12a03"/>
      <w:r w:rsidRPr="00B91F58">
        <w:rPr>
          <w:rFonts w:cs="Arial"/>
          <w:szCs w:val="22"/>
        </w:rPr>
        <w:t xml:space="preserve">3 </w:t>
      </w:r>
      <w:bookmarkEnd w:id="401"/>
      <w:r w:rsidRPr="00B91F58">
        <w:rPr>
          <w:rFonts w:cs="Arial"/>
          <w:szCs w:val="22"/>
        </w:rPr>
        <w:t xml:space="preserve">–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F8418D">
        <w:rPr>
          <w:rFonts w:cs="Arial"/>
          <w:szCs w:val="22"/>
        </w:rPr>
        <w:t xml:space="preserve">taluni principi e criteri direttivi sono formulati con espressioni che fanno riferimento a </w:t>
      </w:r>
      <w:r w:rsidRPr="00C32AA1">
        <w:rPr>
          <w:rFonts w:cs="Arial"/>
          <w:b/>
          <w:szCs w:val="22"/>
        </w:rPr>
        <w:t>mere eventualità ossia a opzioni alternative selezionabili</w:t>
      </w:r>
      <w:r w:rsidRPr="00F8418D">
        <w:rPr>
          <w:rFonts w:cs="Arial"/>
          <w:szCs w:val="22"/>
        </w:rPr>
        <w:t xml:space="preserve"> dal Governo delegato; come già segnalato dal Comitato in altre circostanze, si rammenta che in un </w:t>
      </w:r>
      <w:r w:rsidRPr="00F8418D">
        <w:rPr>
          <w:rFonts w:cs="Arial"/>
          <w:i/>
          <w:szCs w:val="22"/>
        </w:rPr>
        <w:t>obiter dictum</w:t>
      </w:r>
      <w:r w:rsidRPr="00F8418D">
        <w:rPr>
          <w:rFonts w:cs="Arial"/>
          <w:szCs w:val="22"/>
        </w:rPr>
        <w:t xml:space="preserve"> la </w:t>
      </w:r>
      <w:r w:rsidRPr="00C32AA1">
        <w:rPr>
          <w:rFonts w:cs="Arial"/>
          <w:b/>
          <w:szCs w:val="22"/>
        </w:rPr>
        <w:t>Corte costituzionale</w:t>
      </w:r>
      <w:r w:rsidRPr="00F8418D">
        <w:rPr>
          <w:rFonts w:cs="Arial"/>
          <w:szCs w:val="22"/>
        </w:rPr>
        <w:t xml:space="preserve"> ha rilevato che: «il libero apprezzamento del legislatore delegato non può mai assurgere a principio od a criterio direttivo, in quanto agli antipodi di una legislazione vincolata, quale è, per definizione, la legislazione su delega» (</w:t>
      </w:r>
      <w:r w:rsidRPr="00C32AA1">
        <w:rPr>
          <w:rFonts w:cs="Arial"/>
          <w:b/>
          <w:szCs w:val="22"/>
        </w:rPr>
        <w:t xml:space="preserve">sentenze n. 68 del 1991 </w:t>
      </w:r>
      <w:r w:rsidRPr="00C32AA1">
        <w:rPr>
          <w:rFonts w:cs="Arial"/>
          <w:szCs w:val="22"/>
        </w:rPr>
        <w:t>e</w:t>
      </w:r>
      <w:r w:rsidRPr="00C32AA1">
        <w:rPr>
          <w:rFonts w:cs="Arial"/>
          <w:b/>
          <w:szCs w:val="22"/>
        </w:rPr>
        <w:t xml:space="preserve"> n. 340 del 2007</w:t>
      </w:r>
      <w:r w:rsidRPr="00F8418D">
        <w:rPr>
          <w:rFonts w:cs="Arial"/>
          <w:szCs w:val="22"/>
        </w:rPr>
        <w:t xml:space="preserve">). Ciò si riscontra, in particolare: all’articolo 7, comma 1, lettera </w:t>
      </w:r>
      <w:r w:rsidRPr="00F8418D">
        <w:rPr>
          <w:rFonts w:cs="Arial"/>
          <w:i/>
          <w:szCs w:val="22"/>
        </w:rPr>
        <w:t>a)</w:t>
      </w:r>
      <w:r w:rsidRPr="00F8418D">
        <w:rPr>
          <w:rFonts w:cs="Arial"/>
          <w:szCs w:val="22"/>
        </w:rPr>
        <w:t xml:space="preserve">  (“riordino delle funzioni di polizia … conseguente alla riorganizzazione del Corpo forestale dello Stato ed </w:t>
      </w:r>
      <w:r w:rsidRPr="00F8418D">
        <w:rPr>
          <w:rFonts w:cs="Arial"/>
          <w:i/>
          <w:szCs w:val="22"/>
        </w:rPr>
        <w:t>eventuale</w:t>
      </w:r>
      <w:r w:rsidRPr="00F8418D">
        <w:rPr>
          <w:rFonts w:cs="Arial"/>
          <w:szCs w:val="22"/>
        </w:rPr>
        <w:t xml:space="preserve"> assorbimento del medesimo in altra Forza di polizia…”); all’articolo 7, comma 1, lettera </w:t>
      </w:r>
      <w:r w:rsidRPr="00F8418D">
        <w:rPr>
          <w:rFonts w:cs="Arial"/>
          <w:i/>
          <w:szCs w:val="22"/>
        </w:rPr>
        <w:t>b)</w:t>
      </w:r>
      <w:r w:rsidRPr="00F8418D">
        <w:rPr>
          <w:rFonts w:cs="Arial"/>
          <w:szCs w:val="22"/>
        </w:rPr>
        <w:t xml:space="preserve">, numero 4) (“la disciplina degli uffici di diretta collaborazione dei Ministri, dei vice ministri e dei sottosegretari di Stato … con </w:t>
      </w:r>
      <w:r w:rsidRPr="00F8418D">
        <w:rPr>
          <w:rFonts w:cs="Arial"/>
          <w:i/>
          <w:szCs w:val="22"/>
        </w:rPr>
        <w:t>eventuale</w:t>
      </w:r>
      <w:r w:rsidRPr="00F8418D">
        <w:rPr>
          <w:rFonts w:cs="Arial"/>
          <w:szCs w:val="22"/>
        </w:rPr>
        <w:t xml:space="preserve"> riduzione del numero …”); all’articolo 7, comma 1, lettera </w:t>
      </w:r>
      <w:r w:rsidRPr="00F8418D">
        <w:rPr>
          <w:rFonts w:cs="Arial"/>
          <w:i/>
          <w:szCs w:val="22"/>
        </w:rPr>
        <w:t>c)</w:t>
      </w:r>
      <w:r w:rsidRPr="00F8418D">
        <w:rPr>
          <w:rFonts w:cs="Arial"/>
          <w:szCs w:val="22"/>
        </w:rPr>
        <w:t xml:space="preserve"> (“riorganizzazione … </w:t>
      </w:r>
      <w:r w:rsidRPr="00F8418D">
        <w:rPr>
          <w:rFonts w:cs="Arial"/>
          <w:i/>
          <w:szCs w:val="22"/>
        </w:rPr>
        <w:t>anche</w:t>
      </w:r>
      <w:r w:rsidRPr="00F8418D">
        <w:rPr>
          <w:rFonts w:cs="Arial"/>
          <w:szCs w:val="22"/>
        </w:rPr>
        <w:t xml:space="preserve"> mediante </w:t>
      </w:r>
      <w:r w:rsidRPr="00F8418D">
        <w:rPr>
          <w:rFonts w:cs="Arial"/>
          <w:i/>
          <w:szCs w:val="22"/>
        </w:rPr>
        <w:t>eventuale</w:t>
      </w:r>
      <w:r w:rsidRPr="00F8418D">
        <w:rPr>
          <w:rFonts w:cs="Arial"/>
          <w:szCs w:val="22"/>
        </w:rPr>
        <w:t xml:space="preserve"> accorpamento, delle funzioni svolte dagli uffici del Pubblico registro automobilistico e dalla Direzione generale per la motorizzazione del Ministero delle infrastrutture e dei trasporti… da perseguire </w:t>
      </w:r>
      <w:r w:rsidRPr="00F8418D">
        <w:rPr>
          <w:rFonts w:cs="Arial"/>
          <w:i/>
          <w:szCs w:val="22"/>
        </w:rPr>
        <w:t>anche</w:t>
      </w:r>
      <w:r w:rsidRPr="00F8418D">
        <w:rPr>
          <w:rFonts w:cs="Arial"/>
          <w:szCs w:val="22"/>
        </w:rPr>
        <w:t xml:space="preserve"> attraverso </w:t>
      </w:r>
      <w:r w:rsidRPr="00F8418D">
        <w:rPr>
          <w:rFonts w:cs="Arial"/>
          <w:i/>
          <w:szCs w:val="22"/>
        </w:rPr>
        <w:t>l’eventuale</w:t>
      </w:r>
      <w:r w:rsidRPr="00F8418D">
        <w:rPr>
          <w:rFonts w:cs="Arial"/>
          <w:szCs w:val="22"/>
        </w:rPr>
        <w:t xml:space="preserve"> collegamento e l’interoperabilità dei dati…”); all’articolo 9, comma 1, lettera </w:t>
      </w:r>
      <w:r w:rsidRPr="00F8418D">
        <w:rPr>
          <w:rFonts w:cs="Arial"/>
          <w:i/>
          <w:szCs w:val="22"/>
        </w:rPr>
        <w:t>b)</w:t>
      </w:r>
      <w:r w:rsidRPr="00F8418D">
        <w:rPr>
          <w:rFonts w:cs="Arial"/>
          <w:szCs w:val="22"/>
        </w:rPr>
        <w:t>, numero 1) (“</w:t>
      </w:r>
      <w:r w:rsidRPr="00F8418D">
        <w:rPr>
          <w:rFonts w:cs="Arial"/>
          <w:i/>
          <w:szCs w:val="22"/>
        </w:rPr>
        <w:t>eventuale</w:t>
      </w:r>
      <w:r w:rsidRPr="00F8418D">
        <w:rPr>
          <w:rFonts w:cs="Arial"/>
          <w:szCs w:val="22"/>
        </w:rPr>
        <w:t xml:space="preserve"> confluenza nello stesso ruolo [</w:t>
      </w:r>
      <w:r w:rsidRPr="00F8418D">
        <w:rPr>
          <w:rFonts w:cs="Arial"/>
          <w:i/>
          <w:szCs w:val="22"/>
        </w:rPr>
        <w:t xml:space="preserve">della dirigenza </w:t>
      </w:r>
      <w:r w:rsidRPr="00F8418D">
        <w:rPr>
          <w:rFonts w:cs="Arial"/>
          <w:i/>
          <w:szCs w:val="22"/>
        </w:rPr>
        <w:lastRenderedPageBreak/>
        <w:t>statale</w:t>
      </w:r>
      <w:r w:rsidRPr="00F8418D">
        <w:rPr>
          <w:rFonts w:cs="Arial"/>
          <w:szCs w:val="22"/>
        </w:rPr>
        <w:t xml:space="preserve">] di personale appartenente alle carriere speciali, ad esclusione della carriera diplomatica”); all’articolo 9, comma 1, lettera </w:t>
      </w:r>
      <w:r w:rsidRPr="00F8418D">
        <w:rPr>
          <w:rFonts w:cs="Arial"/>
          <w:i/>
          <w:szCs w:val="22"/>
        </w:rPr>
        <w:t>c)</w:t>
      </w:r>
      <w:r w:rsidRPr="00F8418D">
        <w:rPr>
          <w:rFonts w:cs="Arial"/>
          <w:szCs w:val="22"/>
        </w:rPr>
        <w:t xml:space="preserve">, numero 3) (“revisione dell’ordinamento, della missione e dell’assetto organizzativo della Scuola nazionale dell’amministrazione con </w:t>
      </w:r>
      <w:r w:rsidRPr="00F8418D">
        <w:rPr>
          <w:rFonts w:cs="Arial"/>
          <w:i/>
          <w:szCs w:val="22"/>
        </w:rPr>
        <w:t>eventuale</w:t>
      </w:r>
      <w:r w:rsidRPr="00F8418D">
        <w:rPr>
          <w:rFonts w:cs="Arial"/>
          <w:szCs w:val="22"/>
        </w:rPr>
        <w:t xml:space="preserve"> trasformazione della natura giuridica …”)</w:t>
      </w:r>
      <w:r w:rsidRPr="00B91F58">
        <w:rPr>
          <w:rFonts w:cs="Arial"/>
          <w:szCs w:val="22"/>
        </w:rPr>
        <w:t>»</w:t>
      </w:r>
      <w:r>
        <w:rPr>
          <w:rFonts w:cs="Arial"/>
          <w:szCs w:val="22"/>
        </w:rPr>
        <w:t xml:space="preserve"> </w:t>
      </w:r>
      <w:r w:rsidRPr="00B91F58">
        <w:rPr>
          <w:rFonts w:cs="Arial"/>
          <w:szCs w:val="22"/>
        </w:rPr>
        <w:t>(</w:t>
      </w:r>
      <w:hyperlink w:anchor="S12c04" w:history="1">
        <w:r>
          <w:rPr>
            <w:rStyle w:val="Collegamentoipertestuale"/>
            <w:rFonts w:cs="Arial"/>
            <w:b/>
            <w:szCs w:val="22"/>
          </w:rPr>
          <w:t>conseguente condizione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C32AA1" w:rsidRDefault="000B33A8" w:rsidP="000B33A8">
      <w:pPr>
        <w:rPr>
          <w:rFonts w:cs="Arial"/>
          <w:szCs w:val="22"/>
        </w:rPr>
      </w:pPr>
      <w:bookmarkStart w:id="402" w:name="S12a04"/>
      <w:r w:rsidRPr="00B91F58">
        <w:rPr>
          <w:rFonts w:cs="Arial"/>
          <w:szCs w:val="22"/>
        </w:rPr>
        <w:t xml:space="preserve">4 </w:t>
      </w:r>
      <w:bookmarkEnd w:id="402"/>
      <w:r w:rsidRPr="00B91F58">
        <w:rPr>
          <w:rFonts w:cs="Arial"/>
          <w:szCs w:val="22"/>
        </w:rPr>
        <w:t xml:space="preserve">–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C32AA1">
        <w:rPr>
          <w:b/>
          <w:sz w:val="24"/>
          <w:lang w:eastAsia="ar-SA"/>
        </w:rPr>
        <w:t xml:space="preserve"> </w:t>
      </w:r>
      <w:r w:rsidRPr="00C32AA1">
        <w:rPr>
          <w:rFonts w:cs="Arial"/>
          <w:szCs w:val="22"/>
        </w:rPr>
        <w:t xml:space="preserve">alcuni fra i princìpi e i criteri di delega richiedono un migliore </w:t>
      </w:r>
      <w:r w:rsidRPr="00C32AA1">
        <w:rPr>
          <w:rFonts w:cs="Arial"/>
          <w:b/>
          <w:szCs w:val="22"/>
        </w:rPr>
        <w:t>coordinamento con la normativa vigente</w:t>
      </w:r>
      <w:r w:rsidRPr="00C32AA1">
        <w:rPr>
          <w:rFonts w:cs="Arial"/>
          <w:szCs w:val="22"/>
        </w:rPr>
        <w:t xml:space="preserve"> o una </w:t>
      </w:r>
      <w:r w:rsidRPr="00C32AA1">
        <w:rPr>
          <w:rFonts w:cs="Arial"/>
          <w:b/>
          <w:szCs w:val="22"/>
        </w:rPr>
        <w:t>più puntuale formulazione</w:t>
      </w:r>
      <w:r w:rsidRPr="00C32AA1">
        <w:rPr>
          <w:rFonts w:cs="Arial"/>
          <w:szCs w:val="22"/>
        </w:rPr>
        <w:t xml:space="preserve"> onde prevenire dubbi interpretativi e applicativi; in particolare:</w:t>
      </w:r>
    </w:p>
    <w:p w:rsidR="000B33A8" w:rsidRPr="00C32AA1" w:rsidRDefault="000B33A8" w:rsidP="000B33A8">
      <w:pPr>
        <w:rPr>
          <w:rFonts w:cs="Arial"/>
          <w:szCs w:val="22"/>
        </w:rPr>
      </w:pPr>
      <w:r w:rsidRPr="00C32AA1">
        <w:rPr>
          <w:rFonts w:cs="Arial"/>
          <w:i/>
          <w:szCs w:val="22"/>
        </w:rPr>
        <w:t>a)</w:t>
      </w:r>
      <w:r w:rsidRPr="00C32AA1">
        <w:rPr>
          <w:rFonts w:cs="Arial"/>
          <w:szCs w:val="22"/>
        </w:rPr>
        <w:t xml:space="preserve"> all’articolo 1, il comma 1 fa riferimento ai “sistemi di comunicazione non ripudiabili”: si tratta di una espressione nuova per l’ordinamento, di cui andrebbe chiarito il significato;</w:t>
      </w:r>
    </w:p>
    <w:p w:rsidR="000B33A8" w:rsidRPr="00C32AA1" w:rsidRDefault="000B33A8" w:rsidP="000B33A8">
      <w:pPr>
        <w:rPr>
          <w:rFonts w:cs="Arial"/>
          <w:szCs w:val="22"/>
        </w:rPr>
      </w:pPr>
      <w:r w:rsidRPr="00C32AA1">
        <w:rPr>
          <w:rFonts w:cs="Arial"/>
          <w:i/>
          <w:szCs w:val="22"/>
        </w:rPr>
        <w:t>b)</w:t>
      </w:r>
      <w:r w:rsidRPr="00C32AA1">
        <w:rPr>
          <w:rFonts w:cs="Arial"/>
          <w:szCs w:val="22"/>
        </w:rPr>
        <w:t xml:space="preserve"> all’articolo 2, il comma 1, lettera </w:t>
      </w:r>
      <w:r w:rsidRPr="00C32AA1">
        <w:rPr>
          <w:rFonts w:cs="Arial"/>
          <w:i/>
          <w:szCs w:val="22"/>
        </w:rPr>
        <w:t>m)</w:t>
      </w:r>
      <w:r w:rsidRPr="00C32AA1">
        <w:rPr>
          <w:rFonts w:cs="Arial"/>
          <w:szCs w:val="22"/>
        </w:rPr>
        <w:t>, indica, fra i criteri direttivi per la riforma della conferenza di servizi, la “possibilità per le amministrazioni di assumere determinazioni in via di autotutela … purché abbiano partecipato alla conferenza di servizi o si siano espresse nei termini”: sarebbe opportuno specificare meglio il criterio, prevedendo già in sede di delega legislativa quale sia l’effetto del ritiro in autotutela sul provvedimento finale;</w:t>
      </w:r>
    </w:p>
    <w:p w:rsidR="000B33A8" w:rsidRPr="00C32AA1" w:rsidRDefault="000B33A8" w:rsidP="000B33A8">
      <w:pPr>
        <w:rPr>
          <w:rFonts w:cs="Arial"/>
          <w:szCs w:val="22"/>
        </w:rPr>
      </w:pPr>
      <w:r w:rsidRPr="00C32AA1">
        <w:rPr>
          <w:rFonts w:cs="Arial"/>
          <w:i/>
          <w:szCs w:val="22"/>
        </w:rPr>
        <w:t>c)</w:t>
      </w:r>
      <w:r w:rsidRPr="00C32AA1">
        <w:rPr>
          <w:rFonts w:cs="Arial"/>
          <w:szCs w:val="22"/>
        </w:rPr>
        <w:t xml:space="preserve"> all’articolo 7, comma 1, lettera </w:t>
      </w:r>
      <w:r w:rsidRPr="00C32AA1">
        <w:rPr>
          <w:rFonts w:cs="Arial"/>
          <w:i/>
          <w:szCs w:val="22"/>
        </w:rPr>
        <w:t>e)</w:t>
      </w:r>
      <w:r w:rsidRPr="00C32AA1">
        <w:rPr>
          <w:rFonts w:cs="Arial"/>
          <w:szCs w:val="22"/>
        </w:rPr>
        <w:t>, non è corretto il riferimento allo “scorporo” del Comitato italiano paraolimpico (CIP) dal CONI, in quanto il CIP non è attualmente incorporato nel CONI, bensì vigilato dallo stesso;</w:t>
      </w:r>
    </w:p>
    <w:p w:rsidR="000B33A8" w:rsidRPr="00C32AA1" w:rsidRDefault="000B33A8" w:rsidP="000B33A8">
      <w:pPr>
        <w:rPr>
          <w:rFonts w:cs="Arial"/>
          <w:szCs w:val="22"/>
        </w:rPr>
      </w:pPr>
      <w:r w:rsidRPr="00C32AA1">
        <w:rPr>
          <w:rFonts w:cs="Arial"/>
          <w:i/>
          <w:szCs w:val="22"/>
        </w:rPr>
        <w:t>d)</w:t>
      </w:r>
      <w:r w:rsidRPr="00C32AA1">
        <w:rPr>
          <w:rFonts w:cs="Arial"/>
          <w:szCs w:val="22"/>
        </w:rPr>
        <w:t xml:space="preserve"> all’articolo 9, relativo alla dirigenza pubblica, il comma 1, lettera </w:t>
      </w:r>
      <w:r w:rsidRPr="00C32AA1">
        <w:rPr>
          <w:rFonts w:cs="Arial"/>
          <w:i/>
          <w:szCs w:val="22"/>
        </w:rPr>
        <w:t>b)</w:t>
      </w:r>
      <w:r w:rsidRPr="00C32AA1">
        <w:rPr>
          <w:rFonts w:cs="Arial"/>
          <w:szCs w:val="22"/>
        </w:rPr>
        <w:t xml:space="preserve">, numero 4), reca – fra i princìpi e criteri direttivi relativi alla figura dei </w:t>
      </w:r>
      <w:r w:rsidRPr="00C32AA1">
        <w:rPr>
          <w:rFonts w:cs="Arial"/>
          <w:i/>
          <w:szCs w:val="22"/>
        </w:rPr>
        <w:t>segretari comunali e provinciali</w:t>
      </w:r>
      <w:r w:rsidRPr="00C32AA1">
        <w:rPr>
          <w:rFonts w:cs="Arial"/>
          <w:szCs w:val="22"/>
        </w:rPr>
        <w:t xml:space="preserve"> – la “attribuzione alla dirigenza,  </w:t>
      </w:r>
      <w:r w:rsidRPr="00C32AA1">
        <w:rPr>
          <w:rFonts w:cs="Arial"/>
          <w:i/>
          <w:szCs w:val="22"/>
        </w:rPr>
        <w:t>di cui al presente articolo</w:t>
      </w:r>
      <w:r w:rsidRPr="00C32AA1">
        <w:rPr>
          <w:rFonts w:cs="Arial"/>
          <w:szCs w:val="22"/>
        </w:rPr>
        <w:t xml:space="preserve">, dei compiti di attuazione dell’indirizzo politico, coordinamento dell’attività amministrativa e controllo della legalità dell’azione amministrativa”: sarebbe opportuno chiarire se la predetta attribuzione sia riferita solo ai segretari comunali e provinciali (come si dedurrebbe dalla collocazione della materia) oppure a tutta la dirigenza (come si dedurrebbe dal riferimento al </w:t>
      </w:r>
      <w:r w:rsidRPr="00C32AA1">
        <w:rPr>
          <w:rFonts w:cs="Arial"/>
          <w:i/>
          <w:szCs w:val="22"/>
        </w:rPr>
        <w:t>presente articolo</w:t>
      </w:r>
      <w:r w:rsidRPr="00C32AA1">
        <w:rPr>
          <w:rFonts w:cs="Arial"/>
          <w:szCs w:val="22"/>
        </w:rPr>
        <w:t>);</w:t>
      </w:r>
    </w:p>
    <w:p w:rsidR="000B33A8" w:rsidRPr="00B91F58" w:rsidRDefault="000B33A8" w:rsidP="000B33A8">
      <w:pPr>
        <w:rPr>
          <w:rFonts w:cs="Arial"/>
          <w:szCs w:val="22"/>
        </w:rPr>
      </w:pPr>
      <w:r w:rsidRPr="00C32AA1">
        <w:rPr>
          <w:rFonts w:cs="Arial"/>
          <w:i/>
          <w:szCs w:val="22"/>
        </w:rPr>
        <w:t>e)</w:t>
      </w:r>
      <w:r w:rsidRPr="00C32AA1">
        <w:rPr>
          <w:rFonts w:cs="Arial"/>
          <w:szCs w:val="22"/>
        </w:rPr>
        <w:t xml:space="preserve"> all’articolo 15, comma 1, lettera </w:t>
      </w:r>
      <w:r w:rsidRPr="00C32AA1">
        <w:rPr>
          <w:rFonts w:cs="Arial"/>
          <w:i/>
          <w:szCs w:val="22"/>
        </w:rPr>
        <w:t>c)</w:t>
      </w:r>
      <w:r w:rsidRPr="00C32AA1">
        <w:rPr>
          <w:rFonts w:cs="Arial"/>
          <w:szCs w:val="22"/>
        </w:rPr>
        <w:t>, non appare corretto il criterio direttivo che prevede la “</w:t>
      </w:r>
      <w:r w:rsidRPr="00C32AA1">
        <w:rPr>
          <w:rFonts w:cs="Arial"/>
          <w:i/>
          <w:szCs w:val="22"/>
        </w:rPr>
        <w:t>risoluzione delle antinomie normative in base ai princìpi del diritto dell’Unione europea</w:t>
      </w:r>
      <w:r w:rsidRPr="00C32AA1">
        <w:rPr>
          <w:rFonts w:cs="Arial"/>
          <w:szCs w:val="22"/>
        </w:rPr>
        <w:t>” in quanto il richiamo dei princìpi appare o impreciso (nella misura in cui tali fonti non disciplinano la materia delle risoluzioni delle antinomie nel diritto nazionale) o privo di portata normativa (se interpretato quale richiamo meramente ricognitivo)</w:t>
      </w:r>
      <w:r w:rsidRPr="00B91F58">
        <w:rPr>
          <w:rFonts w:cs="Arial"/>
          <w:szCs w:val="22"/>
        </w:rPr>
        <w:t>»</w:t>
      </w:r>
      <w:r>
        <w:rPr>
          <w:rFonts w:cs="Arial"/>
          <w:szCs w:val="22"/>
        </w:rPr>
        <w:t xml:space="preserve"> </w:t>
      </w:r>
      <w:r w:rsidRPr="00B91F58">
        <w:rPr>
          <w:rFonts w:cs="Arial"/>
          <w:szCs w:val="22"/>
        </w:rPr>
        <w:t>(</w:t>
      </w:r>
      <w:hyperlink w:anchor="S12o01" w:history="1">
        <w:r>
          <w:rPr>
            <w:rStyle w:val="Collegamentoipertestuale"/>
            <w:rFonts w:cs="Arial"/>
            <w:b/>
            <w:szCs w:val="22"/>
          </w:rPr>
          <w:t>conseguente osservazione</w:t>
        </w:r>
      </w:hyperlink>
      <w:r w:rsidRPr="00B91F58">
        <w:rPr>
          <w:rFonts w:cs="Arial"/>
          <w:szCs w:val="22"/>
        </w:rPr>
        <w:t>)</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403" w:name="S12a05"/>
      <w:r w:rsidRPr="00B91F58">
        <w:rPr>
          <w:rFonts w:cs="Arial"/>
          <w:szCs w:val="22"/>
        </w:rPr>
        <w:t xml:space="preserve">5 </w:t>
      </w:r>
      <w:bookmarkEnd w:id="403"/>
      <w:r w:rsidRPr="00B91F58">
        <w:rPr>
          <w:rFonts w:cs="Arial"/>
          <w:szCs w:val="22"/>
        </w:rPr>
        <w:t xml:space="preserve">–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638EE">
        <w:rPr>
          <w:rFonts w:cs="Arial"/>
          <w:szCs w:val="22"/>
        </w:rPr>
        <w:t>un caso particolare è quello dell’</w:t>
      </w:r>
      <w:r w:rsidRPr="007638EE">
        <w:rPr>
          <w:rFonts w:cs="Arial"/>
          <w:b/>
          <w:szCs w:val="22"/>
        </w:rPr>
        <w:t>articolo 4</w:t>
      </w:r>
      <w:r w:rsidRPr="007638EE">
        <w:rPr>
          <w:rFonts w:cs="Arial"/>
          <w:szCs w:val="22"/>
        </w:rPr>
        <w:t xml:space="preserve">, che delega il Governo ad individuare i procedimenti oggetto di segnalazione certificata di inizio attività, quelli oggetto di silenzio assenso, quelli per i quali è necessaria l’autorizzazione espressa e quelli per i quali, in base alla legislazione vigente, è </w:t>
      </w:r>
      <w:r w:rsidRPr="007638EE">
        <w:rPr>
          <w:rFonts w:cs="Arial"/>
          <w:szCs w:val="22"/>
        </w:rPr>
        <w:lastRenderedPageBreak/>
        <w:t xml:space="preserve">sufficiente una comunicazione preventiva, introducendo anche la disciplina generale delle attività non assoggettate ad autorizzazione preventiva espressa; al comma 1 </w:t>
      </w:r>
      <w:r w:rsidRPr="007638EE">
        <w:rPr>
          <w:rFonts w:cs="Arial"/>
          <w:b/>
          <w:szCs w:val="22"/>
        </w:rPr>
        <w:t>i princìpi e criteri direttivi</w:t>
      </w:r>
      <w:r w:rsidRPr="007638EE">
        <w:rPr>
          <w:rFonts w:cs="Arial"/>
          <w:szCs w:val="22"/>
        </w:rPr>
        <w:t xml:space="preserve"> non sono esplicitati bensì sono </w:t>
      </w:r>
      <w:r w:rsidRPr="007638EE">
        <w:rPr>
          <w:rFonts w:cs="Arial"/>
          <w:b/>
          <w:szCs w:val="22"/>
        </w:rPr>
        <w:t xml:space="preserve">individuati </w:t>
      </w:r>
      <w:r w:rsidRPr="007638EE">
        <w:rPr>
          <w:rFonts w:cs="Arial"/>
          <w:b/>
          <w:i/>
          <w:szCs w:val="22"/>
        </w:rPr>
        <w:t>per relationem</w:t>
      </w:r>
      <w:r w:rsidRPr="007638EE">
        <w:rPr>
          <w:rFonts w:cs="Arial"/>
          <w:szCs w:val="22"/>
        </w:rPr>
        <w:t xml:space="preserve">, con riferimento alla disciplina vigente, nazionale ed europea, come appare appropriato per una delega di tipo “ricognitivo” o “compilativo”; al riguardo, il Comitato per la legislazione ha già segnalato in altre circostanze (da ultimo, ad esempio, nel </w:t>
      </w:r>
      <w:r w:rsidRPr="007638EE">
        <w:rPr>
          <w:rFonts w:cs="Arial"/>
          <w:b/>
          <w:szCs w:val="22"/>
        </w:rPr>
        <w:t>parere sul disegno di legge C. 2617</w:t>
      </w:r>
      <w:r w:rsidRPr="007638EE">
        <w:rPr>
          <w:rFonts w:cs="Arial"/>
          <w:szCs w:val="22"/>
        </w:rPr>
        <w:t xml:space="preserve">, riforma del terzo settore) che l’individuazione dei princìpi e criteri direttivi </w:t>
      </w:r>
      <w:r w:rsidRPr="007638EE">
        <w:rPr>
          <w:rFonts w:cs="Arial"/>
          <w:i/>
          <w:szCs w:val="22"/>
        </w:rPr>
        <w:t>per relationem</w:t>
      </w:r>
      <w:r w:rsidRPr="007638EE">
        <w:rPr>
          <w:rFonts w:cs="Arial"/>
          <w:szCs w:val="22"/>
        </w:rPr>
        <w:t xml:space="preserve"> restringe l’ampiezza del potere dispositivo conferito al legislatore delegato; infatti, è proprio nel caso delle deleghe non innovative che la </w:t>
      </w:r>
      <w:r w:rsidRPr="007638EE">
        <w:rPr>
          <w:rFonts w:cs="Arial"/>
          <w:b/>
          <w:szCs w:val="22"/>
        </w:rPr>
        <w:t>Corte costituzionale</w:t>
      </w:r>
      <w:r w:rsidRPr="007638EE">
        <w:rPr>
          <w:rFonts w:cs="Arial"/>
          <w:szCs w:val="22"/>
        </w:rPr>
        <w:t xml:space="preserve"> ha ammesso che i princìpi e criteri direttivi, in luogo di essere puntualmente esplicitati, possano essere ricavabili anche </w:t>
      </w:r>
      <w:r w:rsidRPr="007638EE">
        <w:rPr>
          <w:rFonts w:cs="Arial"/>
          <w:i/>
          <w:szCs w:val="22"/>
        </w:rPr>
        <w:t>per relationem</w:t>
      </w:r>
      <w:r w:rsidRPr="007638EE">
        <w:rPr>
          <w:rFonts w:cs="Arial"/>
          <w:szCs w:val="22"/>
        </w:rPr>
        <w:t>, mediante rinvio al diritto vigente (</w:t>
      </w:r>
      <w:r w:rsidRPr="007638EE">
        <w:rPr>
          <w:rFonts w:cs="Arial"/>
          <w:b/>
          <w:szCs w:val="22"/>
        </w:rPr>
        <w:t xml:space="preserve">sentenze n. 52 </w:t>
      </w:r>
      <w:r w:rsidRPr="007638EE">
        <w:rPr>
          <w:rFonts w:cs="Arial"/>
          <w:szCs w:val="22"/>
        </w:rPr>
        <w:t>e</w:t>
      </w:r>
      <w:r w:rsidRPr="007638EE">
        <w:rPr>
          <w:rFonts w:cs="Arial"/>
          <w:b/>
          <w:szCs w:val="22"/>
        </w:rPr>
        <w:t xml:space="preserve"> 53 </w:t>
      </w:r>
      <w:r w:rsidRPr="007638EE">
        <w:rPr>
          <w:rFonts w:cs="Arial"/>
          <w:szCs w:val="22"/>
        </w:rPr>
        <w:t>del</w:t>
      </w:r>
      <w:r w:rsidRPr="007638EE">
        <w:rPr>
          <w:rFonts w:cs="Arial"/>
          <w:b/>
          <w:szCs w:val="22"/>
        </w:rPr>
        <w:t xml:space="preserve"> 2005, n. 174 </w:t>
      </w:r>
      <w:r w:rsidRPr="007638EE">
        <w:rPr>
          <w:rFonts w:cs="Arial"/>
          <w:szCs w:val="22"/>
        </w:rPr>
        <w:t>del</w:t>
      </w:r>
      <w:r w:rsidRPr="007638EE">
        <w:rPr>
          <w:rFonts w:cs="Arial"/>
          <w:b/>
          <w:szCs w:val="22"/>
        </w:rPr>
        <w:t xml:space="preserve"> 2005 </w:t>
      </w:r>
      <w:r w:rsidRPr="007638EE">
        <w:rPr>
          <w:rFonts w:cs="Arial"/>
          <w:szCs w:val="22"/>
        </w:rPr>
        <w:t xml:space="preserve">e </w:t>
      </w:r>
      <w:r w:rsidRPr="007638EE">
        <w:rPr>
          <w:rFonts w:cs="Arial"/>
          <w:b/>
          <w:szCs w:val="22"/>
        </w:rPr>
        <w:t>n. 341 del 2007</w:t>
      </w:r>
      <w:r w:rsidRPr="007638EE">
        <w:rPr>
          <w:rFonts w:cs="Arial"/>
          <w:szCs w:val="22"/>
        </w:rPr>
        <w:t>), in quanto “La necessità della indicazione di princìpi e di criteri direttivi idonei a circoscrivere le diverse scelte discrezionali dell'esecutivo riguarda i casi in cui la revisione ed il riordino comportino l'introduzione di norme aventi contenuto innovativo rispetto alla disciplina previgente, mentre tale specifica indicazione può anche mancare allorché le nuove disposizioni abbiano carattere di sostanziale conferma delle precedenti” (</w:t>
      </w:r>
      <w:r w:rsidRPr="007638EE">
        <w:rPr>
          <w:rFonts w:cs="Arial"/>
          <w:b/>
          <w:szCs w:val="22"/>
        </w:rPr>
        <w:t xml:space="preserve">sentenza n. 350 </w:t>
      </w:r>
      <w:r w:rsidRPr="007638EE">
        <w:rPr>
          <w:rFonts w:cs="Arial"/>
          <w:szCs w:val="22"/>
        </w:rPr>
        <w:t>del</w:t>
      </w:r>
      <w:r w:rsidRPr="007638EE">
        <w:rPr>
          <w:rFonts w:cs="Arial"/>
          <w:b/>
          <w:szCs w:val="22"/>
        </w:rPr>
        <w:t xml:space="preserve"> 2007, </w:t>
      </w:r>
      <w:r w:rsidRPr="007638EE">
        <w:rPr>
          <w:rFonts w:cs="Arial"/>
          <w:szCs w:val="22"/>
        </w:rPr>
        <w:t xml:space="preserve">che riprende la </w:t>
      </w:r>
      <w:r w:rsidRPr="007638EE">
        <w:rPr>
          <w:rFonts w:cs="Arial"/>
          <w:b/>
          <w:szCs w:val="22"/>
        </w:rPr>
        <w:t xml:space="preserve">n. 66 </w:t>
      </w:r>
      <w:r w:rsidRPr="007638EE">
        <w:rPr>
          <w:rFonts w:cs="Arial"/>
          <w:szCs w:val="22"/>
        </w:rPr>
        <w:t>del</w:t>
      </w:r>
      <w:r w:rsidRPr="007638EE">
        <w:rPr>
          <w:rFonts w:cs="Arial"/>
          <w:b/>
          <w:szCs w:val="22"/>
        </w:rPr>
        <w:t xml:space="preserve"> 2005 </w:t>
      </w:r>
      <w:r w:rsidRPr="007638EE">
        <w:rPr>
          <w:rFonts w:cs="Arial"/>
          <w:szCs w:val="22"/>
        </w:rPr>
        <w:t>e la</w:t>
      </w:r>
      <w:r w:rsidRPr="007638EE">
        <w:rPr>
          <w:rFonts w:cs="Arial"/>
          <w:b/>
          <w:szCs w:val="22"/>
        </w:rPr>
        <w:t xml:space="preserve"> n. 239 </w:t>
      </w:r>
      <w:r w:rsidRPr="007638EE">
        <w:rPr>
          <w:rFonts w:cs="Arial"/>
          <w:szCs w:val="22"/>
        </w:rPr>
        <w:t xml:space="preserve">del </w:t>
      </w:r>
      <w:r w:rsidRPr="007638EE">
        <w:rPr>
          <w:rFonts w:cs="Arial"/>
          <w:b/>
          <w:szCs w:val="22"/>
        </w:rPr>
        <w:t>2003</w:t>
      </w:r>
      <w:r w:rsidRPr="007638EE">
        <w:rPr>
          <w:rFonts w:cs="Arial"/>
          <w:szCs w:val="22"/>
        </w:rPr>
        <w:t xml:space="preserve">). Alla luce di tali considerazioni, qualora si intendesse conferire al Governo una delega di contenuto innovativo, sarebbe conseguentemente necessario individuare princìpi e criteri direttivi specifici, diversi da quelli già desumibili dall’ordinamento (ciò parrebbe comunque necessario con riferimento all’oggetto di delega relativo all’introduzione della “disciplina generale delle attività non assoggettate ad autorizzazione preventiva espressa … e di svolgimento della procedura, anche telematica, nonché degli strumenti per documentare o attestare gli effetti prodotti dai predetti atti”, oggetto il quale sembra riferibile a una delega di tipo </w:t>
      </w:r>
      <w:r w:rsidRPr="007638EE">
        <w:rPr>
          <w:rFonts w:cs="Arial"/>
          <w:i/>
          <w:szCs w:val="22"/>
        </w:rPr>
        <w:t>innovativo</w:t>
      </w:r>
      <w:r w:rsidRPr="007638EE">
        <w:rPr>
          <w:rFonts w:cs="Arial"/>
          <w:szCs w:val="22"/>
        </w:rPr>
        <w:t xml:space="preserve">, e non solamente di tipo </w:t>
      </w:r>
      <w:r w:rsidRPr="007638EE">
        <w:rPr>
          <w:rFonts w:cs="Arial"/>
          <w:i/>
          <w:szCs w:val="22"/>
        </w:rPr>
        <w:t>compilativo</w:t>
      </w:r>
      <w:r w:rsidRPr="007638EE">
        <w:rPr>
          <w:rFonts w:cs="Arial"/>
          <w:szCs w:val="22"/>
        </w:rPr>
        <w:t>)</w:t>
      </w:r>
      <w:r w:rsidRPr="00B91F58">
        <w:rPr>
          <w:rFonts w:cs="Arial"/>
          <w:szCs w:val="22"/>
        </w:rPr>
        <w:t>»</w:t>
      </w:r>
      <w:r>
        <w:rPr>
          <w:rFonts w:cs="Arial"/>
          <w:szCs w:val="22"/>
        </w:rPr>
        <w:t xml:space="preserve"> </w:t>
      </w:r>
      <w:r w:rsidRPr="00B91F58">
        <w:rPr>
          <w:rFonts w:cs="Arial"/>
          <w:szCs w:val="22"/>
        </w:rPr>
        <w:t>(</w:t>
      </w:r>
      <w:hyperlink w:anchor="S12c02" w:history="1">
        <w:r>
          <w:rPr>
            <w:rStyle w:val="Collegamentoipertestuale"/>
            <w:rFonts w:cs="Arial"/>
            <w:b/>
            <w:szCs w:val="22"/>
          </w:rPr>
          <w:t>conseguente condizione</w:t>
        </w:r>
      </w:hyperlink>
      <w:r w:rsidRPr="00B91F58">
        <w:rPr>
          <w:rFonts w:cs="Arial"/>
          <w:szCs w:val="22"/>
        </w:rPr>
        <w:t>)</w:t>
      </w:r>
      <w:r w:rsidRPr="0018399D">
        <w:rPr>
          <w:rFonts w:cs="Arial"/>
          <w:szCs w:val="22"/>
        </w:rPr>
        <w:t>;</w:t>
      </w:r>
      <w:r>
        <w:rPr>
          <w:rFonts w:cs="Arial"/>
          <w:szCs w:val="22"/>
        </w:rPr>
        <w:t xml:space="preserve"> </w:t>
      </w:r>
    </w:p>
    <w:p w:rsidR="000B33A8" w:rsidRDefault="000B33A8" w:rsidP="000B33A8">
      <w:pPr>
        <w:rPr>
          <w:rFonts w:cs="Arial"/>
          <w:i/>
          <w:iCs/>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404" w:name="S12a06"/>
      <w:r w:rsidRPr="00B91F58">
        <w:rPr>
          <w:rFonts w:cs="Arial"/>
          <w:szCs w:val="22"/>
        </w:rPr>
        <w:t xml:space="preserve">6 </w:t>
      </w:r>
      <w:bookmarkEnd w:id="404"/>
      <w:r w:rsidRPr="00B91F58">
        <w:rPr>
          <w:rFonts w:cs="Arial"/>
          <w:szCs w:val="22"/>
        </w:rPr>
        <w:t xml:space="preserve">–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5D1103">
        <w:rPr>
          <w:rFonts w:cs="Arial"/>
          <w:szCs w:val="22"/>
        </w:rPr>
        <w:t>altro caso particolare è quello dell’</w:t>
      </w:r>
      <w:r w:rsidRPr="005D1103">
        <w:rPr>
          <w:rFonts w:cs="Arial"/>
          <w:b/>
          <w:szCs w:val="22"/>
        </w:rPr>
        <w:t>articolo 16</w:t>
      </w:r>
      <w:r w:rsidRPr="005D1103">
        <w:rPr>
          <w:rFonts w:cs="Arial"/>
          <w:szCs w:val="22"/>
        </w:rPr>
        <w:t>, che delega il Governo ad adottare uno o più decreti legislativi finalizzati ad abrogare o modificare “</w:t>
      </w:r>
      <w:r w:rsidRPr="005D1103">
        <w:rPr>
          <w:rFonts w:cs="Arial"/>
          <w:i/>
          <w:szCs w:val="22"/>
        </w:rPr>
        <w:t>disposizioni legislative, entrate in vigore dopo il 31 dicembre 2011, che prevedono provvedimenti non legislativi di attuazione</w:t>
      </w:r>
      <w:r w:rsidRPr="005D1103">
        <w:rPr>
          <w:rFonts w:cs="Arial"/>
          <w:szCs w:val="22"/>
        </w:rPr>
        <w:t xml:space="preserve">”, enucleando due </w:t>
      </w:r>
      <w:r w:rsidRPr="005D1103">
        <w:rPr>
          <w:rFonts w:cs="Arial"/>
          <w:b/>
          <w:szCs w:val="22"/>
        </w:rPr>
        <w:t>principi e criteri direttivi</w:t>
      </w:r>
      <w:r w:rsidRPr="005D1103">
        <w:rPr>
          <w:rFonts w:cs="Arial"/>
          <w:szCs w:val="22"/>
        </w:rPr>
        <w:t xml:space="preserve"> che appaiono nella sostanza </w:t>
      </w:r>
      <w:r w:rsidRPr="005D1103">
        <w:rPr>
          <w:rFonts w:cs="Arial"/>
          <w:b/>
          <w:szCs w:val="22"/>
        </w:rPr>
        <w:t>quasi coincidere con l’oggetto stesso della delega</w:t>
      </w:r>
      <w:r w:rsidRPr="005D1103">
        <w:rPr>
          <w:rFonts w:cs="Arial"/>
          <w:szCs w:val="22"/>
        </w:rPr>
        <w:t xml:space="preserve"> (“a) </w:t>
      </w:r>
      <w:r w:rsidRPr="005D1103">
        <w:rPr>
          <w:rFonts w:cs="Arial"/>
          <w:i/>
          <w:szCs w:val="22"/>
        </w:rPr>
        <w:t>individuare, fra le disposizioni di legge che prevedono l'adozione di provvedimenti attuativi, quelle che devono essere modificate al solo fine di favorire l'adozione dei medesimi provvedimenti e apportarvi le modificazioni necessarie;</w:t>
      </w:r>
      <w:r w:rsidRPr="005D1103">
        <w:rPr>
          <w:rFonts w:cs="Arial"/>
          <w:szCs w:val="22"/>
        </w:rPr>
        <w:t xml:space="preserve"> b) </w:t>
      </w:r>
      <w:r w:rsidRPr="005D1103">
        <w:rPr>
          <w:rFonts w:cs="Arial"/>
          <w:i/>
          <w:szCs w:val="22"/>
        </w:rPr>
        <w:t xml:space="preserve">individuare, fra le disposizioni di legge che prevedono l'adozione di provvedimenti attuativi, quelle per le quali non sussistono più le condizioni per l'adozione dei provvedimenti medesimi e </w:t>
      </w:r>
      <w:r w:rsidRPr="005D1103">
        <w:rPr>
          <w:rFonts w:cs="Arial"/>
          <w:i/>
          <w:szCs w:val="22"/>
        </w:rPr>
        <w:lastRenderedPageBreak/>
        <w:t>disporne l'abrogazione espressa e specifica</w:t>
      </w:r>
      <w:r w:rsidRPr="005D1103">
        <w:rPr>
          <w:rFonts w:cs="Arial"/>
          <w:szCs w:val="22"/>
        </w:rPr>
        <w:t>”); si osserva che l’oggetto della delega è, certamente, definito, nella misura in cui i suoi confini sono individuabili senza incertezze; esso è, comunque, relativo a una pluralità assai ampia e molteplice di oggetti di disciplina: proprio per questo la delega richiederebbe l’individuazione puntuale e specifica di ulteriori princìpi e criteri direttivi idonei a circoscrivere adeguatamente la discrezionalità del legislatore delegato</w:t>
      </w:r>
      <w:r w:rsidRPr="00B91F58">
        <w:rPr>
          <w:rFonts w:cs="Arial"/>
          <w:szCs w:val="22"/>
        </w:rPr>
        <w:t>»</w:t>
      </w:r>
      <w:r>
        <w:rPr>
          <w:rFonts w:cs="Arial"/>
          <w:szCs w:val="22"/>
        </w:rPr>
        <w:t xml:space="preserve"> </w:t>
      </w:r>
      <w:r w:rsidRPr="00B91F58">
        <w:rPr>
          <w:rFonts w:cs="Arial"/>
          <w:szCs w:val="22"/>
        </w:rPr>
        <w:t>(</w:t>
      </w:r>
      <w:hyperlink w:anchor="S12c03" w:history="1">
        <w:r>
          <w:rPr>
            <w:rStyle w:val="Collegamentoipertestuale"/>
            <w:rFonts w:cs="Arial"/>
            <w:b/>
            <w:szCs w:val="22"/>
          </w:rPr>
          <w:t>conseguente condizione</w:t>
        </w:r>
      </w:hyperlink>
      <w:r w:rsidRPr="00B91F58">
        <w:rPr>
          <w:rFonts w:cs="Arial"/>
          <w:szCs w:val="22"/>
        </w:rPr>
        <w:t>)</w:t>
      </w:r>
      <w:r>
        <w:rPr>
          <w:rFonts w:cs="Arial"/>
          <w:szCs w:val="22"/>
        </w:rPr>
        <w:t>;</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405" w:name="S12a07"/>
      <w:r w:rsidRPr="00B91F58">
        <w:rPr>
          <w:rFonts w:cs="Arial"/>
          <w:szCs w:val="22"/>
        </w:rPr>
        <w:t xml:space="preserve">7 </w:t>
      </w:r>
      <w:bookmarkEnd w:id="405"/>
      <w:r w:rsidRPr="00B91F58">
        <w:rPr>
          <w:rFonts w:cs="Arial"/>
          <w:szCs w:val="22"/>
        </w:rPr>
        <w:t xml:space="preserve">–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5D1103">
        <w:rPr>
          <w:rFonts w:cs="Arial"/>
          <w:szCs w:val="22"/>
        </w:rPr>
        <w:t xml:space="preserve">per quanto  riguarda </w:t>
      </w:r>
      <w:r w:rsidRPr="005D1103">
        <w:rPr>
          <w:rFonts w:cs="Arial"/>
          <w:b/>
          <w:szCs w:val="22"/>
        </w:rPr>
        <w:t>l’oggetto della delega</w:t>
      </w:r>
      <w:r w:rsidRPr="005D1103">
        <w:rPr>
          <w:rFonts w:cs="Arial"/>
          <w:szCs w:val="22"/>
        </w:rPr>
        <w:t xml:space="preserve">, è individuato il termine iniziale di entrata in vigore delle disposizioni legislative che prevedono provvedimenti non legislativi di attuazione (fissato al 1° gennaio 2012), ma non un termine finale, in assenza del quale si dovrebbe fare riferimento alla data di entrata in vigore della legge di delegazione: al fine di evitare comunque incertezze e di definire compiutamente l’oggetto della delega, andrebbe valutata l’opportunità di esplicitare anche </w:t>
      </w:r>
      <w:r w:rsidRPr="005D1103">
        <w:rPr>
          <w:rFonts w:cs="Arial"/>
          <w:b/>
          <w:szCs w:val="22"/>
        </w:rPr>
        <w:t>il termine ultimo di riferimento nell’oggetto della delega</w:t>
      </w:r>
      <w:r w:rsidRPr="00B91F58">
        <w:rPr>
          <w:rFonts w:cs="Arial"/>
          <w:szCs w:val="22"/>
        </w:rPr>
        <w:t>»</w:t>
      </w:r>
      <w:r>
        <w:rPr>
          <w:rFonts w:cs="Arial"/>
          <w:szCs w:val="22"/>
        </w:rPr>
        <w:t xml:space="preserve"> </w:t>
      </w:r>
      <w:r w:rsidRPr="00B91F58">
        <w:rPr>
          <w:rFonts w:cs="Arial"/>
          <w:szCs w:val="22"/>
        </w:rPr>
        <w:t>(</w:t>
      </w:r>
      <w:hyperlink w:anchor="S12o03" w:history="1">
        <w:r>
          <w:rPr>
            <w:rStyle w:val="Collegamentoipertestuale"/>
            <w:rFonts w:cs="Arial"/>
            <w:b/>
            <w:szCs w:val="22"/>
          </w:rPr>
          <w:t>conseguente osservazione</w:t>
        </w:r>
      </w:hyperlink>
      <w:r w:rsidRPr="00B91F58">
        <w:rPr>
          <w:rFonts w:cs="Arial"/>
          <w:szCs w:val="22"/>
        </w:rPr>
        <w:t>)</w:t>
      </w:r>
      <w:r>
        <w:rPr>
          <w:rFonts w:cs="Arial"/>
          <w:szCs w:val="22"/>
        </w:rPr>
        <w:t>;</w:t>
      </w:r>
    </w:p>
    <w:p w:rsidR="000B33A8" w:rsidRPr="00B91F58" w:rsidRDefault="000B33A8" w:rsidP="000B33A8">
      <w:pPr>
        <w:rPr>
          <w:rFonts w:cs="Arial"/>
          <w:szCs w:val="22"/>
        </w:rPr>
      </w:pPr>
    </w:p>
    <w:p w:rsidR="000B33A8" w:rsidRDefault="000B33A8" w:rsidP="000B33A8">
      <w:pPr>
        <w:rPr>
          <w:rFonts w:cs="Arial"/>
          <w:szCs w:val="22"/>
        </w:rPr>
      </w:pPr>
    </w:p>
    <w:p w:rsidR="000B33A8" w:rsidRPr="005D1103" w:rsidRDefault="000B33A8" w:rsidP="000B33A8">
      <w:pPr>
        <w:rPr>
          <w:sz w:val="24"/>
          <w:lang w:eastAsia="ar-SA"/>
        </w:rPr>
      </w:pPr>
      <w:bookmarkStart w:id="406" w:name="S12a08"/>
      <w:r>
        <w:rPr>
          <w:rFonts w:cs="Arial"/>
          <w:szCs w:val="22"/>
        </w:rPr>
        <w:t xml:space="preserve">8 </w:t>
      </w:r>
      <w:bookmarkEnd w:id="406"/>
      <w:r>
        <w:rPr>
          <w:rFonts w:cs="Arial"/>
          <w:szCs w:val="22"/>
        </w:rPr>
        <w:t xml:space="preserve">-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E772E0">
        <w:rPr>
          <w:rStyle w:val="Collegamentoipertestuale"/>
          <w:rFonts w:cs="Arial"/>
          <w:szCs w:val="22"/>
        </w:rPr>
        <w:t xml:space="preserve"> </w:t>
      </w:r>
      <w:r w:rsidRPr="00B91F58">
        <w:rPr>
          <w:rFonts w:cs="Arial"/>
          <w:szCs w:val="22"/>
        </w:rPr>
        <w:t>«</w:t>
      </w:r>
      <w:r w:rsidRPr="005D1103">
        <w:rPr>
          <w:rFonts w:cs="Arial"/>
          <w:szCs w:val="22"/>
        </w:rPr>
        <w:t xml:space="preserve">alcuni </w:t>
      </w:r>
      <w:r w:rsidRPr="005D1103">
        <w:rPr>
          <w:rFonts w:cs="Arial"/>
          <w:b/>
          <w:szCs w:val="22"/>
        </w:rPr>
        <w:t>criteri di delega</w:t>
      </w:r>
      <w:r w:rsidRPr="005D1103">
        <w:rPr>
          <w:rFonts w:cs="Arial"/>
          <w:szCs w:val="22"/>
        </w:rPr>
        <w:t xml:space="preserve"> sembrano richiedere un </w:t>
      </w:r>
      <w:r w:rsidRPr="005D1103">
        <w:rPr>
          <w:rFonts w:cs="Arial"/>
          <w:b/>
          <w:szCs w:val="22"/>
        </w:rPr>
        <w:t>coordinamento con la normativa vigente</w:t>
      </w:r>
      <w:r w:rsidRPr="005D1103">
        <w:rPr>
          <w:rFonts w:cs="Arial"/>
          <w:szCs w:val="22"/>
        </w:rPr>
        <w:t>: all’articolo 7, comma 1:</w:t>
      </w:r>
    </w:p>
    <w:p w:rsidR="000B33A8" w:rsidRPr="005D1103" w:rsidRDefault="000B33A8" w:rsidP="000B33A8">
      <w:pPr>
        <w:rPr>
          <w:rFonts w:cs="Arial"/>
          <w:szCs w:val="22"/>
        </w:rPr>
      </w:pPr>
      <w:r w:rsidRPr="005D1103">
        <w:rPr>
          <w:rFonts w:cs="Arial"/>
          <w:szCs w:val="22"/>
        </w:rPr>
        <w:t xml:space="preserve">- la lettera </w:t>
      </w:r>
      <w:r w:rsidRPr="005D1103">
        <w:rPr>
          <w:rFonts w:cs="Arial"/>
          <w:i/>
          <w:szCs w:val="22"/>
        </w:rPr>
        <w:t>b)</w:t>
      </w:r>
      <w:r w:rsidRPr="005D1103">
        <w:rPr>
          <w:rFonts w:cs="Arial"/>
          <w:szCs w:val="22"/>
        </w:rPr>
        <w:t xml:space="preserve">, n. 3) prevede che “i procedimenti di designazione o di nomina di competenza, diretta o indiretta, del Governo o di singoli Ministri… siano oggetto di esame in Consiglio dei ministri”: andrebbe valutata l’opportunità di chiarire come tale norma si coordini con </w:t>
      </w:r>
      <w:r w:rsidRPr="005D1103">
        <w:rPr>
          <w:rFonts w:cs="Arial"/>
          <w:b/>
          <w:szCs w:val="22"/>
        </w:rPr>
        <w:t xml:space="preserve">l’articolo 1, comma 1, lettera </w:t>
      </w:r>
      <w:r w:rsidRPr="005D1103">
        <w:rPr>
          <w:rFonts w:cs="Arial"/>
          <w:b/>
          <w:i/>
          <w:szCs w:val="22"/>
        </w:rPr>
        <w:t>ii)</w:t>
      </w:r>
      <w:r w:rsidRPr="005D1103">
        <w:rPr>
          <w:rFonts w:cs="Arial"/>
          <w:b/>
          <w:szCs w:val="22"/>
        </w:rPr>
        <w:t xml:space="preserve"> della legge 12 gennaio 1991, n. 13</w:t>
      </w:r>
      <w:r w:rsidRPr="005D1103">
        <w:rPr>
          <w:rFonts w:cs="Arial"/>
          <w:szCs w:val="22"/>
        </w:rPr>
        <w:t>, in base alla quale sono adottati con decreto del Presidente della Repubblica “tutti gli atti per i quali è intervenuta  la  deliberazione del Consiglio dei Ministri;</w:t>
      </w:r>
    </w:p>
    <w:p w:rsidR="000B33A8" w:rsidRPr="005D1103" w:rsidRDefault="000B33A8" w:rsidP="000B33A8">
      <w:pPr>
        <w:rPr>
          <w:rFonts w:cs="Arial"/>
          <w:szCs w:val="22"/>
        </w:rPr>
      </w:pPr>
      <w:r w:rsidRPr="005D1103">
        <w:rPr>
          <w:rFonts w:cs="Arial"/>
          <w:szCs w:val="22"/>
        </w:rPr>
        <w:t xml:space="preserve">- la lettera </w:t>
      </w:r>
      <w:r w:rsidRPr="005D1103">
        <w:rPr>
          <w:rFonts w:cs="Arial"/>
          <w:i/>
          <w:szCs w:val="22"/>
        </w:rPr>
        <w:t>b)</w:t>
      </w:r>
      <w:r w:rsidRPr="005D1103">
        <w:rPr>
          <w:rFonts w:cs="Arial"/>
          <w:szCs w:val="22"/>
        </w:rPr>
        <w:t xml:space="preserve">, numero 4), delega il Governo a precisare “la disciplina degli uffici di diretta collaborazione dei Ministri, dei vice ministri e dei sottosegretari di Stato, con determinazione da parte del Presidente del Consiglio dei ministri delle risorse finanziarie destinate ai suddetti uffici”: andrebbe valutata l’opportunità di chiarire come tale previsione si coordini con quella recata dal </w:t>
      </w:r>
      <w:r w:rsidRPr="005D1103">
        <w:rPr>
          <w:rFonts w:cs="Arial"/>
          <w:b/>
          <w:szCs w:val="22"/>
        </w:rPr>
        <w:t>comma 4-</w:t>
      </w:r>
      <w:r w:rsidRPr="005D1103">
        <w:rPr>
          <w:rFonts w:cs="Arial"/>
          <w:b/>
          <w:i/>
          <w:szCs w:val="22"/>
        </w:rPr>
        <w:t>bis</w:t>
      </w:r>
      <w:r w:rsidRPr="005D1103">
        <w:rPr>
          <w:rFonts w:cs="Arial"/>
          <w:b/>
          <w:szCs w:val="22"/>
        </w:rPr>
        <w:t xml:space="preserve"> dell’articolo 17 della legge n. 400 del 1988</w:t>
      </w:r>
      <w:r w:rsidRPr="005D1103">
        <w:rPr>
          <w:rFonts w:cs="Arial"/>
          <w:szCs w:val="22"/>
        </w:rPr>
        <w:t>, che prevede per la disciplina degli uffici di diretta collaborazione dei Ministri un regolamento governativo adottato con decreto del Presidente della Repubblica, previo parere delle competenti Commissioni parlamentari; si dovrebbe in particolare, dunque, chiarire con quale strumento venga adottata la determinazione del Presidente del Consiglio dei ministri;</w:t>
      </w:r>
    </w:p>
    <w:p w:rsidR="000B33A8" w:rsidRDefault="000B33A8" w:rsidP="000B33A8">
      <w:pPr>
        <w:rPr>
          <w:rFonts w:cs="Arial"/>
          <w:szCs w:val="22"/>
        </w:rPr>
      </w:pPr>
      <w:r w:rsidRPr="005D1103">
        <w:rPr>
          <w:rFonts w:cs="Arial"/>
          <w:szCs w:val="22"/>
        </w:rPr>
        <w:t xml:space="preserve">- la lettera </w:t>
      </w:r>
      <w:r w:rsidRPr="005D1103">
        <w:rPr>
          <w:rFonts w:cs="Arial"/>
          <w:i/>
          <w:szCs w:val="22"/>
        </w:rPr>
        <w:t>c)</w:t>
      </w:r>
      <w:r w:rsidRPr="005D1103">
        <w:rPr>
          <w:rFonts w:cs="Arial"/>
          <w:szCs w:val="22"/>
        </w:rPr>
        <w:t xml:space="preserve"> prevede (peraltro in via eventuale, come già detto sopra) l’accorpamento delle funzioni svolte dagli uffici del Pubblico registro automobilistico e dalla Direzione generale per la motorizzazione del Ministero </w:t>
      </w:r>
      <w:r w:rsidRPr="005D1103">
        <w:rPr>
          <w:rFonts w:cs="Arial"/>
          <w:szCs w:val="22"/>
        </w:rPr>
        <w:lastRenderedPageBreak/>
        <w:t>delle infrastrutture e dei trasporti: il comma 427 dell’articolo 1 della legge n. 147 del 2013 dispone la medesima unificazione, da effettuarsi con regolamento di delegificazione, ai sensi dell’</w:t>
      </w:r>
      <w:r w:rsidRPr="005D1103">
        <w:rPr>
          <w:rFonts w:cs="Arial"/>
          <w:b/>
          <w:szCs w:val="22"/>
        </w:rPr>
        <w:t>articolo 17, comma 2, della legge n. 400/1988</w:t>
      </w:r>
      <w:r w:rsidRPr="00B91F58">
        <w:rPr>
          <w:rFonts w:cs="Arial"/>
          <w:szCs w:val="22"/>
        </w:rPr>
        <w:t>»</w:t>
      </w:r>
      <w:r>
        <w:rPr>
          <w:rFonts w:cs="Arial"/>
          <w:szCs w:val="22"/>
        </w:rPr>
        <w:t xml:space="preserve"> </w:t>
      </w:r>
      <w:r w:rsidRPr="00B91F58">
        <w:rPr>
          <w:rFonts w:cs="Arial"/>
          <w:szCs w:val="22"/>
        </w:rPr>
        <w:t>(</w:t>
      </w:r>
      <w:hyperlink w:anchor="S12o02"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407" w:name="S12a09"/>
      <w:r>
        <w:rPr>
          <w:rFonts w:cs="Arial"/>
          <w:szCs w:val="22"/>
        </w:rPr>
        <w:t xml:space="preserve">9 </w:t>
      </w:r>
      <w:bookmarkEnd w:id="407"/>
      <w:r>
        <w:rPr>
          <w:rFonts w:cs="Arial"/>
          <w:szCs w:val="22"/>
        </w:rPr>
        <w:t xml:space="preserve">-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E772E0">
        <w:rPr>
          <w:rStyle w:val="Collegamentoipertestuale"/>
          <w:rFonts w:cs="Arial"/>
          <w:szCs w:val="22"/>
        </w:rPr>
        <w:t xml:space="preserve"> </w:t>
      </w:r>
      <w:r w:rsidRPr="00B91F58">
        <w:rPr>
          <w:rFonts w:cs="Arial"/>
          <w:szCs w:val="22"/>
        </w:rPr>
        <w:t>«</w:t>
      </w:r>
      <w:r w:rsidRPr="00F90D80">
        <w:rPr>
          <w:rFonts w:cs="Arial"/>
          <w:szCs w:val="22"/>
        </w:rPr>
        <w:t xml:space="preserve">per tutte le deleghe, si dispone che </w:t>
      </w:r>
      <w:r w:rsidRPr="00F90D80">
        <w:rPr>
          <w:rFonts w:cs="Arial"/>
          <w:b/>
          <w:szCs w:val="22"/>
        </w:rPr>
        <w:t>i termini per l'esercizio delle deleghe</w:t>
      </w:r>
      <w:r w:rsidRPr="00F90D80">
        <w:rPr>
          <w:rFonts w:cs="Arial"/>
          <w:szCs w:val="22"/>
        </w:rPr>
        <w:t xml:space="preserve"> possano essere prolungati qualora i termini per l'espressione dei pareri parlamentari scadano nei trenta giorni che precedono la scadenza dei termini di delega, o successivamente, impiegando pertanto la cosiddetta </w:t>
      </w:r>
      <w:r w:rsidRPr="00F90D80">
        <w:rPr>
          <w:rFonts w:cs="Arial"/>
          <w:b/>
          <w:szCs w:val="22"/>
        </w:rPr>
        <w:t>“tecnica dello scorrimento”</w:t>
      </w:r>
      <w:r w:rsidRPr="00F90D80">
        <w:rPr>
          <w:rFonts w:cs="Arial"/>
          <w:szCs w:val="22"/>
        </w:rPr>
        <w:t xml:space="preserve">, la quale non permette di individuare il termine per l’esercizio della delega in modo univoco; nell’esame del disegno di legge </w:t>
      </w:r>
      <w:r w:rsidRPr="00F90D80">
        <w:rPr>
          <w:rFonts w:cs="Arial"/>
          <w:b/>
          <w:szCs w:val="22"/>
        </w:rPr>
        <w:t>C. 2617</w:t>
      </w:r>
      <w:r w:rsidRPr="00F90D80">
        <w:rPr>
          <w:rFonts w:cs="Arial"/>
          <w:szCs w:val="22"/>
        </w:rPr>
        <w:t xml:space="preserve"> (delega per la riforma del terzo settore), dopo che </w:t>
      </w:r>
      <w:r w:rsidRPr="00F90D80">
        <w:rPr>
          <w:rFonts w:cs="Arial"/>
          <w:b/>
          <w:szCs w:val="22"/>
        </w:rPr>
        <w:t>il Comitato</w:t>
      </w:r>
      <w:r w:rsidRPr="00F90D80">
        <w:rPr>
          <w:rFonts w:cs="Arial"/>
          <w:szCs w:val="22"/>
        </w:rPr>
        <w:t xml:space="preserve"> aveva posto una condizione in tal senso, l’Assemblea della Camera ha approvato, il 1° aprile 2015, un emendamento all’articolo 1, comma 6, del disegno di legge, che ha previsto, in luogo dello scorrimento del termine di delega, un termine univoco entro il quale il Governo deve trasmettere alle Camere gli schemi dei decreti legislativi, pena l’inefficacia della delega; nel provvedimento in esame la tecnica dello scorrimento si verifica all’articolo 1, comma 2;  all’articolo 2, comma 2; all’articolo 4, comma 2; all’articolo 6, comma 2; all’articolo 7, comma 2; all’articolo 9, comma 2; all’articolo 10, comma 2; all’articolo 12, comma 4; all’articolo 16, comma 2</w:t>
      </w:r>
      <w:r w:rsidRPr="00B91F58">
        <w:rPr>
          <w:rFonts w:cs="Arial"/>
          <w:szCs w:val="22"/>
        </w:rPr>
        <w:t>»</w:t>
      </w:r>
      <w:r>
        <w:rPr>
          <w:rFonts w:cs="Arial"/>
          <w:szCs w:val="22"/>
        </w:rPr>
        <w:t xml:space="preserve"> </w:t>
      </w:r>
      <w:r w:rsidRPr="00B91F58">
        <w:rPr>
          <w:rFonts w:cs="Arial"/>
          <w:szCs w:val="22"/>
        </w:rPr>
        <w:t>(</w:t>
      </w:r>
      <w:hyperlink w:anchor="S12c05" w:history="1">
        <w:r>
          <w:rPr>
            <w:rStyle w:val="Collegamentoipertestuale"/>
            <w:rFonts w:cs="Arial"/>
            <w:b/>
            <w:szCs w:val="22"/>
          </w:rPr>
          <w:t>conseguente condizione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408" w:name="S12a10"/>
      <w:r>
        <w:rPr>
          <w:rFonts w:cs="Arial"/>
          <w:szCs w:val="22"/>
        </w:rPr>
        <w:t>10</w:t>
      </w:r>
      <w:bookmarkEnd w:id="408"/>
      <w:r>
        <w:rPr>
          <w:rFonts w:cs="Arial"/>
          <w:szCs w:val="22"/>
        </w:rPr>
        <w:t xml:space="preserve"> -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E772E0">
        <w:rPr>
          <w:rStyle w:val="Collegamentoipertestuale"/>
          <w:rFonts w:cs="Arial"/>
          <w:szCs w:val="22"/>
        </w:rPr>
        <w:t xml:space="preserve"> </w:t>
      </w:r>
      <w:r w:rsidRPr="00B91F58">
        <w:rPr>
          <w:rFonts w:cs="Arial"/>
          <w:szCs w:val="22"/>
        </w:rPr>
        <w:t>«</w:t>
      </w:r>
      <w:r w:rsidRPr="00E30851">
        <w:rPr>
          <w:rFonts w:cs="Arial"/>
          <w:szCs w:val="22"/>
        </w:rPr>
        <w:t xml:space="preserve">l’articolo 16, comma 3, dispone che l’adozione di eventuali </w:t>
      </w:r>
      <w:r w:rsidRPr="00E30851">
        <w:rPr>
          <w:rFonts w:cs="Arial"/>
          <w:b/>
          <w:szCs w:val="22"/>
        </w:rPr>
        <w:t>decreti legislativi correttivi e integrativi</w:t>
      </w:r>
      <w:r w:rsidRPr="00E30851">
        <w:rPr>
          <w:rFonts w:cs="Arial"/>
          <w:szCs w:val="22"/>
        </w:rPr>
        <w:t xml:space="preserve"> debba avvenire “Entro dodici mesi dalla data di entrata in vigore dell’ultimo dei decreti legislativi di cui al presente articolo”, utilizzando dunque una formulazione che genera incertezza circa il </w:t>
      </w:r>
      <w:r w:rsidRPr="00E30851">
        <w:rPr>
          <w:rFonts w:cs="Arial"/>
          <w:b/>
          <w:szCs w:val="22"/>
        </w:rPr>
        <w:t>termine ultimo per l’esercizio della delega integrativa e correttiva</w:t>
      </w:r>
      <w:r w:rsidRPr="00E30851">
        <w:rPr>
          <w:rFonts w:cs="Arial"/>
          <w:szCs w:val="22"/>
        </w:rPr>
        <w:t>, salvo che nell'unico decreto legislativo o nell'ultimo di essi (in caso di pluralità di atti) non vi sia un'auto-qualificazione del provvedimento in termini di “ultimo decreto legislativo”, che consenta di dissipare tale incertezza</w:t>
      </w:r>
      <w:r w:rsidRPr="00B91F58">
        <w:rPr>
          <w:rFonts w:cs="Arial"/>
          <w:szCs w:val="22"/>
        </w:rPr>
        <w:t>»</w:t>
      </w:r>
      <w:r>
        <w:rPr>
          <w:rFonts w:cs="Arial"/>
          <w:szCs w:val="22"/>
        </w:rPr>
        <w:t xml:space="preserve"> </w:t>
      </w:r>
      <w:r w:rsidRPr="00B91F58">
        <w:rPr>
          <w:rFonts w:cs="Arial"/>
          <w:szCs w:val="22"/>
        </w:rPr>
        <w:t>(</w:t>
      </w:r>
      <w:hyperlink w:anchor="S12c06" w:history="1">
        <w:r>
          <w:rPr>
            <w:rStyle w:val="Collegamentoipertestuale"/>
            <w:rFonts w:cs="Arial"/>
            <w:b/>
            <w:szCs w:val="22"/>
          </w:rPr>
          <w:t>conseguente condizione</w:t>
        </w:r>
      </w:hyperlink>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DF5459" w:rsidRDefault="000B33A8" w:rsidP="000B33A8">
      <w:pPr>
        <w:rPr>
          <w:rFonts w:cs="Arial"/>
          <w:szCs w:val="22"/>
        </w:rPr>
      </w:pPr>
      <w:bookmarkStart w:id="409" w:name="S12a11"/>
      <w:r>
        <w:rPr>
          <w:rFonts w:cs="Arial"/>
          <w:szCs w:val="22"/>
        </w:rPr>
        <w:t>11</w:t>
      </w:r>
      <w:bookmarkEnd w:id="409"/>
      <w:r>
        <w:rPr>
          <w:rFonts w:cs="Arial"/>
          <w:szCs w:val="22"/>
        </w:rPr>
        <w:t xml:space="preserve"> -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E772E0">
        <w:rPr>
          <w:rStyle w:val="Collegamentoipertestuale"/>
          <w:rFonts w:cs="Arial"/>
          <w:szCs w:val="22"/>
        </w:rPr>
        <w:t xml:space="preserve"> </w:t>
      </w:r>
      <w:r w:rsidRPr="00B91F58">
        <w:rPr>
          <w:rFonts w:cs="Arial"/>
          <w:szCs w:val="22"/>
        </w:rPr>
        <w:t>«</w:t>
      </w:r>
      <w:r w:rsidRPr="00DF5459">
        <w:rPr>
          <w:rFonts w:cs="Arial"/>
          <w:szCs w:val="22"/>
        </w:rPr>
        <w:t>l’articolo 3 inserisce un nuovo articolo 17-</w:t>
      </w:r>
      <w:r w:rsidRPr="00DF5459">
        <w:rPr>
          <w:rFonts w:cs="Arial"/>
          <w:i/>
          <w:szCs w:val="22"/>
        </w:rPr>
        <w:t>bis</w:t>
      </w:r>
      <w:r w:rsidRPr="00DF5459">
        <w:rPr>
          <w:rFonts w:cs="Arial"/>
          <w:szCs w:val="22"/>
        </w:rPr>
        <w:t xml:space="preserve"> nella legge n. 241 del 1990 recante: “</w:t>
      </w:r>
      <w:r w:rsidRPr="00DF5459">
        <w:rPr>
          <w:rFonts w:cs="Arial"/>
          <w:i/>
          <w:szCs w:val="22"/>
        </w:rPr>
        <w:t>Silenzio assenso fra le amministrazioni pubbliche</w:t>
      </w:r>
      <w:r w:rsidRPr="00DF5459">
        <w:rPr>
          <w:rFonts w:cs="Arial"/>
          <w:szCs w:val="22"/>
        </w:rPr>
        <w:t>”:</w:t>
      </w:r>
    </w:p>
    <w:p w:rsidR="000B33A8" w:rsidRPr="00DF5459" w:rsidRDefault="000B33A8" w:rsidP="000B33A8">
      <w:pPr>
        <w:rPr>
          <w:rFonts w:cs="Arial"/>
          <w:szCs w:val="22"/>
        </w:rPr>
      </w:pPr>
      <w:r w:rsidRPr="00DF5459">
        <w:rPr>
          <w:rFonts w:cs="Arial"/>
          <w:i/>
          <w:szCs w:val="22"/>
        </w:rPr>
        <w:t xml:space="preserve">a) </w:t>
      </w:r>
      <w:r w:rsidRPr="00DF5459">
        <w:rPr>
          <w:rFonts w:cs="Arial"/>
          <w:szCs w:val="22"/>
        </w:rPr>
        <w:t>il comma 2 prevede, in taluni casi di mancato accordo fra amministrazioni, un’ipotesi di intervento sostitutivo nella quale “il Presidente del Consiglio dei ministri, previa deliberazione del Consiglio dei ministri, decide sulle modifiche da apportare allo schema di provvedimento”; tale comma, dunque:</w:t>
      </w:r>
    </w:p>
    <w:p w:rsidR="000B33A8" w:rsidRPr="00DF5459" w:rsidRDefault="000B33A8" w:rsidP="000B33A8">
      <w:pPr>
        <w:rPr>
          <w:rFonts w:cs="Arial"/>
          <w:szCs w:val="22"/>
        </w:rPr>
      </w:pPr>
      <w:r w:rsidRPr="00DF5459">
        <w:rPr>
          <w:rFonts w:cs="Arial"/>
          <w:i/>
          <w:szCs w:val="22"/>
        </w:rPr>
        <w:lastRenderedPageBreak/>
        <w:t xml:space="preserve">a.1) </w:t>
      </w:r>
      <w:r w:rsidRPr="00DF5459">
        <w:rPr>
          <w:rFonts w:cs="Arial"/>
          <w:szCs w:val="22"/>
        </w:rPr>
        <w:t>prevede, in caso di mancato accordo, un’aggravante procedurale consistente nel necessario coinvolgimento del Consiglio dei ministri anche per quei procedimenti che non ne prevederebbero il coinvolgimento (per esempio, decreti interministeriali);</w:t>
      </w:r>
    </w:p>
    <w:p w:rsidR="000B33A8" w:rsidRPr="00DF5459" w:rsidRDefault="000B33A8" w:rsidP="000B33A8">
      <w:pPr>
        <w:rPr>
          <w:rFonts w:cs="Arial"/>
          <w:szCs w:val="22"/>
        </w:rPr>
      </w:pPr>
      <w:r w:rsidRPr="00DF5459">
        <w:rPr>
          <w:rFonts w:cs="Arial"/>
          <w:i/>
          <w:szCs w:val="22"/>
        </w:rPr>
        <w:t>a.2)</w:t>
      </w:r>
      <w:r w:rsidRPr="00DF5459">
        <w:rPr>
          <w:rFonts w:cs="Arial"/>
          <w:szCs w:val="22"/>
        </w:rPr>
        <w:t xml:space="preserve"> non lascia intendere, se non in via interpretativa, se l’adozione del provvedimento finale spetti alla stessa Presidenza del Consiglio o all’amministrazione ordinariamente competente;</w:t>
      </w:r>
    </w:p>
    <w:p w:rsidR="000B33A8" w:rsidRPr="00DF5459" w:rsidRDefault="000B33A8" w:rsidP="000B33A8">
      <w:pPr>
        <w:rPr>
          <w:rFonts w:cs="Arial"/>
          <w:szCs w:val="22"/>
        </w:rPr>
      </w:pPr>
      <w:r w:rsidRPr="00DF5459">
        <w:rPr>
          <w:rFonts w:cs="Arial"/>
          <w:i/>
          <w:szCs w:val="22"/>
        </w:rPr>
        <w:t>a.3)</w:t>
      </w:r>
      <w:r w:rsidRPr="00DF5459">
        <w:rPr>
          <w:rFonts w:cs="Arial"/>
          <w:szCs w:val="22"/>
        </w:rPr>
        <w:t xml:space="preserve"> disciplina un’ipotesi di disaccordo fra le amministrazioni, rendendo opportuno integrare la rubrica dell’articolo per dare pienamente conto del suo contenuto;</w:t>
      </w:r>
    </w:p>
    <w:p w:rsidR="000B33A8" w:rsidRPr="00DF5459" w:rsidRDefault="000B33A8" w:rsidP="000B33A8">
      <w:pPr>
        <w:rPr>
          <w:rFonts w:cs="Arial"/>
          <w:szCs w:val="22"/>
        </w:rPr>
      </w:pPr>
      <w:r w:rsidRPr="00DF5459">
        <w:rPr>
          <w:rFonts w:cs="Arial"/>
          <w:i/>
          <w:szCs w:val="22"/>
        </w:rPr>
        <w:t>a.4)</w:t>
      </w:r>
      <w:r w:rsidRPr="00DF5459">
        <w:rPr>
          <w:rFonts w:cs="Arial"/>
          <w:szCs w:val="22"/>
        </w:rPr>
        <w:t xml:space="preserve"> per effetto di un emendamento introdotto al Senato, non limita il suo campo di applicazione alle sole amministrazioni statali, sembrando dunque consentire – stante la formulazione letterale della disposizione come emendata – all’amministrazione statale di poter superare il dissenso di un’amministrazione regionale, o provinciale autonoma, in àmbiti materiali di competenza regionale concorrente o residuale: tale ipotesi va valutata alla luce della giurisprudenza costituzionale che esclude un intervento decisorio unilaterale dello Stato come conseguenza automatica del mancato raggiungimento di un accordo con la regione;</w:t>
      </w:r>
    </w:p>
    <w:p w:rsidR="000B33A8" w:rsidRPr="00DF5459" w:rsidRDefault="000B33A8" w:rsidP="000B33A8">
      <w:pPr>
        <w:rPr>
          <w:rFonts w:cs="Arial"/>
          <w:szCs w:val="22"/>
        </w:rPr>
      </w:pPr>
      <w:r w:rsidRPr="00DF5459">
        <w:rPr>
          <w:rFonts w:cs="Arial"/>
          <w:i/>
          <w:szCs w:val="22"/>
        </w:rPr>
        <w:t>a.5)</w:t>
      </w:r>
      <w:r w:rsidRPr="00DF5459">
        <w:rPr>
          <w:rFonts w:cs="Arial"/>
          <w:szCs w:val="22"/>
        </w:rPr>
        <w:t xml:space="preserve"> dovrebbe essere oggetto di un esplicito coordinamento con le discipline settoriali già previste in tema di conferenza di servizi;</w:t>
      </w:r>
    </w:p>
    <w:p w:rsidR="000B33A8" w:rsidRDefault="000B33A8" w:rsidP="000B33A8">
      <w:pPr>
        <w:rPr>
          <w:rFonts w:cs="Arial"/>
          <w:szCs w:val="22"/>
        </w:rPr>
      </w:pPr>
      <w:r w:rsidRPr="00DF5459">
        <w:rPr>
          <w:rFonts w:cs="Arial"/>
          <w:i/>
          <w:szCs w:val="22"/>
        </w:rPr>
        <w:t>b)</w:t>
      </w:r>
      <w:r w:rsidRPr="00DF5459">
        <w:rPr>
          <w:rFonts w:cs="Arial"/>
          <w:szCs w:val="22"/>
        </w:rPr>
        <w:t xml:space="preserve"> il comma 3, nel fissare i termini per alcune ipotesi di silenzio assenso, non disciplina esplicitamente la fattispecie in cui le amministrazioni preposte alla tutela ambientale, paesaggistico-territoriale, dei beni culturali e della salute dei cittadini richiedano un’integrazione istruttoria, potendo ingenerare dubbi nell’individuare i termini effettivamente applicabili al caso</w:t>
      </w:r>
      <w:r w:rsidRPr="00B91F58">
        <w:rPr>
          <w:rFonts w:cs="Arial"/>
          <w:szCs w:val="22"/>
        </w:rPr>
        <w:t>»</w:t>
      </w:r>
      <w:r>
        <w:rPr>
          <w:rFonts w:cs="Arial"/>
          <w:szCs w:val="22"/>
        </w:rPr>
        <w:t xml:space="preserve"> </w:t>
      </w:r>
      <w:r w:rsidRPr="00B91F58">
        <w:rPr>
          <w:rFonts w:cs="Arial"/>
          <w:szCs w:val="22"/>
        </w:rPr>
        <w:t>(</w:t>
      </w:r>
      <w:hyperlink w:anchor="S12o04" w:history="1">
        <w:r>
          <w:rPr>
            <w:rStyle w:val="Collegamentoipertestuale"/>
            <w:rFonts w:cs="Arial"/>
            <w:b/>
            <w:szCs w:val="22"/>
          </w:rPr>
          <w:t>conseguente osservazione</w:t>
        </w:r>
      </w:hyperlink>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410" w:name="S12a12"/>
      <w:r>
        <w:rPr>
          <w:rFonts w:cs="Arial"/>
          <w:szCs w:val="22"/>
        </w:rPr>
        <w:t xml:space="preserve">12 </w:t>
      </w:r>
      <w:bookmarkEnd w:id="410"/>
      <w:r>
        <w:rPr>
          <w:rFonts w:cs="Arial"/>
          <w:szCs w:val="22"/>
        </w:rPr>
        <w:t xml:space="preserve">-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E772E0">
        <w:rPr>
          <w:rStyle w:val="Collegamentoipertestuale"/>
          <w:rFonts w:cs="Arial"/>
          <w:szCs w:val="22"/>
        </w:rPr>
        <w:t xml:space="preserve"> </w:t>
      </w:r>
      <w:r w:rsidRPr="00B91F58">
        <w:rPr>
          <w:rFonts w:cs="Arial"/>
          <w:szCs w:val="22"/>
        </w:rPr>
        <w:t>«</w:t>
      </w:r>
      <w:r w:rsidRPr="00B6046C">
        <w:rPr>
          <w:rFonts w:cs="Arial"/>
          <w:szCs w:val="22"/>
        </w:rPr>
        <w:t xml:space="preserve">all’articolo 17, recante la clausola di salvaguardia per le regioni a statuto speciale e per le province autonome, l’espressione “anche con riferimento alla legge costituzionale 18 ottobre 2001, n. 3” appare di dubbia o nulla </w:t>
      </w:r>
      <w:r w:rsidRPr="00B6046C">
        <w:rPr>
          <w:rFonts w:cs="Arial"/>
          <w:b/>
          <w:szCs w:val="22"/>
        </w:rPr>
        <w:t>portata normativa</w:t>
      </w:r>
      <w:r w:rsidRPr="00B6046C">
        <w:rPr>
          <w:rFonts w:cs="Arial"/>
          <w:szCs w:val="22"/>
        </w:rPr>
        <w:t>, in quanto semplicemente richiama la normativa vigente, “rammentandone” – per così dire – l’esistenza</w:t>
      </w:r>
      <w:r>
        <w:rPr>
          <w:rFonts w:cs="Arial"/>
          <w:szCs w:val="22"/>
        </w:rPr>
        <w:t xml:space="preserve"> </w:t>
      </w:r>
      <w:r w:rsidRPr="00B91F58">
        <w:rPr>
          <w:rFonts w:cs="Arial"/>
          <w:szCs w:val="22"/>
        </w:rPr>
        <w:t>»</w:t>
      </w:r>
      <w:r>
        <w:rPr>
          <w:rFonts w:cs="Arial"/>
          <w:szCs w:val="22"/>
        </w:rPr>
        <w:t xml:space="preserve"> </w:t>
      </w:r>
      <w:r w:rsidRPr="00B91F58">
        <w:rPr>
          <w:rFonts w:cs="Arial"/>
          <w:szCs w:val="22"/>
        </w:rPr>
        <w:t>(</w:t>
      </w:r>
      <w:hyperlink w:anchor="S12o05" w:history="1">
        <w:r>
          <w:rPr>
            <w:rStyle w:val="Collegamentoipertestuale"/>
            <w:rFonts w:cs="Arial"/>
            <w:b/>
            <w:szCs w:val="22"/>
          </w:rPr>
          <w:t>conseguente osservazione</w:t>
        </w:r>
      </w:hyperlink>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411" w:name="S12a13"/>
      <w:r>
        <w:rPr>
          <w:rFonts w:cs="Arial"/>
          <w:szCs w:val="22"/>
        </w:rPr>
        <w:t>13 -</w:t>
      </w:r>
      <w:bookmarkEnd w:id="411"/>
      <w:r>
        <w:rPr>
          <w:rFonts w:cs="Arial"/>
          <w:szCs w:val="22"/>
        </w:rPr>
        <w:t xml:space="preserve"> </w:t>
      </w:r>
      <w:hyperlink w:anchor="premessa12" w:history="1">
        <w:r w:rsidRPr="00B91F58">
          <w:rPr>
            <w:rStyle w:val="Collegamentoipertestuale"/>
            <w:rFonts w:cs="Arial"/>
            <w:b/>
            <w:szCs w:val="22"/>
          </w:rPr>
          <w:t>Premessa</w:t>
        </w:r>
        <w:r w:rsidRPr="00B91F58">
          <w:rPr>
            <w:rStyle w:val="Collegamentoipertestuale"/>
            <w:rFonts w:cs="Arial"/>
            <w:szCs w:val="22"/>
          </w:rPr>
          <w:t>:</w:t>
        </w:r>
      </w:hyperlink>
      <w:r w:rsidRPr="00E772E0">
        <w:rPr>
          <w:rStyle w:val="Collegamentoipertestuale"/>
          <w:rFonts w:cs="Arial"/>
          <w:szCs w:val="22"/>
        </w:rPr>
        <w:t xml:space="preserve"> </w:t>
      </w:r>
      <w:r w:rsidRPr="00B91F58">
        <w:rPr>
          <w:rFonts w:cs="Arial"/>
          <w:szCs w:val="22"/>
        </w:rPr>
        <w:t>«</w:t>
      </w:r>
      <w:r w:rsidRPr="002E4D9B">
        <w:rPr>
          <w:rFonts w:ascii="Times New Roman" w:hAnsi="Times New Roman"/>
          <w:sz w:val="24"/>
          <w:lang w:eastAsia="ar-SA"/>
        </w:rPr>
        <w:t xml:space="preserve"> </w:t>
      </w:r>
      <w:r w:rsidRPr="002E4D9B">
        <w:rPr>
          <w:rFonts w:cs="Arial"/>
          <w:szCs w:val="22"/>
        </w:rPr>
        <w:t>il disegno di legge presentato al Senato era corredato sia della relazione sull'analisi tecnico-normativa (</w:t>
      </w:r>
      <w:r w:rsidRPr="002E4D9B">
        <w:rPr>
          <w:rFonts w:cs="Arial"/>
          <w:b/>
          <w:szCs w:val="22"/>
        </w:rPr>
        <w:t>ATN</w:t>
      </w:r>
      <w:r w:rsidRPr="002E4D9B">
        <w:rPr>
          <w:rFonts w:cs="Arial"/>
          <w:szCs w:val="22"/>
        </w:rPr>
        <w:t>) sia della relazione sull'analisi di impatto della regolamentazione (</w:t>
      </w:r>
      <w:r w:rsidRPr="002E4D9B">
        <w:rPr>
          <w:rFonts w:cs="Arial"/>
          <w:b/>
          <w:szCs w:val="22"/>
        </w:rPr>
        <w:t>AIR</w:t>
      </w:r>
      <w:r w:rsidRPr="002E4D9B">
        <w:rPr>
          <w:rFonts w:cs="Arial"/>
          <w:szCs w:val="22"/>
        </w:rPr>
        <w:t>).</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szCs w:val="22"/>
        </w:rPr>
      </w:pPr>
      <w:bookmarkStart w:id="412" w:name="S12C"/>
      <w:r w:rsidRPr="00B91F58">
        <w:rPr>
          <w:rFonts w:cs="Arial"/>
          <w:b/>
          <w:szCs w:val="22"/>
        </w:rPr>
        <w:lastRenderedPageBreak/>
        <w:t>Condizioni</w:t>
      </w:r>
      <w:r w:rsidRPr="00B91F58">
        <w:rPr>
          <w:rFonts w:cs="Arial"/>
          <w:szCs w:val="22"/>
        </w:rPr>
        <w:t xml:space="preserve">: </w:t>
      </w:r>
      <w:bookmarkEnd w:id="412"/>
      <w:r>
        <w:rPr>
          <w:rFonts w:cs="Arial"/>
          <w:szCs w:val="22"/>
        </w:rPr>
        <w:br/>
      </w:r>
      <w:r w:rsidRPr="00C733BB">
        <w:rPr>
          <w:rFonts w:cs="Arial"/>
          <w:i/>
          <w:szCs w:val="22"/>
        </w:rPr>
        <w:t xml:space="preserve">sotto il profilo </w:t>
      </w:r>
      <w:r>
        <w:rPr>
          <w:rFonts w:cs="Arial"/>
          <w:i/>
          <w:szCs w:val="22"/>
        </w:rPr>
        <w:t>dell’efficacia del testo per la semplificazione e il riordinamento della legislazione vigente</w:t>
      </w:r>
      <w:r w:rsidRPr="00D249C1">
        <w:rPr>
          <w:rFonts w:cs="Arial"/>
          <w:i/>
          <w:szCs w:val="22"/>
        </w:rPr>
        <w:t>:</w:t>
      </w:r>
    </w:p>
    <w:p w:rsidR="000B33A8" w:rsidRDefault="000B33A8" w:rsidP="00B26E1F">
      <w:pPr>
        <w:pStyle w:val="Paragrafoelenco"/>
        <w:numPr>
          <w:ilvl w:val="0"/>
          <w:numId w:val="40"/>
        </w:numPr>
        <w:ind w:left="567" w:hanging="283"/>
        <w:rPr>
          <w:rFonts w:cs="Arial"/>
          <w:szCs w:val="22"/>
        </w:rPr>
      </w:pPr>
      <w:bookmarkStart w:id="413" w:name="S12c01"/>
      <w:r w:rsidRPr="00ED66D4">
        <w:rPr>
          <w:rFonts w:cs="Arial"/>
          <w:szCs w:val="22"/>
        </w:rPr>
        <w:t xml:space="preserve">con riguardo alle disposizioni </w:t>
      </w:r>
      <w:bookmarkEnd w:id="413"/>
      <w:r w:rsidRPr="00ED66D4">
        <w:rPr>
          <w:rFonts w:cs="Arial"/>
          <w:szCs w:val="22"/>
        </w:rPr>
        <w:t>di delegazione legislativa, si specifichino quei princìpi e criteri direttivi che, di fatto, costituiscono ulteriori oggetti di delega, avendo cura di distinguere chiaramente oggetti e princìpi di delega, come richiesto dalla circolare del 2001</w:t>
      </w:r>
      <w:r>
        <w:rPr>
          <w:rFonts w:cs="Arial"/>
          <w:szCs w:val="22"/>
        </w:rPr>
        <w:t xml:space="preserve">; </w:t>
      </w:r>
      <w:hyperlink w:anchor="premessa12"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40"/>
        </w:numPr>
        <w:ind w:left="567" w:hanging="283"/>
        <w:rPr>
          <w:rFonts w:cs="Arial"/>
          <w:szCs w:val="22"/>
        </w:rPr>
      </w:pPr>
      <w:bookmarkStart w:id="414" w:name="S12c02"/>
      <w:r w:rsidRPr="00ED66D4">
        <w:rPr>
          <w:rFonts w:cs="Arial"/>
          <w:szCs w:val="22"/>
        </w:rPr>
        <w:t xml:space="preserve">con particolare riferimento </w:t>
      </w:r>
      <w:bookmarkEnd w:id="414"/>
      <w:r w:rsidRPr="00ED66D4">
        <w:rPr>
          <w:rFonts w:cs="Arial"/>
          <w:szCs w:val="22"/>
        </w:rPr>
        <w:t>all’articolo 4, che parrebbe recare una delega di tipo ricognitivo, si valuti se il potere dispositivo da conferire al Governo sia, invece, di tipo innovativo dell’ordinamento e, in caso affermativo, si individuino i relativi princìpi e criteri direttivi</w:t>
      </w:r>
      <w:r w:rsidRPr="00CA7CAF">
        <w:rPr>
          <w:rFonts w:cs="Arial"/>
          <w:szCs w:val="22"/>
        </w:rPr>
        <w:t>;</w:t>
      </w:r>
      <w:r>
        <w:rPr>
          <w:rFonts w:cs="Arial"/>
          <w:szCs w:val="22"/>
        </w:rPr>
        <w:t xml:space="preserve"> </w:t>
      </w:r>
      <w:hyperlink w:anchor="premessa12"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40"/>
        </w:numPr>
        <w:ind w:left="567" w:hanging="283"/>
        <w:rPr>
          <w:rFonts w:cs="Arial"/>
          <w:szCs w:val="22"/>
        </w:rPr>
      </w:pPr>
      <w:bookmarkStart w:id="415" w:name="S12c03"/>
      <w:r w:rsidRPr="00ED66D4">
        <w:rPr>
          <w:rFonts w:cs="Arial"/>
          <w:szCs w:val="22"/>
        </w:rPr>
        <w:t xml:space="preserve">con particolare riferimento </w:t>
      </w:r>
      <w:bookmarkEnd w:id="415"/>
      <w:r w:rsidRPr="00ED66D4">
        <w:rPr>
          <w:rFonts w:cs="Arial"/>
          <w:szCs w:val="22"/>
        </w:rPr>
        <w:t>all’articolo 16, che reca un oggetto di delega particolarmente ampio e molteplice, si individuino ulteriori princìpi e criteri direttivi idonei a circoscrivere adeguatamente la discrezionalità del legislatore delegato</w:t>
      </w:r>
      <w:r w:rsidRPr="00D84318">
        <w:rPr>
          <w:rFonts w:cs="Arial"/>
          <w:szCs w:val="22"/>
        </w:rPr>
        <w:t>;</w:t>
      </w:r>
      <w:r>
        <w:rPr>
          <w:rFonts w:cs="Arial"/>
          <w:szCs w:val="22"/>
        </w:rPr>
        <w:t xml:space="preserve"> </w:t>
      </w:r>
      <w:hyperlink w:anchor="premessa12"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40"/>
        </w:numPr>
        <w:ind w:left="567" w:hanging="283"/>
        <w:rPr>
          <w:rFonts w:cs="Arial"/>
          <w:szCs w:val="22"/>
        </w:rPr>
      </w:pPr>
      <w:bookmarkStart w:id="416" w:name="S12c04"/>
      <w:r w:rsidRPr="00ED66D4">
        <w:rPr>
          <w:rFonts w:cs="Arial"/>
          <w:szCs w:val="22"/>
        </w:rPr>
        <w:t xml:space="preserve">all’articolo 7, comma 1, lettera </w:t>
      </w:r>
      <w:bookmarkEnd w:id="416"/>
      <w:r w:rsidRPr="00ED66D4">
        <w:rPr>
          <w:rFonts w:cs="Arial"/>
          <w:i/>
          <w:szCs w:val="22"/>
        </w:rPr>
        <w:t>a)</w:t>
      </w:r>
      <w:r w:rsidRPr="00ED66D4">
        <w:rPr>
          <w:rFonts w:cs="Arial"/>
          <w:szCs w:val="22"/>
        </w:rPr>
        <w:t xml:space="preserve">, lettera </w:t>
      </w:r>
      <w:r w:rsidRPr="00ED66D4">
        <w:rPr>
          <w:rFonts w:cs="Arial"/>
          <w:i/>
          <w:szCs w:val="22"/>
        </w:rPr>
        <w:t>b)</w:t>
      </w:r>
      <w:r w:rsidRPr="00ED66D4">
        <w:rPr>
          <w:rFonts w:cs="Arial"/>
          <w:szCs w:val="22"/>
        </w:rPr>
        <w:t xml:space="preserve">, numero 4), e lettera </w:t>
      </w:r>
      <w:r w:rsidRPr="00ED66D4">
        <w:rPr>
          <w:rFonts w:cs="Arial"/>
          <w:i/>
          <w:szCs w:val="22"/>
        </w:rPr>
        <w:t>c)</w:t>
      </w:r>
      <w:r w:rsidRPr="00ED66D4">
        <w:rPr>
          <w:rFonts w:cs="Arial"/>
          <w:szCs w:val="22"/>
        </w:rPr>
        <w:t xml:space="preserve">, nonché all’articolo 9, comma 1, lettera </w:t>
      </w:r>
      <w:r w:rsidRPr="00ED66D4">
        <w:rPr>
          <w:rFonts w:cs="Arial"/>
          <w:i/>
          <w:szCs w:val="22"/>
        </w:rPr>
        <w:t>b)</w:t>
      </w:r>
      <w:r w:rsidRPr="00ED66D4">
        <w:rPr>
          <w:rFonts w:cs="Arial"/>
          <w:szCs w:val="22"/>
        </w:rPr>
        <w:t xml:space="preserve">, numero 1) e lettera </w:t>
      </w:r>
      <w:r w:rsidRPr="00ED66D4">
        <w:rPr>
          <w:rFonts w:cs="Arial"/>
          <w:i/>
          <w:szCs w:val="22"/>
        </w:rPr>
        <w:t>c)</w:t>
      </w:r>
      <w:r w:rsidRPr="00ED66D4">
        <w:rPr>
          <w:rFonts w:cs="Arial"/>
          <w:szCs w:val="22"/>
        </w:rPr>
        <w:t>, numero 3), si specifichino i principi e criteri direttivi che fanno riferimento al libero apprezzamento del legislatore delegato</w:t>
      </w:r>
      <w:r w:rsidRPr="00D84318">
        <w:rPr>
          <w:rFonts w:cs="Arial"/>
          <w:szCs w:val="22"/>
        </w:rPr>
        <w:t>;</w:t>
      </w:r>
      <w:r>
        <w:rPr>
          <w:rFonts w:cs="Arial"/>
          <w:szCs w:val="22"/>
        </w:rPr>
        <w:t xml:space="preserve"> </w:t>
      </w:r>
      <w:hyperlink w:anchor="premessa12" w:history="1">
        <w:r w:rsidRPr="00D249C1">
          <w:rPr>
            <w:rStyle w:val="Collegamentoipertestuale"/>
            <w:rFonts w:cs="Arial"/>
            <w:szCs w:val="22"/>
          </w:rPr>
          <w:t>[torna su]</w:t>
        </w:r>
      </w:hyperlink>
      <w:r>
        <w:rPr>
          <w:rStyle w:val="Collegamentoipertestuale"/>
          <w:rFonts w:cs="Arial"/>
          <w:szCs w:val="22"/>
        </w:rPr>
        <w:t xml:space="preserve"> </w:t>
      </w:r>
    </w:p>
    <w:p w:rsidR="000B33A8" w:rsidRPr="00472AC7" w:rsidRDefault="000B33A8" w:rsidP="00B26E1F">
      <w:pPr>
        <w:pStyle w:val="Paragrafoelenco"/>
        <w:numPr>
          <w:ilvl w:val="0"/>
          <w:numId w:val="40"/>
        </w:numPr>
        <w:ind w:left="567" w:hanging="283"/>
        <w:rPr>
          <w:rFonts w:cs="Arial"/>
          <w:szCs w:val="22"/>
        </w:rPr>
      </w:pPr>
      <w:bookmarkStart w:id="417" w:name="S12c05"/>
      <w:r w:rsidRPr="00ED66D4">
        <w:t xml:space="preserve">all’articolo 1, comma </w:t>
      </w:r>
      <w:bookmarkEnd w:id="417"/>
      <w:r w:rsidRPr="00ED66D4">
        <w:t>2;  all’articolo 2, comma 2; all’articolo 4, comma 2; all’articolo 6, comma 2; all’articolo 7, comma 2; all’articolo 9, comma 2; all’articolo 10, comma 2; all’articolo 12, comma 4; all’articolo 16, comma 2, al fine di meglio individuare il termine ultimo per l’esercizio della delega, si individui un termine (anche più ampio) per l’esercizio della delega stessa, contestualmente fissando un termine per la trasmissione degli schemi alle Camere e rinunciando alla tecnica dello “scorrimento” (come avvenuto nell’esame in Assemblea del disegno di legge C. 2617, il 1° aprile 2015);</w:t>
      </w:r>
      <w:r>
        <w:t xml:space="preserve"> </w:t>
      </w:r>
      <w:hyperlink w:anchor="premessa12" w:history="1">
        <w:r w:rsidRPr="00D249C1">
          <w:rPr>
            <w:rStyle w:val="Collegamentoipertestuale"/>
            <w:rFonts w:cs="Arial"/>
            <w:szCs w:val="22"/>
          </w:rPr>
          <w:t>[torna su]</w:t>
        </w:r>
      </w:hyperlink>
      <w:r>
        <w:rPr>
          <w:rStyle w:val="Collegamentoipertestuale"/>
          <w:rFonts w:cs="Arial"/>
          <w:szCs w:val="22"/>
        </w:rPr>
        <w:t xml:space="preserve"> </w:t>
      </w:r>
    </w:p>
    <w:p w:rsidR="000B33A8" w:rsidRPr="00472AC7" w:rsidRDefault="000B33A8" w:rsidP="00B26E1F">
      <w:pPr>
        <w:pStyle w:val="Paragrafoelenco"/>
        <w:numPr>
          <w:ilvl w:val="0"/>
          <w:numId w:val="40"/>
        </w:numPr>
        <w:ind w:left="567" w:hanging="283"/>
        <w:rPr>
          <w:rStyle w:val="Collegamentoipertestuale"/>
          <w:rFonts w:cs="Arial"/>
          <w:szCs w:val="22"/>
        </w:rPr>
      </w:pPr>
      <w:bookmarkStart w:id="418" w:name="S12c06"/>
      <w:r w:rsidRPr="00ED66D4">
        <w:t xml:space="preserve">all’articolo 16, comma </w:t>
      </w:r>
      <w:bookmarkEnd w:id="418"/>
      <w:r w:rsidRPr="00ED66D4">
        <w:t>3, al fine di poter individuare il termine ultimo per l’esercizio della delega correttiva ed integrativa, si individui un termine certo per l’esercizio della delega integrativa e correttiva, per esempio calcolato dalla data di entrata in vigore della legge di delegazione</w:t>
      </w:r>
      <w:r w:rsidRPr="00982E0B">
        <w:t xml:space="preserve">; </w:t>
      </w:r>
      <w:hyperlink w:anchor="premessa12" w:history="1">
        <w:r w:rsidRPr="00D249C1">
          <w:rPr>
            <w:rStyle w:val="Collegamentoipertestuale"/>
            <w:rFonts w:cs="Arial"/>
            <w:szCs w:val="22"/>
          </w:rPr>
          <w:t>[torna su]</w:t>
        </w:r>
      </w:hyperlink>
      <w:r>
        <w:rPr>
          <w:rStyle w:val="Collegamentoipertestuale"/>
          <w:rFonts w:cs="Arial"/>
          <w:szCs w:val="22"/>
        </w:rPr>
        <w:t xml:space="preserve"> </w:t>
      </w:r>
    </w:p>
    <w:p w:rsidR="000B33A8" w:rsidRPr="00B91F58" w:rsidRDefault="000B33A8" w:rsidP="000B33A8">
      <w:pPr>
        <w:keepNext/>
        <w:tabs>
          <w:tab w:val="num" w:pos="567"/>
        </w:tabs>
        <w:ind w:firstLine="0"/>
        <w:rPr>
          <w:rFonts w:cs="Arial"/>
          <w:szCs w:val="22"/>
        </w:rPr>
      </w:pP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419" w:name="S12O"/>
      <w:r>
        <w:rPr>
          <w:rFonts w:cs="Arial"/>
          <w:b/>
          <w:szCs w:val="22"/>
        </w:rPr>
        <w:t>Osservazioni</w:t>
      </w:r>
      <w:r w:rsidRPr="00B91F58">
        <w:rPr>
          <w:rFonts w:cs="Arial"/>
          <w:szCs w:val="22"/>
        </w:rPr>
        <w:t>:</w:t>
      </w:r>
      <w:bookmarkEnd w:id="419"/>
      <w:r w:rsidRPr="00B91F58">
        <w:rPr>
          <w:rFonts w:cs="Arial"/>
          <w:szCs w:val="22"/>
        </w:rPr>
        <w:t xml:space="preserve"> </w:t>
      </w:r>
      <w:r>
        <w:rPr>
          <w:rFonts w:cs="Arial"/>
          <w:szCs w:val="22"/>
        </w:rPr>
        <w:br/>
      </w:r>
      <w:r w:rsidRPr="00C733BB">
        <w:rPr>
          <w:rFonts w:cs="Arial"/>
          <w:i/>
          <w:szCs w:val="22"/>
        </w:rPr>
        <w:t xml:space="preserve">sotto il profilo </w:t>
      </w:r>
      <w:r>
        <w:rPr>
          <w:rFonts w:cs="Arial"/>
          <w:i/>
          <w:szCs w:val="22"/>
        </w:rPr>
        <w:t>dell’efficacia del testo per la semplificazione e il riordinamento della legislazione vigente</w:t>
      </w:r>
      <w:r w:rsidRPr="00D249C1">
        <w:rPr>
          <w:rFonts w:cs="Arial"/>
          <w:i/>
          <w:szCs w:val="22"/>
        </w:rPr>
        <w:t>:</w:t>
      </w:r>
    </w:p>
    <w:p w:rsidR="000B33A8" w:rsidRDefault="000B33A8" w:rsidP="00B26E1F">
      <w:pPr>
        <w:pStyle w:val="Paragrafoelenco"/>
        <w:numPr>
          <w:ilvl w:val="0"/>
          <w:numId w:val="41"/>
        </w:numPr>
        <w:ind w:left="567" w:hanging="283"/>
        <w:rPr>
          <w:rFonts w:cs="Arial"/>
          <w:szCs w:val="22"/>
        </w:rPr>
      </w:pPr>
      <w:bookmarkStart w:id="420" w:name="S12o01"/>
      <w:r w:rsidRPr="00185920">
        <w:rPr>
          <w:rFonts w:cs="Arial"/>
          <w:szCs w:val="22"/>
        </w:rPr>
        <w:t>per quanto detto in premessa</w:t>
      </w:r>
      <w:bookmarkEnd w:id="420"/>
      <w:r w:rsidRPr="00185920">
        <w:rPr>
          <w:rFonts w:cs="Arial"/>
          <w:szCs w:val="22"/>
        </w:rPr>
        <w:t xml:space="preserve">, si dovrebbe assicurare il coordinamento con la normativa vigente nonché una formulazione tecnicamente più corretta dei princìpi e criteri direttivi di cui all’articolo 1, comma 1; all’articolo 2, comma 1, lettera </w:t>
      </w:r>
      <w:r w:rsidRPr="00185920">
        <w:rPr>
          <w:rFonts w:cs="Arial"/>
          <w:i/>
          <w:szCs w:val="22"/>
        </w:rPr>
        <w:t>m)</w:t>
      </w:r>
      <w:r w:rsidRPr="00185920">
        <w:rPr>
          <w:rFonts w:cs="Arial"/>
          <w:szCs w:val="22"/>
        </w:rPr>
        <w:t xml:space="preserve">; all’articolo 7, comma 1, lettera </w:t>
      </w:r>
      <w:r w:rsidRPr="00185920">
        <w:rPr>
          <w:rFonts w:cs="Arial"/>
          <w:i/>
          <w:szCs w:val="22"/>
        </w:rPr>
        <w:t>e)</w:t>
      </w:r>
      <w:r w:rsidRPr="00185920">
        <w:rPr>
          <w:rFonts w:cs="Arial"/>
          <w:szCs w:val="22"/>
        </w:rPr>
        <w:t xml:space="preserve">; all’articolo 9, </w:t>
      </w:r>
      <w:r w:rsidRPr="00185920">
        <w:rPr>
          <w:rFonts w:cs="Arial"/>
          <w:szCs w:val="22"/>
        </w:rPr>
        <w:lastRenderedPageBreak/>
        <w:t xml:space="preserve">comma 1, lettera </w:t>
      </w:r>
      <w:r w:rsidRPr="00185920">
        <w:rPr>
          <w:rFonts w:cs="Arial"/>
          <w:i/>
          <w:szCs w:val="22"/>
        </w:rPr>
        <w:t>b)</w:t>
      </w:r>
      <w:r w:rsidRPr="00185920">
        <w:rPr>
          <w:rFonts w:cs="Arial"/>
          <w:szCs w:val="22"/>
        </w:rPr>
        <w:t xml:space="preserve">, numero 4); all’articolo 15, comma 1, lettera </w:t>
      </w:r>
      <w:r w:rsidRPr="00185920">
        <w:rPr>
          <w:rFonts w:cs="Arial"/>
          <w:i/>
          <w:szCs w:val="22"/>
        </w:rPr>
        <w:t>c)</w:t>
      </w:r>
      <w:r w:rsidRPr="00185920">
        <w:rPr>
          <w:rFonts w:cs="Arial"/>
          <w:szCs w:val="22"/>
        </w:rPr>
        <w:t>;</w:t>
      </w:r>
      <w:r>
        <w:rPr>
          <w:rFonts w:cs="Arial"/>
          <w:szCs w:val="22"/>
        </w:rPr>
        <w:t xml:space="preserve"> </w:t>
      </w:r>
      <w:hyperlink w:anchor="premessa12"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41"/>
        </w:numPr>
        <w:ind w:left="568" w:hanging="284"/>
        <w:rPr>
          <w:rFonts w:cs="Arial"/>
          <w:szCs w:val="22"/>
        </w:rPr>
      </w:pPr>
      <w:bookmarkStart w:id="421" w:name="S12o02"/>
      <w:r w:rsidRPr="00185920">
        <w:rPr>
          <w:rFonts w:cs="Arial"/>
          <w:szCs w:val="22"/>
        </w:rPr>
        <w:t>appare, in particolare</w:t>
      </w:r>
      <w:bookmarkEnd w:id="421"/>
      <w:r w:rsidRPr="00185920">
        <w:rPr>
          <w:rFonts w:cs="Arial"/>
          <w:szCs w:val="22"/>
        </w:rPr>
        <w:t xml:space="preserve">, necessario coordinare con la normativa vigente, nel senso dettagliatamente indicato nelle premesse, cui si rinvia, i criteri di delega recati, all’articolo 7, comma 1: alla lettera </w:t>
      </w:r>
      <w:r w:rsidRPr="00185920">
        <w:rPr>
          <w:rFonts w:cs="Arial"/>
          <w:i/>
          <w:szCs w:val="22"/>
        </w:rPr>
        <w:t>b)</w:t>
      </w:r>
      <w:r w:rsidRPr="00185920">
        <w:rPr>
          <w:rFonts w:cs="Arial"/>
          <w:szCs w:val="22"/>
        </w:rPr>
        <w:t xml:space="preserve">, n. 3), alla lettera </w:t>
      </w:r>
      <w:r w:rsidRPr="00185920">
        <w:rPr>
          <w:rFonts w:cs="Arial"/>
          <w:i/>
          <w:szCs w:val="22"/>
        </w:rPr>
        <w:t>b)</w:t>
      </w:r>
      <w:r w:rsidRPr="00185920">
        <w:rPr>
          <w:rFonts w:cs="Arial"/>
          <w:szCs w:val="22"/>
        </w:rPr>
        <w:t xml:space="preserve">, numero 4), alla lettera </w:t>
      </w:r>
      <w:r w:rsidRPr="00185920">
        <w:rPr>
          <w:rFonts w:cs="Arial"/>
          <w:i/>
          <w:szCs w:val="22"/>
        </w:rPr>
        <w:t>c)</w:t>
      </w:r>
      <w:r w:rsidRPr="00185920">
        <w:rPr>
          <w:rFonts w:cs="Arial"/>
          <w:szCs w:val="22"/>
        </w:rPr>
        <w:t>;</w:t>
      </w:r>
      <w:r>
        <w:rPr>
          <w:rFonts w:cs="Arial"/>
          <w:szCs w:val="22"/>
        </w:rPr>
        <w:t xml:space="preserve"> </w:t>
      </w:r>
      <w:hyperlink w:anchor="premessa12" w:history="1">
        <w:r w:rsidRPr="00D249C1">
          <w:rPr>
            <w:rStyle w:val="Collegamentoipertestuale"/>
            <w:rFonts w:cs="Arial"/>
            <w:szCs w:val="22"/>
          </w:rPr>
          <w:t>[torna su]</w:t>
        </w:r>
      </w:hyperlink>
      <w:r>
        <w:rPr>
          <w:rStyle w:val="Collegamentoipertestuale"/>
          <w:rFonts w:cs="Arial"/>
          <w:szCs w:val="22"/>
        </w:rPr>
        <w:t xml:space="preserve"> </w:t>
      </w:r>
    </w:p>
    <w:p w:rsidR="000B33A8" w:rsidRPr="00472AC7" w:rsidRDefault="000B33A8" w:rsidP="00B26E1F">
      <w:pPr>
        <w:pStyle w:val="Paragrafoelenco"/>
        <w:numPr>
          <w:ilvl w:val="0"/>
          <w:numId w:val="41"/>
        </w:numPr>
        <w:ind w:left="567" w:hanging="283"/>
        <w:rPr>
          <w:rFonts w:cs="Arial"/>
          <w:szCs w:val="22"/>
        </w:rPr>
      </w:pPr>
      <w:bookmarkStart w:id="422" w:name="S12o03"/>
      <w:r w:rsidRPr="00185920">
        <w:rPr>
          <w:rFonts w:cs="Arial"/>
          <w:szCs w:val="22"/>
        </w:rPr>
        <w:t xml:space="preserve">all’articolo 16, comma </w:t>
      </w:r>
      <w:bookmarkEnd w:id="422"/>
      <w:r w:rsidRPr="00185920">
        <w:rPr>
          <w:rFonts w:cs="Arial"/>
          <w:szCs w:val="22"/>
        </w:rPr>
        <w:t>1, si dovrebbe valutare l’opportunità di esplicitare quale sia il termine ultimo di riferimento per individuare l’oggetto della delega</w:t>
      </w:r>
      <w:r w:rsidRPr="004033E7">
        <w:rPr>
          <w:rFonts w:cs="Arial"/>
          <w:szCs w:val="22"/>
        </w:rPr>
        <w:t>;</w:t>
      </w:r>
      <w:r>
        <w:rPr>
          <w:rFonts w:cs="Arial"/>
          <w:szCs w:val="22"/>
        </w:rPr>
        <w:t xml:space="preserve"> </w:t>
      </w:r>
      <w:hyperlink w:anchor="premessa12"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keepNext/>
        <w:ind w:firstLine="0"/>
        <w:rPr>
          <w:rFonts w:cs="Arial"/>
          <w:szCs w:val="22"/>
        </w:rPr>
      </w:pPr>
    </w:p>
    <w:p w:rsidR="000B33A8" w:rsidRDefault="000B33A8" w:rsidP="000B33A8">
      <w:pPr>
        <w:keepNext/>
        <w:ind w:firstLine="0"/>
        <w:rPr>
          <w:rFonts w:cs="Arial"/>
          <w:i/>
          <w:szCs w:val="22"/>
        </w:rPr>
      </w:pPr>
      <w:r w:rsidRPr="00C733BB">
        <w:rPr>
          <w:rFonts w:cs="Arial"/>
          <w:i/>
          <w:szCs w:val="22"/>
        </w:rPr>
        <w:t>sotto il profilo della chiarezza e della proprietà della formulazione</w:t>
      </w:r>
      <w:r w:rsidRPr="00D249C1">
        <w:rPr>
          <w:rFonts w:cs="Arial"/>
          <w:i/>
          <w:szCs w:val="22"/>
        </w:rPr>
        <w:t>:</w:t>
      </w:r>
      <w:r>
        <w:rPr>
          <w:rFonts w:cs="Arial"/>
          <w:i/>
          <w:szCs w:val="22"/>
        </w:rPr>
        <w:t xml:space="preserve"> </w:t>
      </w:r>
    </w:p>
    <w:p w:rsidR="000B33A8" w:rsidRPr="0023041E" w:rsidRDefault="000B33A8" w:rsidP="00B26E1F">
      <w:pPr>
        <w:pStyle w:val="rilievo"/>
        <w:numPr>
          <w:ilvl w:val="0"/>
          <w:numId w:val="41"/>
        </w:numPr>
        <w:spacing w:before="60" w:after="60" w:line="300" w:lineRule="atLeast"/>
        <w:rPr>
          <w:rFonts w:ascii="Arial" w:hAnsi="Arial" w:cs="Arial"/>
          <w:sz w:val="22"/>
          <w:szCs w:val="22"/>
          <w:lang w:eastAsia="it-IT"/>
        </w:rPr>
      </w:pPr>
      <w:bookmarkStart w:id="423" w:name="S12o04"/>
      <w:r w:rsidRPr="0023041E">
        <w:rPr>
          <w:rFonts w:ascii="Arial" w:hAnsi="Arial" w:cs="Arial"/>
          <w:sz w:val="22"/>
          <w:szCs w:val="22"/>
          <w:lang w:eastAsia="it-IT"/>
        </w:rPr>
        <w:t xml:space="preserve">all’articolo 3, per quanto </w:t>
      </w:r>
      <w:bookmarkEnd w:id="423"/>
      <w:r w:rsidRPr="0023041E">
        <w:rPr>
          <w:rFonts w:ascii="Arial" w:hAnsi="Arial" w:cs="Arial"/>
          <w:sz w:val="22"/>
          <w:szCs w:val="22"/>
          <w:lang w:eastAsia="it-IT"/>
        </w:rPr>
        <w:t xml:space="preserve">detto in premessa, si dovrebbe: </w:t>
      </w:r>
    </w:p>
    <w:p w:rsidR="000B33A8" w:rsidRPr="0023041E" w:rsidRDefault="000B33A8" w:rsidP="000B33A8">
      <w:pPr>
        <w:pStyle w:val="rilievo"/>
        <w:numPr>
          <w:ilvl w:val="0"/>
          <w:numId w:val="0"/>
        </w:numPr>
        <w:spacing w:before="60" w:after="60" w:line="300" w:lineRule="atLeast"/>
        <w:ind w:left="720" w:firstLine="696"/>
        <w:rPr>
          <w:rFonts w:ascii="Arial" w:hAnsi="Arial" w:cs="Arial"/>
          <w:sz w:val="22"/>
          <w:szCs w:val="22"/>
          <w:lang w:eastAsia="it-IT"/>
        </w:rPr>
      </w:pPr>
      <w:r w:rsidRPr="0023041E">
        <w:rPr>
          <w:rFonts w:ascii="Arial" w:hAnsi="Arial" w:cs="Arial"/>
          <w:sz w:val="22"/>
          <w:szCs w:val="22"/>
          <w:lang w:eastAsia="it-IT"/>
        </w:rPr>
        <w:t>a) chiarire se – nei casi ivi previsti – l’adozione del provvedimento finale spetti alla Presidenza del Consiglio o all’amministrazione ordinariamente competente;</w:t>
      </w:r>
    </w:p>
    <w:p w:rsidR="000B33A8" w:rsidRPr="0023041E" w:rsidRDefault="000B33A8" w:rsidP="000B33A8">
      <w:pPr>
        <w:pStyle w:val="rilievo"/>
        <w:numPr>
          <w:ilvl w:val="0"/>
          <w:numId w:val="0"/>
        </w:numPr>
        <w:spacing w:before="60" w:after="60" w:line="300" w:lineRule="atLeast"/>
        <w:ind w:left="720" w:firstLine="696"/>
        <w:rPr>
          <w:rFonts w:ascii="Arial" w:hAnsi="Arial" w:cs="Arial"/>
          <w:sz w:val="22"/>
          <w:szCs w:val="22"/>
          <w:lang w:eastAsia="it-IT"/>
        </w:rPr>
      </w:pPr>
      <w:r w:rsidRPr="0023041E">
        <w:rPr>
          <w:rFonts w:ascii="Arial" w:hAnsi="Arial" w:cs="Arial"/>
          <w:sz w:val="22"/>
          <w:szCs w:val="22"/>
          <w:lang w:eastAsia="it-IT"/>
        </w:rPr>
        <w:t>b) integrare la rubrica dell’articolo per dare pienamente conto del suo contenuto;</w:t>
      </w:r>
    </w:p>
    <w:p w:rsidR="000B33A8" w:rsidRDefault="000B33A8" w:rsidP="000B33A8">
      <w:pPr>
        <w:pStyle w:val="rilievo"/>
        <w:numPr>
          <w:ilvl w:val="0"/>
          <w:numId w:val="0"/>
        </w:numPr>
        <w:spacing w:before="60" w:after="60" w:line="300" w:lineRule="atLeast"/>
        <w:ind w:left="720" w:firstLine="696"/>
        <w:rPr>
          <w:rFonts w:ascii="Arial" w:hAnsi="Arial" w:cs="Arial"/>
          <w:sz w:val="22"/>
          <w:szCs w:val="22"/>
          <w:lang w:eastAsia="it-IT"/>
        </w:rPr>
      </w:pPr>
      <w:r w:rsidRPr="0023041E">
        <w:rPr>
          <w:rFonts w:ascii="Arial" w:hAnsi="Arial" w:cs="Arial"/>
          <w:sz w:val="22"/>
          <w:szCs w:val="22"/>
          <w:lang w:eastAsia="it-IT"/>
        </w:rPr>
        <w:t xml:space="preserve">c) valutare l’effettiva applicabilità all’ipotesi in cui l’amministrazione statale possa superare il dissenso di un’amministrazione regionale, o provinciale autonoma, in </w:t>
      </w:r>
      <w:r>
        <w:rPr>
          <w:rFonts w:ascii="Arial" w:hAnsi="Arial" w:cs="Arial"/>
          <w:sz w:val="22"/>
          <w:szCs w:val="22"/>
          <w:lang w:eastAsia="it-IT"/>
        </w:rPr>
        <w:t>a</w:t>
      </w:r>
      <w:r w:rsidRPr="0023041E">
        <w:rPr>
          <w:rFonts w:ascii="Arial" w:hAnsi="Arial" w:cs="Arial"/>
          <w:sz w:val="22"/>
          <w:szCs w:val="22"/>
          <w:lang w:eastAsia="it-IT"/>
        </w:rPr>
        <w:t>mbiti materiali di competenza regionale concorrente o  residuale, ed introdurre le opportune riformulazioni;</w:t>
      </w:r>
    </w:p>
    <w:p w:rsidR="000B33A8" w:rsidRDefault="000B33A8" w:rsidP="000B33A8">
      <w:pPr>
        <w:pStyle w:val="rilievo"/>
        <w:numPr>
          <w:ilvl w:val="0"/>
          <w:numId w:val="0"/>
        </w:numPr>
        <w:spacing w:before="60" w:after="60" w:line="300" w:lineRule="atLeast"/>
        <w:ind w:left="720" w:firstLine="696"/>
        <w:rPr>
          <w:rFonts w:ascii="Arial" w:hAnsi="Arial" w:cs="Arial"/>
          <w:sz w:val="22"/>
          <w:szCs w:val="22"/>
          <w:lang w:eastAsia="it-IT"/>
        </w:rPr>
      </w:pPr>
      <w:r w:rsidRPr="0023041E">
        <w:rPr>
          <w:rFonts w:ascii="Arial" w:hAnsi="Arial" w:cs="Arial"/>
          <w:sz w:val="22"/>
          <w:szCs w:val="22"/>
          <w:lang w:eastAsia="it-IT"/>
        </w:rPr>
        <w:t>d) valutare il modo e l’opportunità di assicurare un coordinamento espresso con le discipline settoriali in materia di conferenza di servizi;</w:t>
      </w:r>
    </w:p>
    <w:p w:rsidR="000B33A8" w:rsidRPr="00E772E0" w:rsidRDefault="000B33A8" w:rsidP="000B33A8">
      <w:pPr>
        <w:pStyle w:val="rilievo"/>
        <w:numPr>
          <w:ilvl w:val="0"/>
          <w:numId w:val="0"/>
        </w:numPr>
        <w:spacing w:before="60" w:after="60" w:line="300" w:lineRule="atLeast"/>
        <w:ind w:left="720" w:firstLine="696"/>
        <w:rPr>
          <w:rStyle w:val="Collegamentoipertestuale"/>
          <w:rFonts w:cs="Arial"/>
          <w:szCs w:val="22"/>
        </w:rPr>
      </w:pPr>
      <w:r w:rsidRPr="0023041E">
        <w:rPr>
          <w:rFonts w:ascii="Arial" w:hAnsi="Arial" w:cs="Arial"/>
          <w:sz w:val="22"/>
          <w:szCs w:val="22"/>
          <w:lang w:eastAsia="it-IT"/>
        </w:rPr>
        <w:t>e) chiarire i termini applicabili all’ipotesi di integrazioni istruttorie richieste dalle amministrazioni preposte alla tutela ambientale, paesaggistico-territoriale, dei beni culturali e della salute dei cittadini;</w:t>
      </w:r>
      <w:r>
        <w:rPr>
          <w:rFonts w:cs="Arial"/>
          <w:szCs w:val="22"/>
        </w:rPr>
        <w:t xml:space="preserve"> </w:t>
      </w:r>
      <w:hyperlink w:anchor="premessa12" w:history="1">
        <w:r w:rsidRPr="00D249C1">
          <w:rPr>
            <w:rStyle w:val="Collegamentoipertestuale"/>
            <w:rFonts w:cs="Arial"/>
            <w:szCs w:val="22"/>
          </w:rPr>
          <w:t>[torna su]</w:t>
        </w:r>
      </w:hyperlink>
      <w:r>
        <w:rPr>
          <w:rStyle w:val="Collegamentoipertestuale"/>
          <w:rFonts w:cs="Arial"/>
          <w:szCs w:val="22"/>
        </w:rPr>
        <w:t xml:space="preserve"> </w:t>
      </w:r>
    </w:p>
    <w:p w:rsidR="000B33A8" w:rsidRPr="00E772E0" w:rsidRDefault="000B33A8" w:rsidP="00B26E1F">
      <w:pPr>
        <w:pStyle w:val="Paragrafoelenco"/>
        <w:numPr>
          <w:ilvl w:val="0"/>
          <w:numId w:val="41"/>
        </w:numPr>
        <w:ind w:left="567" w:hanging="283"/>
        <w:rPr>
          <w:rStyle w:val="Collegamentoipertestuale"/>
          <w:rFonts w:cs="Arial"/>
          <w:szCs w:val="22"/>
        </w:rPr>
      </w:pPr>
      <w:bookmarkStart w:id="424" w:name="S12o05"/>
      <w:r w:rsidRPr="0023041E">
        <w:rPr>
          <w:rFonts w:cs="Arial"/>
          <w:szCs w:val="22"/>
        </w:rPr>
        <w:t xml:space="preserve">all’articolo 17 si dovrebbe </w:t>
      </w:r>
      <w:bookmarkEnd w:id="424"/>
      <w:r w:rsidRPr="0023041E">
        <w:rPr>
          <w:rFonts w:cs="Arial"/>
          <w:szCs w:val="22"/>
        </w:rPr>
        <w:t>valutare l’effettiva portata normativa del richiamo alla riforma costituzionale del 2001</w:t>
      </w:r>
      <w:r w:rsidRPr="00472AC7">
        <w:rPr>
          <w:rFonts w:cs="Arial"/>
          <w:szCs w:val="22"/>
        </w:rPr>
        <w:t xml:space="preserve">; </w:t>
      </w:r>
      <w:hyperlink w:anchor="premessa12" w:history="1">
        <w:r w:rsidRPr="00472AC7">
          <w:rPr>
            <w:rStyle w:val="Collegamentoipertestuale"/>
            <w:rFonts w:cs="Arial"/>
            <w:szCs w:val="22"/>
          </w:rPr>
          <w:t>[torna su]</w:t>
        </w:r>
      </w:hyperlink>
      <w:r w:rsidRPr="00472AC7">
        <w:rPr>
          <w:rStyle w:val="Collegamentoipertestuale"/>
          <w:rFonts w:cs="Arial"/>
          <w:szCs w:val="22"/>
        </w:rPr>
        <w:t xml:space="preserve"> </w:t>
      </w:r>
    </w:p>
    <w:p w:rsidR="000B33A8" w:rsidRDefault="000B33A8" w:rsidP="000B33A8">
      <w:pPr>
        <w:ind w:left="567" w:hanging="283"/>
        <w:rPr>
          <w:rFonts w:cs="Arial"/>
          <w:i/>
          <w:szCs w:val="22"/>
        </w:rPr>
      </w:pPr>
    </w:p>
    <w:p w:rsidR="000B33A8" w:rsidRPr="00B91F58" w:rsidRDefault="000B33A8" w:rsidP="000B33A8">
      <w:pPr>
        <w:ind w:left="567" w:hanging="283"/>
        <w:rPr>
          <w:rFonts w:cs="Arial"/>
          <w:szCs w:val="22"/>
        </w:rPr>
      </w:pPr>
    </w:p>
    <w:p w:rsidR="000B33A8" w:rsidRDefault="000B33A8" w:rsidP="000B33A8">
      <w:pPr>
        <w:ind w:left="567" w:hanging="283"/>
        <w:rPr>
          <w:rFonts w:cs="Arial"/>
          <w:szCs w:val="22"/>
        </w:rPr>
      </w:pPr>
    </w:p>
    <w:p w:rsidR="000B33A8" w:rsidRDefault="000B33A8" w:rsidP="000B33A8">
      <w:pPr>
        <w:ind w:left="567" w:hanging="283"/>
        <w:rPr>
          <w:rFonts w:cs="Arial"/>
          <w:szCs w:val="22"/>
        </w:rPr>
        <w:sectPr w:rsidR="000B33A8" w:rsidSect="000B33A8">
          <w:headerReference w:type="default" r:id="rId337"/>
          <w:footerReference w:type="even" r:id="rId338"/>
          <w:footerReference w:type="default" r:id="rId339"/>
          <w:pgSz w:w="11906" w:h="16838" w:code="9"/>
          <w:pgMar w:top="1985" w:right="1985" w:bottom="1985" w:left="1985" w:header="1134" w:footer="1134" w:gutter="0"/>
          <w:cols w:space="720"/>
          <w:formProt w:val="0"/>
        </w:sectPr>
      </w:pPr>
    </w:p>
    <w:p w:rsidR="000B33A8" w:rsidRPr="00B91F58" w:rsidRDefault="000B33A8" w:rsidP="000B33A8">
      <w:pPr>
        <w:ind w:left="567" w:hanging="283"/>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0013</w:t>
            </w:r>
          </w:p>
        </w:tc>
        <w:tc>
          <w:tcPr>
            <w:tcW w:w="750" w:type="pct"/>
            <w:shd w:val="clear" w:color="auto" w:fill="auto"/>
          </w:tcPr>
          <w:p w:rsidR="000B33A8" w:rsidRPr="00B26E1F" w:rsidRDefault="000B33A8" w:rsidP="000B33A8">
            <w:pPr>
              <w:pStyle w:val="Collegamento"/>
              <w:rPr>
                <w:rFonts w:cs="Arial"/>
              </w:rPr>
            </w:pPr>
            <w:r w:rsidRPr="00B26E1F">
              <w:rPr>
                <w:rFonts w:cs="Arial"/>
              </w:rPr>
              <w:t>3123</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40" w:history="1">
              <w:r w:rsidR="000B33A8" w:rsidRPr="00B26E1F">
                <w:rPr>
                  <w:rStyle w:val="Collegamentoipertestuale"/>
                  <w:rFonts w:cs="Arial"/>
                </w:rPr>
                <w:t>ddl Governo</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Legge di delegazione europea 2014</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highlight w:val="yellow"/>
              </w:rPr>
            </w:pPr>
            <w:hyperlink r:id="rId341" w:anchor="data.20150611.com48.bollettino.sede00010.tit00020" w:history="1">
              <w:r w:rsidR="000B33A8" w:rsidRPr="003A202F">
                <w:rPr>
                  <w:rStyle w:val="Collegamentoipertestuale"/>
                </w:rPr>
                <w:t>11/06/2015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6-</w:t>
            </w:r>
            <w:r w:rsidRPr="00B26E1F">
              <w:rPr>
                <w:rFonts w:cs="Arial"/>
                <w:b/>
                <w:bCs/>
                <w:i/>
                <w:sz w:val="24"/>
              </w:rPr>
              <w:t>BIS</w:t>
            </w:r>
            <w:r w:rsidRPr="00B26E1F">
              <w:rPr>
                <w:rFonts w:cs="Arial"/>
                <w:b/>
                <w:bCs/>
                <w:sz w:val="24"/>
              </w:rPr>
              <w:t>,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425" w:name="premessa13"/>
            <w:r w:rsidRPr="00B26E1F">
              <w:rPr>
                <w:rFonts w:cs="Arial"/>
                <w:b/>
                <w:color w:val="0000FF"/>
                <w:sz w:val="24"/>
                <w:szCs w:val="24"/>
              </w:rPr>
              <w:t>Premessa</w:t>
            </w:r>
            <w:bookmarkEnd w:id="425"/>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2 Condizioni, 1 Osservazione</w:t>
            </w:r>
          </w:p>
        </w:tc>
      </w:tr>
      <w:tr w:rsidR="000B33A8" w:rsidRPr="008B2DCE" w:rsidTr="00B26E1F">
        <w:trPr>
          <w:trHeight w:val="69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3a01" w:history="1">
              <w:r w:rsidR="000B33A8" w:rsidRPr="00D40FBA">
                <w:rPr>
                  <w:rStyle w:val="Collegamentoipertestuale"/>
                </w:rPr>
                <w:t>1</w:t>
              </w:r>
            </w:hyperlink>
            <w:r w:rsidR="000B33A8" w:rsidRPr="00B26E1F">
              <w:rPr>
                <w:rFonts w:cs="Arial"/>
              </w:rPr>
              <w:t xml:space="preserve"> – Contenuto disomogeneo con finalità univoca, non rilevato nel parere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697"/>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3a02" w:history="1">
              <w:r w:rsidR="000B33A8" w:rsidRPr="00812559">
                <w:rPr>
                  <w:rStyle w:val="Collegamentoipertestuale"/>
                </w:rPr>
                <w:t>2</w:t>
              </w:r>
            </w:hyperlink>
            <w:r w:rsidR="000B33A8" w:rsidRPr="00B26E1F">
              <w:rPr>
                <w:rFonts w:cs="Arial"/>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after="120"/>
              <w:ind w:firstLine="0"/>
              <w:rPr>
                <w:rFonts w:cs="Arial"/>
              </w:rPr>
            </w:pPr>
            <w:r w:rsidRPr="00B26E1F">
              <w:rPr>
                <w:rFonts w:cs="Arial"/>
              </w:rPr>
              <w:t>Principi e criteri direttivi formulati con espressioni che fanno riferimento a mere eventualità o ad opzioni alternative selezionabili dal Governo delegato. Richiamo alle sentenze n. 68/1991 e n. 340/2007 della Corte costituzionale.</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3a03" w:history="1">
              <w:r w:rsidR="000B33A8" w:rsidRPr="00812559">
                <w:rPr>
                  <w:rStyle w:val="Collegamentoipertestuale"/>
                </w:rPr>
                <w:t>3</w:t>
              </w:r>
            </w:hyperlink>
            <w:r w:rsidR="000B33A8" w:rsidRPr="00B26E1F">
              <w:rPr>
                <w:rFonts w:cs="Arial"/>
              </w:rPr>
              <w:t xml:space="preserve"> – 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Disposizioni sprovviste di un contenuto innovativo dell’ordinamento, che a) riproducono o richiamano la disciplina già vigente; b) si riferiscono ad aspetti endoprocedimentali della delega.</w:t>
            </w:r>
          </w:p>
        </w:tc>
      </w:tr>
      <w:tr w:rsidR="000B33A8" w:rsidRPr="008B2DCE" w:rsidTr="00B26E1F">
        <w:trPr>
          <w:trHeight w:val="94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2204D6" w:rsidRDefault="00EB0878" w:rsidP="00B26E1F">
            <w:pPr>
              <w:spacing w:before="100" w:beforeAutospacing="1" w:after="100" w:afterAutospacing="1"/>
              <w:ind w:firstLine="0"/>
            </w:pPr>
            <w:hyperlink w:anchor="S13a04" w:history="1">
              <w:r w:rsidR="000B33A8" w:rsidRPr="00C563FD">
                <w:rPr>
                  <w:rStyle w:val="Collegamentoipertestuale"/>
                </w:rPr>
                <w:t>4</w:t>
              </w:r>
            </w:hyperlink>
            <w:r w:rsidR="000B33A8">
              <w:t xml:space="preserve"> – </w:t>
            </w:r>
            <w:r w:rsidR="000B33A8" w:rsidRPr="000E08E2">
              <w:t>Riferimenti normativi generici o imprecisi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70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13a05" w:history="1">
              <w:r w:rsidR="000B33A8" w:rsidRPr="00812559">
                <w:rPr>
                  <w:rStyle w:val="Collegamentoipertestuale"/>
                </w:rPr>
                <w:t>5</w:t>
              </w:r>
            </w:hyperlink>
            <w:r w:rsidR="000B33A8" w:rsidRPr="00B26E1F">
              <w:rPr>
                <w:rFonts w:cs="Arial"/>
              </w:rPr>
              <w:t xml:space="preserve"> – </w:t>
            </w:r>
            <w:r w:rsidR="000B33A8">
              <w:t>Coordinamento interno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Molti articoli si chiudono con analoga clausola di invarianza finanziaria, che sembrerebbe opportuno concentrare in un’unica disposizione.</w:t>
            </w:r>
          </w:p>
          <w:p w:rsidR="000B33A8" w:rsidRPr="00B26E1F" w:rsidRDefault="000B33A8" w:rsidP="00B26E1F">
            <w:pPr>
              <w:spacing w:before="100" w:beforeAutospacing="1" w:after="100" w:afterAutospacing="1"/>
              <w:ind w:firstLine="0"/>
              <w:rPr>
                <w:rFonts w:cs="Arial"/>
              </w:rPr>
            </w:pPr>
            <w:r w:rsidRPr="00B26E1F">
              <w:rPr>
                <w:rFonts w:cs="Arial"/>
              </w:rPr>
              <w:t>Condizione 2</w:t>
            </w:r>
          </w:p>
        </w:tc>
      </w:tr>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3a06" w:history="1">
              <w:r w:rsidR="000B33A8" w:rsidRPr="00B26E1F">
                <w:rPr>
                  <w:rStyle w:val="Collegamentoipertestuale"/>
                  <w:rFonts w:cs="Arial"/>
                </w:rPr>
                <w:t>6</w:t>
              </w:r>
            </w:hyperlink>
            <w:r w:rsidR="000B33A8" w:rsidRPr="00B26E1F">
              <w:rPr>
                <w:rStyle w:val="Collegamentoipertestuale"/>
                <w:rFonts w:cs="Arial"/>
              </w:rPr>
              <w:t xml:space="preserve"> </w:t>
            </w:r>
            <w:r w:rsidR="000B33A8">
              <w:t>–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ATN presente; AIR assente; manca riferimento all’eventuale esenzione.</w:t>
            </w:r>
          </w:p>
        </w:tc>
      </w:tr>
    </w:tbl>
    <w:p w:rsidR="000B33A8" w:rsidRDefault="000B33A8" w:rsidP="000B33A8"/>
    <w:p w:rsidR="000B33A8" w:rsidRDefault="000B33A8" w:rsidP="000B33A8"/>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13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13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bl>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sz w:val="24"/>
              </w:rPr>
            </w:pPr>
            <w:r w:rsidRPr="00B26E1F">
              <w:rPr>
                <w:rFonts w:cs="Arial"/>
                <w:i/>
                <w:sz w:val="24"/>
              </w:rPr>
              <w:t>Sentenze della Corte costituzionale:</w:t>
            </w:r>
            <w:r w:rsidRPr="00B26E1F">
              <w:rPr>
                <w:rFonts w:cs="Arial"/>
                <w:sz w:val="24"/>
              </w:rPr>
              <w:t xml:space="preserve"> </w:t>
            </w:r>
            <w:r w:rsidRPr="00B26E1F">
              <w:rPr>
                <w:rFonts w:cs="Arial"/>
              </w:rPr>
              <w:t>n. 68/1991 e n. 340/2007</w:t>
            </w:r>
            <w:r w:rsidRPr="00B26E1F">
              <w:rPr>
                <w:rFonts w:cs="Arial"/>
                <w:i/>
              </w:rPr>
              <w:t>.</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426" w:name="S13a01"/>
      <w:r w:rsidRPr="00B91F58">
        <w:rPr>
          <w:rFonts w:cs="Arial"/>
          <w:szCs w:val="22"/>
        </w:rPr>
        <w:t xml:space="preserve">1 </w:t>
      </w:r>
      <w:bookmarkEnd w:id="426"/>
      <w:r w:rsidRPr="00B91F58">
        <w:rPr>
          <w:rFonts w:cs="Arial"/>
          <w:szCs w:val="22"/>
        </w:rPr>
        <w:t xml:space="preserve">– </w:t>
      </w:r>
      <w:hyperlink w:anchor="premessa13" w:history="1">
        <w:r w:rsidRPr="00B91F58">
          <w:rPr>
            <w:rStyle w:val="Collegamentoipertestuale"/>
            <w:rFonts w:cs="Arial"/>
            <w:b/>
            <w:szCs w:val="22"/>
          </w:rPr>
          <w:t>Premessa</w:t>
        </w:r>
        <w:r w:rsidRPr="00B91F58">
          <w:rPr>
            <w:rStyle w:val="Collegamentoipertestuale"/>
            <w:rFonts w:cs="Arial"/>
            <w:szCs w:val="22"/>
          </w:rPr>
          <w:t>:</w:t>
        </w:r>
      </w:hyperlink>
      <w:r w:rsidRPr="00E33CE9">
        <w:rPr>
          <w:rStyle w:val="Collegamentoipertestuale"/>
          <w:rFonts w:cs="Arial"/>
          <w:szCs w:val="22"/>
        </w:rPr>
        <w:t xml:space="preserve"> </w:t>
      </w:r>
      <w:r w:rsidRPr="00B91F58">
        <w:rPr>
          <w:rFonts w:cs="Arial"/>
          <w:szCs w:val="22"/>
        </w:rPr>
        <w:t>«</w:t>
      </w:r>
      <w:r w:rsidRPr="00790FE3">
        <w:rPr>
          <w:rFonts w:cs="Arial"/>
          <w:szCs w:val="22"/>
        </w:rPr>
        <w:t xml:space="preserve">il disegno di legge, che si compone di 21 articoli e di 2 allegati, reca un contenuto corrispondente al modello delineato dalla legge n. 234 del 2012 e contiene le deleghe al Governo per il recepimento delle direttive europee e l'attuazione di altri atti dell'Unione europea, rispondendo all'esigenza di adempiere all'obbligo di adeguare l'ordinamento interno alla normativa europea non direttamente applicabile, mediante uno strumento che fisiologicamente </w:t>
      </w:r>
      <w:r w:rsidRPr="00790FE3">
        <w:rPr>
          <w:rFonts w:cs="Arial"/>
          <w:b/>
          <w:szCs w:val="22"/>
        </w:rPr>
        <w:t>interviene su diversi settori normativi</w:t>
      </w:r>
      <w:r w:rsidRPr="00B91F58">
        <w:rPr>
          <w:rFonts w:cs="Arial"/>
          <w:szCs w:val="22"/>
        </w:rPr>
        <w:t>»</w:t>
      </w:r>
      <w:r>
        <w:rPr>
          <w:rFonts w:cs="Arial"/>
          <w:szCs w:val="22"/>
        </w:rPr>
        <w:t xml:space="preserve"> </w:t>
      </w:r>
      <w:r w:rsidRPr="00B91F58">
        <w:rPr>
          <w:rFonts w:cs="Arial"/>
          <w:szCs w:val="22"/>
        </w:rPr>
        <w:t>;</w:t>
      </w:r>
      <w:r>
        <w:rPr>
          <w:rFonts w:cs="Arial"/>
          <w:szCs w:val="22"/>
        </w:rPr>
        <w:t xml:space="preserve"> </w:t>
      </w:r>
    </w:p>
    <w:p w:rsidR="000B33A8" w:rsidRDefault="000B33A8" w:rsidP="000B33A8">
      <w:pPr>
        <w:spacing w:before="100" w:beforeAutospacing="1" w:after="100" w:afterAutospacing="1" w:line="240" w:lineRule="auto"/>
        <w:ind w:firstLine="0"/>
        <w:jc w:val="left"/>
        <w:rPr>
          <w:rFonts w:cs="Arial"/>
          <w:szCs w:val="22"/>
        </w:rPr>
      </w:pPr>
    </w:p>
    <w:p w:rsidR="000B33A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427" w:name="S13a02"/>
      <w:r w:rsidRPr="00B91F58">
        <w:rPr>
          <w:rFonts w:cs="Arial"/>
          <w:szCs w:val="22"/>
        </w:rPr>
        <w:t xml:space="preserve">2 </w:t>
      </w:r>
      <w:bookmarkEnd w:id="427"/>
      <w:r w:rsidRPr="00B91F58">
        <w:rPr>
          <w:rFonts w:cs="Arial"/>
          <w:szCs w:val="22"/>
        </w:rPr>
        <w:t xml:space="preserve">– </w:t>
      </w:r>
      <w:hyperlink w:anchor="premessa1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D353C1">
        <w:rPr>
          <w:rFonts w:cs="Arial"/>
          <w:szCs w:val="22"/>
        </w:rPr>
        <w:t xml:space="preserve">taluni </w:t>
      </w:r>
      <w:r w:rsidRPr="00D353C1">
        <w:rPr>
          <w:rFonts w:cs="Arial"/>
          <w:b/>
          <w:szCs w:val="22"/>
        </w:rPr>
        <w:t>principi e criteri direttivi</w:t>
      </w:r>
      <w:r w:rsidRPr="00D353C1">
        <w:rPr>
          <w:rFonts w:cs="Arial"/>
          <w:szCs w:val="22"/>
        </w:rPr>
        <w:t xml:space="preserve"> sono formulati con espressioni che fanno riferimento a </w:t>
      </w:r>
      <w:r w:rsidRPr="00D353C1">
        <w:rPr>
          <w:rFonts w:cs="Arial"/>
          <w:b/>
          <w:szCs w:val="22"/>
        </w:rPr>
        <w:t>mere eventualità ossia a opzioni alternative selezionabili dal Governo delegato</w:t>
      </w:r>
      <w:r w:rsidRPr="00D353C1">
        <w:rPr>
          <w:rFonts w:cs="Arial"/>
          <w:szCs w:val="22"/>
        </w:rPr>
        <w:t xml:space="preserve">; a titolo esemplificativo, si richiamano l’articolo 5, comma 1, lettera </w:t>
      </w:r>
      <w:r w:rsidRPr="00D353C1">
        <w:rPr>
          <w:rFonts w:cs="Arial"/>
          <w:i/>
          <w:szCs w:val="22"/>
        </w:rPr>
        <w:t>b</w:t>
      </w:r>
      <w:r w:rsidRPr="00D353C1">
        <w:rPr>
          <w:rFonts w:cs="Arial"/>
          <w:szCs w:val="22"/>
        </w:rPr>
        <w:t xml:space="preserve">) (“prevedere, </w:t>
      </w:r>
      <w:r w:rsidRPr="00D353C1">
        <w:rPr>
          <w:rFonts w:cs="Arial"/>
          <w:i/>
          <w:szCs w:val="22"/>
        </w:rPr>
        <w:t>ove opportuno</w:t>
      </w:r>
      <w:r w:rsidRPr="00D353C1">
        <w:rPr>
          <w:rFonts w:cs="Arial"/>
          <w:szCs w:val="22"/>
        </w:rPr>
        <w:t xml:space="preserve">, l’innalzamento della soglia minima prevista dal citato testo unico di cui al decreto legislativo n. 58 del 1998 in materia di obblighi di comunicazione delle partecipazioni rilevanti”); l’articolo 8, comma 1, lettera </w:t>
      </w:r>
      <w:r w:rsidRPr="00D353C1">
        <w:rPr>
          <w:rFonts w:cs="Arial"/>
          <w:i/>
          <w:szCs w:val="22"/>
        </w:rPr>
        <w:t>b</w:t>
      </w:r>
      <w:r w:rsidRPr="00D353C1">
        <w:rPr>
          <w:rFonts w:cs="Arial"/>
          <w:szCs w:val="22"/>
        </w:rPr>
        <w:t>) (“</w:t>
      </w:r>
      <w:r w:rsidRPr="00D353C1">
        <w:rPr>
          <w:rFonts w:cs="Arial"/>
          <w:i/>
          <w:szCs w:val="22"/>
        </w:rPr>
        <w:t>valutando inoltre l’opportunità</w:t>
      </w:r>
      <w:r w:rsidRPr="00D353C1">
        <w:rPr>
          <w:rFonts w:cs="Arial"/>
          <w:szCs w:val="22"/>
        </w:rPr>
        <w:t xml:space="preserve"> di stabilire modalità applicative del </w:t>
      </w:r>
      <w:r w:rsidRPr="00D353C1">
        <w:rPr>
          <w:rFonts w:cs="Arial"/>
          <w:i/>
          <w:szCs w:val="22"/>
        </w:rPr>
        <w:t>bail-in</w:t>
      </w:r>
      <w:r w:rsidRPr="00D353C1">
        <w:rPr>
          <w:rFonts w:cs="Arial"/>
          <w:szCs w:val="22"/>
        </w:rPr>
        <w:t xml:space="preserve"> coerenti con la forma societaria cooperativa); l’articolo 9, comma 1, lettera </w:t>
      </w:r>
      <w:r w:rsidRPr="00D353C1">
        <w:rPr>
          <w:rFonts w:cs="Arial"/>
          <w:i/>
          <w:szCs w:val="22"/>
        </w:rPr>
        <w:t>s</w:t>
      </w:r>
      <w:r w:rsidRPr="00D353C1">
        <w:rPr>
          <w:rFonts w:cs="Arial"/>
          <w:szCs w:val="22"/>
        </w:rPr>
        <w:t>) (“</w:t>
      </w:r>
      <w:r w:rsidRPr="00D353C1">
        <w:rPr>
          <w:rFonts w:cs="Arial"/>
          <w:i/>
          <w:szCs w:val="22"/>
        </w:rPr>
        <w:t xml:space="preserve">valutare di non prevedere </w:t>
      </w:r>
      <w:r w:rsidRPr="00D353C1">
        <w:rPr>
          <w:rFonts w:cs="Arial"/>
          <w:szCs w:val="22"/>
        </w:rPr>
        <w:t xml:space="preserve">sanzioni amministrative”); l’articolo 11, comma 1, lettera </w:t>
      </w:r>
      <w:r w:rsidRPr="00D353C1">
        <w:rPr>
          <w:rFonts w:cs="Arial"/>
          <w:i/>
          <w:szCs w:val="22"/>
        </w:rPr>
        <w:t>o</w:t>
      </w:r>
      <w:r w:rsidRPr="00D353C1">
        <w:rPr>
          <w:rFonts w:cs="Arial"/>
          <w:szCs w:val="22"/>
        </w:rPr>
        <w:t>) (“</w:t>
      </w:r>
      <w:r w:rsidRPr="00D353C1">
        <w:rPr>
          <w:rFonts w:cs="Arial"/>
          <w:i/>
          <w:szCs w:val="22"/>
        </w:rPr>
        <w:t>valutare</w:t>
      </w:r>
      <w:r w:rsidRPr="00D353C1">
        <w:rPr>
          <w:rFonts w:cs="Arial"/>
          <w:szCs w:val="22"/>
        </w:rPr>
        <w:t xml:space="preserve">, ai sensi del paragrafo 4 dell’articolo 32 del regolamento (UE) n. 596/2014, </w:t>
      </w:r>
      <w:r w:rsidRPr="00D353C1">
        <w:rPr>
          <w:rFonts w:cs="Arial"/>
          <w:i/>
          <w:szCs w:val="22"/>
        </w:rPr>
        <w:t xml:space="preserve"> se sia opportuno </w:t>
      </w:r>
      <w:r w:rsidRPr="00D353C1">
        <w:rPr>
          <w:rFonts w:cs="Arial"/>
          <w:szCs w:val="22"/>
        </w:rPr>
        <w:t xml:space="preserve">prevedere di concedere incentivi finanziari”); l’articolo 15, comma 1, </w:t>
      </w:r>
      <w:r w:rsidRPr="00D353C1">
        <w:rPr>
          <w:rFonts w:cs="Arial"/>
          <w:szCs w:val="22"/>
        </w:rPr>
        <w:lastRenderedPageBreak/>
        <w:t xml:space="preserve">lettera </w:t>
      </w:r>
      <w:r w:rsidRPr="00D353C1">
        <w:rPr>
          <w:rFonts w:cs="Arial"/>
          <w:i/>
          <w:szCs w:val="22"/>
        </w:rPr>
        <w:t>a</w:t>
      </w:r>
      <w:r w:rsidRPr="00D353C1">
        <w:rPr>
          <w:rFonts w:cs="Arial"/>
          <w:szCs w:val="22"/>
        </w:rPr>
        <w:t xml:space="preserve">) e l’articolo 16, comma 1 (“introduzione </w:t>
      </w:r>
      <w:r w:rsidRPr="00D353C1">
        <w:rPr>
          <w:rFonts w:cs="Arial"/>
          <w:i/>
          <w:szCs w:val="22"/>
        </w:rPr>
        <w:t>ove necessario e in linea con i presupposti della direttiva 2013/51/Euratom</w:t>
      </w:r>
      <w:r w:rsidRPr="00D353C1">
        <w:rPr>
          <w:rFonts w:cs="Arial"/>
          <w:szCs w:val="22"/>
        </w:rPr>
        <w:t xml:space="preserve"> di misure di protezione”); al riguardo si segnala che in un </w:t>
      </w:r>
      <w:r w:rsidRPr="00D353C1">
        <w:rPr>
          <w:rFonts w:cs="Arial"/>
          <w:i/>
          <w:szCs w:val="22"/>
        </w:rPr>
        <w:t>obiter dictum</w:t>
      </w:r>
      <w:r w:rsidRPr="00D353C1">
        <w:rPr>
          <w:rFonts w:cs="Arial"/>
          <w:szCs w:val="22"/>
        </w:rPr>
        <w:t xml:space="preserve"> la Corte costituzionale ha rilevato che: “il libero apprezzamento del legislatore delegato non può mai assurgere a principio od a criterio direttivo, in quanto agli antipodi di una legislazione vincolata, quale è, per definizione, la legislazione su delega” (sentenze n. 68 del 1991 e n. 340 del 2007)</w:t>
      </w:r>
      <w:r w:rsidRPr="00B91F58">
        <w:rPr>
          <w:rFonts w:cs="Arial"/>
          <w:szCs w:val="22"/>
        </w:rPr>
        <w:t>»</w:t>
      </w:r>
      <w:r>
        <w:rPr>
          <w:rFonts w:cs="Arial"/>
          <w:szCs w:val="22"/>
        </w:rPr>
        <w:t xml:space="preserve"> </w:t>
      </w:r>
      <w:r w:rsidRPr="00B91F58">
        <w:rPr>
          <w:rFonts w:cs="Arial"/>
          <w:szCs w:val="22"/>
        </w:rPr>
        <w:t>(</w:t>
      </w:r>
      <w:hyperlink w:anchor="S13c01" w:history="1">
        <w:r>
          <w:rPr>
            <w:rStyle w:val="Collegamentoipertestuale"/>
            <w:rFonts w:cs="Arial"/>
            <w:b/>
            <w:szCs w:val="22"/>
          </w:rPr>
          <w:t>conseguente condizione</w:t>
        </w:r>
      </w:hyperlink>
      <w:r w:rsidRPr="00B91F58">
        <w:rPr>
          <w:rFonts w:cs="Arial"/>
          <w:szCs w:val="22"/>
        </w:rPr>
        <w:t>);</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428" w:name="S13a03"/>
      <w:r w:rsidRPr="00B91F58">
        <w:rPr>
          <w:rFonts w:cs="Arial"/>
          <w:szCs w:val="22"/>
        </w:rPr>
        <w:t xml:space="preserve">3 </w:t>
      </w:r>
      <w:bookmarkEnd w:id="428"/>
      <w:r w:rsidRPr="00B91F58">
        <w:rPr>
          <w:rFonts w:cs="Arial"/>
          <w:szCs w:val="22"/>
        </w:rPr>
        <w:t xml:space="preserve">– </w:t>
      </w:r>
      <w:hyperlink w:anchor="premessa1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D353C1">
        <w:rPr>
          <w:rFonts w:cs="Arial"/>
          <w:szCs w:val="22"/>
        </w:rPr>
        <w:t xml:space="preserve">il disegno di legge contiene alcune </w:t>
      </w:r>
      <w:r w:rsidRPr="00D353C1">
        <w:rPr>
          <w:rFonts w:cs="Arial"/>
          <w:b/>
          <w:szCs w:val="22"/>
        </w:rPr>
        <w:t>disposizioni sprovviste di un contenuto innovativo dell’ordinamento</w:t>
      </w:r>
      <w:r w:rsidRPr="00D353C1">
        <w:rPr>
          <w:rFonts w:cs="Arial"/>
          <w:szCs w:val="22"/>
        </w:rPr>
        <w:t xml:space="preserve">, in quanto volte a riprodurre o richiamare la disciplina già vigente ovvero riferite ad aspetti endoprocedimentali connessi all’attuazione della delega; con riferimento al primo aspetto,  gli articoli 4, comma 1, lettera </w:t>
      </w:r>
      <w:r w:rsidRPr="00D353C1">
        <w:rPr>
          <w:rFonts w:cs="Arial"/>
          <w:i/>
          <w:szCs w:val="22"/>
        </w:rPr>
        <w:t>c</w:t>
      </w:r>
      <w:r w:rsidRPr="00D353C1">
        <w:rPr>
          <w:rFonts w:cs="Arial"/>
          <w:szCs w:val="22"/>
        </w:rPr>
        <w:t xml:space="preserve">) e 10, comma 1, lettera </w:t>
      </w:r>
      <w:r w:rsidRPr="00D353C1">
        <w:rPr>
          <w:rFonts w:cs="Arial"/>
          <w:i/>
          <w:szCs w:val="22"/>
        </w:rPr>
        <w:t>e</w:t>
      </w:r>
      <w:r w:rsidRPr="00D353C1">
        <w:rPr>
          <w:rFonts w:cs="Arial"/>
          <w:szCs w:val="22"/>
        </w:rPr>
        <w:t xml:space="preserve">) riproducono quanto già previsto dall’articolo 32, comma 1, lettera </w:t>
      </w:r>
      <w:r w:rsidRPr="00D353C1">
        <w:rPr>
          <w:rFonts w:cs="Arial"/>
          <w:i/>
          <w:szCs w:val="22"/>
        </w:rPr>
        <w:t>b</w:t>
      </w:r>
      <w:r w:rsidRPr="00D353C1">
        <w:rPr>
          <w:rFonts w:cs="Arial"/>
          <w:szCs w:val="22"/>
        </w:rPr>
        <w:t xml:space="preserve">), della legge n. 234 del 2012; l’articolo 6, comma 1, mantiene fermo quanto stabilito dall’articolo 1, commi 5, 6 e 7, del decreto legislativo n. 188 del 2014; i principi direttivi di cui agli articoli 19, comma 1, lettera </w:t>
      </w:r>
      <w:r w:rsidRPr="00D353C1">
        <w:rPr>
          <w:rFonts w:cs="Arial"/>
          <w:i/>
          <w:szCs w:val="22"/>
        </w:rPr>
        <w:t>a</w:t>
      </w:r>
      <w:r w:rsidRPr="00D353C1">
        <w:rPr>
          <w:rFonts w:cs="Arial"/>
          <w:szCs w:val="22"/>
        </w:rPr>
        <w:t xml:space="preserve">) e 21, comma 1, lettera </w:t>
      </w:r>
      <w:r w:rsidRPr="00D353C1">
        <w:rPr>
          <w:rFonts w:cs="Arial"/>
          <w:i/>
          <w:szCs w:val="22"/>
        </w:rPr>
        <w:t>a</w:t>
      </w:r>
      <w:r w:rsidRPr="00D353C1">
        <w:rPr>
          <w:rFonts w:cs="Arial"/>
          <w:szCs w:val="22"/>
        </w:rPr>
        <w:t>) vincolano il legislatore delegato a prevedere che le definizioni siano conformi alle definizioni delle decisioni quadro oggetto di delega; con riferimento al secondo aspetto, l’articolo 6, comma 1, alinea, fa riferimento al coordinamento del Dipartimento per le politiche europee della Presidenza del Consiglio per l’attuazione della delega oggetto dell’articolo</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429" w:name="S13a04"/>
      <w:r w:rsidRPr="00B91F58">
        <w:rPr>
          <w:rFonts w:cs="Arial"/>
          <w:szCs w:val="22"/>
        </w:rPr>
        <w:t xml:space="preserve">4 </w:t>
      </w:r>
      <w:bookmarkEnd w:id="429"/>
      <w:r w:rsidRPr="00B91F58">
        <w:rPr>
          <w:rFonts w:cs="Arial"/>
          <w:szCs w:val="22"/>
        </w:rPr>
        <w:t xml:space="preserve">– </w:t>
      </w:r>
      <w:hyperlink w:anchor="premessa1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D353C1">
        <w:rPr>
          <w:rFonts w:cs="Arial"/>
          <w:szCs w:val="22"/>
        </w:rPr>
        <w:t xml:space="preserve">il disegno di legge contiene alcuni </w:t>
      </w:r>
      <w:r w:rsidRPr="00D353C1">
        <w:rPr>
          <w:rFonts w:cs="Arial"/>
          <w:b/>
          <w:szCs w:val="22"/>
        </w:rPr>
        <w:t>rinvii normativi formulati in forma imprecisa</w:t>
      </w:r>
      <w:r w:rsidRPr="00D353C1">
        <w:rPr>
          <w:rFonts w:cs="Arial"/>
          <w:szCs w:val="22"/>
        </w:rPr>
        <w:t xml:space="preserve"> che sarebbe opportuno specificare (si vedano gli articoli 2, comma 1, alinea; 4, comma 1, alinea; 6, comma 2, alinea; 7, comma 1, alinea; 8, comma 1, alinea; 13, comma 1, alinea, che prevedono l’osservanza dei “</w:t>
      </w:r>
      <w:r w:rsidRPr="00D353C1">
        <w:rPr>
          <w:rFonts w:cs="Arial"/>
          <w:i/>
          <w:szCs w:val="22"/>
        </w:rPr>
        <w:t>principi e criteri direttivi di cui all’articolo 1, comma 1, in quanto compatibili</w:t>
      </w:r>
      <w:r w:rsidRPr="00D353C1">
        <w:rPr>
          <w:rFonts w:cs="Arial"/>
          <w:szCs w:val="22"/>
        </w:rPr>
        <w:t>”); analogamente, l’articolo 6, comma 1, alinea richiama le procedure previste dall’articolo 31, della legge n. 234 del 2012, “</w:t>
      </w:r>
      <w:r w:rsidRPr="00D353C1">
        <w:rPr>
          <w:rFonts w:cs="Arial"/>
          <w:i/>
          <w:szCs w:val="22"/>
        </w:rPr>
        <w:t>in quanto compatibili</w:t>
      </w:r>
      <w:r w:rsidRPr="00D353C1">
        <w:rPr>
          <w:rFonts w:cs="Arial"/>
          <w:szCs w:val="22"/>
        </w:rPr>
        <w:t>”</w:t>
      </w:r>
      <w:r>
        <w:rPr>
          <w:rFonts w:cs="Arial"/>
          <w:szCs w:val="22"/>
        </w:rPr>
        <w:t xml:space="preserve"> </w:t>
      </w:r>
      <w:r w:rsidRPr="00B91F58">
        <w:rPr>
          <w:rFonts w:cs="Arial"/>
          <w:szCs w:val="22"/>
        </w:rPr>
        <w:t>»</w:t>
      </w:r>
      <w:r>
        <w:rPr>
          <w:rFonts w:cs="Arial"/>
          <w:szCs w:val="22"/>
        </w:rPr>
        <w:t xml:space="preserve"> </w:t>
      </w:r>
      <w:r w:rsidRPr="00B91F58">
        <w:rPr>
          <w:rFonts w:cs="Arial"/>
          <w:szCs w:val="22"/>
        </w:rPr>
        <w:t>(</w:t>
      </w:r>
      <w:hyperlink w:anchor="S13o01" w:history="1">
        <w:r>
          <w:rPr>
            <w:rStyle w:val="Collegamentoipertestuale"/>
            <w:rFonts w:cs="Arial"/>
            <w:b/>
            <w:szCs w:val="22"/>
          </w:rPr>
          <w:t>conseguente osservazione</w:t>
        </w:r>
      </w:hyperlink>
      <w:r w:rsidRPr="00B91F58">
        <w:rPr>
          <w:rFonts w:cs="Arial"/>
          <w:szCs w:val="22"/>
        </w:rPr>
        <w:t>)</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430" w:name="S13a05"/>
      <w:r w:rsidRPr="00B91F58">
        <w:rPr>
          <w:rFonts w:cs="Arial"/>
          <w:szCs w:val="22"/>
        </w:rPr>
        <w:t xml:space="preserve">5 </w:t>
      </w:r>
      <w:bookmarkEnd w:id="430"/>
      <w:r w:rsidRPr="00B91F58">
        <w:rPr>
          <w:rFonts w:cs="Arial"/>
          <w:szCs w:val="22"/>
        </w:rPr>
        <w:t xml:space="preserve">– </w:t>
      </w:r>
      <w:hyperlink w:anchor="premessa1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D353C1">
        <w:rPr>
          <w:rFonts w:cs="Arial"/>
          <w:szCs w:val="22"/>
        </w:rPr>
        <w:t xml:space="preserve">in ciascuno degli articoli 2, 4, 5, 6, 7, 8, 9, 10, 11, 12, 19, 20 e 21, il disegno di legge reca una disposizione di tenore analogo contenente una </w:t>
      </w:r>
      <w:r w:rsidRPr="00D353C1">
        <w:rPr>
          <w:rFonts w:cs="Arial"/>
          <w:b/>
          <w:szCs w:val="22"/>
        </w:rPr>
        <w:t>clausola di invarianza finanziaria</w:t>
      </w:r>
      <w:r w:rsidRPr="00D353C1">
        <w:rPr>
          <w:rFonts w:cs="Arial"/>
          <w:szCs w:val="22"/>
        </w:rPr>
        <w:t xml:space="preserve">, che per il futuro sembrerebbe opportuno concentrare in un’unica disposizione, coordinata con la previsione generale in ordine alla copertura finanziaria del provvedimento, di cui all’articolo 1, comma 4; in particolare, poi, all’articolo 9, è presente sia una clausola di invarianza al </w:t>
      </w:r>
      <w:r w:rsidRPr="00D353C1">
        <w:rPr>
          <w:rFonts w:cs="Arial"/>
          <w:szCs w:val="22"/>
        </w:rPr>
        <w:lastRenderedPageBreak/>
        <w:t xml:space="preserve">comma 2 riferita all’articolo nel suo complesso sia una clausola di invarianza specificamente riferita alla lettera </w:t>
      </w:r>
      <w:r w:rsidRPr="00D353C1">
        <w:rPr>
          <w:rFonts w:cs="Arial"/>
          <w:i/>
          <w:szCs w:val="22"/>
        </w:rPr>
        <w:t>o</w:t>
      </w:r>
      <w:r w:rsidRPr="00D353C1">
        <w:rPr>
          <w:rFonts w:cs="Arial"/>
          <w:szCs w:val="22"/>
        </w:rPr>
        <w:t>)</w:t>
      </w:r>
      <w:r w:rsidRPr="00D353C1">
        <w:rPr>
          <w:rFonts w:cs="Arial"/>
          <w:i/>
          <w:szCs w:val="22"/>
        </w:rPr>
        <w:t xml:space="preserve"> </w:t>
      </w:r>
      <w:r w:rsidRPr="00D353C1">
        <w:rPr>
          <w:rFonts w:cs="Arial"/>
          <w:szCs w:val="22"/>
        </w:rPr>
        <w:t>del comma 1 che appare ultronea</w:t>
      </w:r>
      <w:r w:rsidRPr="00B91F58">
        <w:rPr>
          <w:rFonts w:cs="Arial"/>
          <w:szCs w:val="22"/>
        </w:rPr>
        <w:t>»</w:t>
      </w:r>
      <w:r>
        <w:rPr>
          <w:rFonts w:cs="Arial"/>
          <w:szCs w:val="22"/>
        </w:rPr>
        <w:t xml:space="preserve"> </w:t>
      </w:r>
      <w:r w:rsidRPr="00B91F58">
        <w:rPr>
          <w:rFonts w:cs="Arial"/>
          <w:szCs w:val="22"/>
        </w:rPr>
        <w:t>(</w:t>
      </w:r>
      <w:hyperlink w:anchor="S13c02" w:history="1">
        <w:r>
          <w:rPr>
            <w:rStyle w:val="Collegamentoipertestuale"/>
            <w:rFonts w:cs="Arial"/>
            <w:b/>
            <w:szCs w:val="22"/>
          </w:rPr>
          <w:t>conseguente condizione</w:t>
        </w:r>
      </w:hyperlink>
      <w:r w:rsidRPr="00B91F58">
        <w:rPr>
          <w:rFonts w:cs="Arial"/>
          <w:szCs w:val="22"/>
        </w:rPr>
        <w:t>)</w:t>
      </w:r>
      <w:r w:rsidRPr="0018399D">
        <w:rPr>
          <w:rFonts w:cs="Arial"/>
          <w:szCs w:val="22"/>
        </w:rPr>
        <w:t>;</w:t>
      </w:r>
      <w:r>
        <w:rPr>
          <w:rFonts w:cs="Arial"/>
          <w:szCs w:val="22"/>
        </w:rPr>
        <w:t xml:space="preserve"> </w:t>
      </w:r>
    </w:p>
    <w:p w:rsidR="000B33A8" w:rsidRDefault="000B33A8" w:rsidP="000B33A8">
      <w:pPr>
        <w:rPr>
          <w:rFonts w:cs="Arial"/>
          <w:i/>
          <w:iCs/>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431" w:name="S13a06"/>
      <w:r w:rsidRPr="00B91F58">
        <w:rPr>
          <w:rFonts w:cs="Arial"/>
          <w:szCs w:val="22"/>
        </w:rPr>
        <w:t xml:space="preserve">6 </w:t>
      </w:r>
      <w:bookmarkEnd w:id="431"/>
      <w:r w:rsidRPr="00B91F58">
        <w:rPr>
          <w:rFonts w:cs="Arial"/>
          <w:szCs w:val="22"/>
        </w:rPr>
        <w:t xml:space="preserve">– </w:t>
      </w:r>
      <w:hyperlink w:anchor="premessa1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D353C1">
        <w:rPr>
          <w:rFonts w:cs="Arial"/>
          <w:szCs w:val="22"/>
        </w:rPr>
        <w:t>il disegno di legge presentato al Senato reca la sola analisi tecnico-normativa</w:t>
      </w:r>
      <w:r w:rsidRPr="00B91F58">
        <w:rPr>
          <w:rFonts w:cs="Arial"/>
          <w:szCs w:val="22"/>
        </w:rPr>
        <w:t>»</w:t>
      </w:r>
      <w:r>
        <w:rPr>
          <w:rFonts w:cs="Arial"/>
          <w:szCs w:val="22"/>
        </w:rPr>
        <w:t>.</w:t>
      </w:r>
    </w:p>
    <w:p w:rsidR="000B33A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szCs w:val="22"/>
        </w:rPr>
      </w:pPr>
      <w:bookmarkStart w:id="432" w:name="S13C"/>
      <w:r w:rsidRPr="00B91F58">
        <w:rPr>
          <w:rFonts w:cs="Arial"/>
          <w:b/>
          <w:szCs w:val="22"/>
        </w:rPr>
        <w:t>Condizioni</w:t>
      </w:r>
      <w:r w:rsidRPr="00B91F58">
        <w:rPr>
          <w:rFonts w:cs="Arial"/>
          <w:szCs w:val="22"/>
        </w:rPr>
        <w:t>:</w:t>
      </w:r>
      <w:bookmarkEnd w:id="432"/>
      <w:r w:rsidRPr="00B91F58">
        <w:rPr>
          <w:rFonts w:cs="Arial"/>
          <w:szCs w:val="22"/>
        </w:rPr>
        <w:t xml:space="preserve"> </w:t>
      </w:r>
      <w:r>
        <w:rPr>
          <w:rFonts w:cs="Arial"/>
          <w:szCs w:val="22"/>
        </w:rPr>
        <w:br/>
      </w:r>
      <w:r w:rsidRPr="00C733BB">
        <w:rPr>
          <w:rFonts w:cs="Arial"/>
          <w:i/>
          <w:szCs w:val="22"/>
        </w:rPr>
        <w:t xml:space="preserve">sotto il profilo </w:t>
      </w:r>
      <w:r>
        <w:rPr>
          <w:rFonts w:cs="Arial"/>
          <w:i/>
          <w:szCs w:val="22"/>
        </w:rPr>
        <w:t>dell’efficacia del testo per la semplificazione e il riordinamento della legislazione vigente</w:t>
      </w:r>
      <w:r w:rsidRPr="00D249C1">
        <w:rPr>
          <w:rFonts w:cs="Arial"/>
          <w:i/>
          <w:szCs w:val="22"/>
        </w:rPr>
        <w:t>:</w:t>
      </w:r>
    </w:p>
    <w:p w:rsidR="000B33A8" w:rsidRPr="00612F54" w:rsidRDefault="000B33A8" w:rsidP="00B26E1F">
      <w:pPr>
        <w:pStyle w:val="Paragrafoelenco"/>
        <w:numPr>
          <w:ilvl w:val="0"/>
          <w:numId w:val="42"/>
        </w:numPr>
        <w:ind w:left="567" w:hanging="283"/>
        <w:rPr>
          <w:rStyle w:val="Collegamentoipertestuale"/>
          <w:rFonts w:cs="Arial"/>
          <w:szCs w:val="22"/>
        </w:rPr>
      </w:pPr>
      <w:bookmarkStart w:id="433" w:name="S13c01"/>
      <w:r w:rsidRPr="000E73F2">
        <w:rPr>
          <w:rFonts w:cs="Arial"/>
          <w:szCs w:val="22"/>
        </w:rPr>
        <w:t xml:space="preserve">si specifichino </w:t>
      </w:r>
      <w:bookmarkEnd w:id="433"/>
      <w:r w:rsidRPr="000E73F2">
        <w:rPr>
          <w:rFonts w:cs="Arial"/>
          <w:szCs w:val="22"/>
        </w:rPr>
        <w:t>i principi e criteri direttivi che fanno riferimento al libero apprezzamento del legislatore delegato</w:t>
      </w:r>
      <w:r>
        <w:rPr>
          <w:rFonts w:cs="Arial"/>
          <w:szCs w:val="22"/>
        </w:rPr>
        <w:t xml:space="preserve">; </w:t>
      </w:r>
      <w:hyperlink w:anchor="premessa13" w:history="1">
        <w:r w:rsidRPr="00D249C1">
          <w:rPr>
            <w:rStyle w:val="Collegamentoipertestuale"/>
            <w:rFonts w:cs="Arial"/>
            <w:szCs w:val="22"/>
          </w:rPr>
          <w:t>[torna su]</w:t>
        </w:r>
      </w:hyperlink>
      <w:r>
        <w:rPr>
          <w:rStyle w:val="Collegamentoipertestuale"/>
          <w:rFonts w:cs="Arial"/>
          <w:szCs w:val="22"/>
        </w:rPr>
        <w:t xml:space="preserve"> </w:t>
      </w:r>
    </w:p>
    <w:p w:rsidR="000B33A8" w:rsidRPr="00612F54" w:rsidRDefault="000B33A8" w:rsidP="000B33A8">
      <w:pPr>
        <w:pStyle w:val="Paragrafoelenco"/>
        <w:ind w:left="0" w:firstLine="0"/>
        <w:rPr>
          <w:rFonts w:cs="Arial"/>
          <w:i/>
          <w:szCs w:val="22"/>
        </w:rPr>
      </w:pPr>
      <w:r>
        <w:rPr>
          <w:rStyle w:val="Collegamentoipertestuale"/>
          <w:rFonts w:cs="Arial"/>
          <w:szCs w:val="22"/>
        </w:rPr>
        <w:br/>
      </w:r>
      <w:r w:rsidRPr="00612F54">
        <w:rPr>
          <w:rFonts w:cs="Arial"/>
          <w:i/>
          <w:szCs w:val="22"/>
        </w:rPr>
        <w:t>sotto il profilo della chiarezza e della proprietà della formulazione:</w:t>
      </w:r>
    </w:p>
    <w:p w:rsidR="000B33A8" w:rsidRPr="00BE13F2" w:rsidRDefault="000B33A8" w:rsidP="00B26E1F">
      <w:pPr>
        <w:pStyle w:val="Paragrafoelenco"/>
        <w:numPr>
          <w:ilvl w:val="0"/>
          <w:numId w:val="42"/>
        </w:numPr>
        <w:ind w:left="709" w:hanging="425"/>
        <w:rPr>
          <w:rFonts w:cs="Arial"/>
          <w:szCs w:val="22"/>
        </w:rPr>
      </w:pPr>
      <w:bookmarkStart w:id="434" w:name="S13c02"/>
      <w:r w:rsidRPr="000E73F2">
        <w:rPr>
          <w:rFonts w:cs="Arial"/>
          <w:szCs w:val="22"/>
        </w:rPr>
        <w:t xml:space="preserve">si assicuri </w:t>
      </w:r>
      <w:bookmarkEnd w:id="434"/>
      <w:r w:rsidRPr="000E73F2">
        <w:rPr>
          <w:rFonts w:cs="Arial"/>
          <w:szCs w:val="22"/>
        </w:rPr>
        <w:t>il coordinamento fra le varie clausole di invarianza finanziaria, evitando duplicazioni</w:t>
      </w:r>
      <w:r w:rsidRPr="00CA7CAF">
        <w:rPr>
          <w:rFonts w:cs="Arial"/>
          <w:szCs w:val="22"/>
        </w:rPr>
        <w:t>;</w:t>
      </w:r>
      <w:r>
        <w:rPr>
          <w:rFonts w:cs="Arial"/>
          <w:szCs w:val="22"/>
        </w:rPr>
        <w:t xml:space="preserve"> </w:t>
      </w:r>
      <w:hyperlink w:anchor="premessa13"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435" w:name="S13O"/>
      <w:r>
        <w:rPr>
          <w:rFonts w:cs="Arial"/>
          <w:b/>
          <w:szCs w:val="22"/>
        </w:rPr>
        <w:t>Osservazioni</w:t>
      </w:r>
      <w:r w:rsidRPr="00B91F58">
        <w:rPr>
          <w:rFonts w:cs="Arial"/>
          <w:szCs w:val="22"/>
        </w:rPr>
        <w:t xml:space="preserve">: </w:t>
      </w:r>
      <w:bookmarkEnd w:id="435"/>
      <w:r>
        <w:rPr>
          <w:rFonts w:cs="Arial"/>
          <w:szCs w:val="22"/>
        </w:rPr>
        <w:br/>
      </w:r>
      <w:r w:rsidRPr="000E73F2">
        <w:rPr>
          <w:rFonts w:cs="Arial"/>
          <w:i/>
          <w:szCs w:val="22"/>
        </w:rPr>
        <w:t>sotto il profilo della chiarezza e della proprietà della formulazione</w:t>
      </w:r>
      <w:r w:rsidRPr="00D249C1">
        <w:rPr>
          <w:rFonts w:cs="Arial"/>
          <w:i/>
          <w:szCs w:val="22"/>
        </w:rPr>
        <w:t>:</w:t>
      </w:r>
    </w:p>
    <w:p w:rsidR="000B33A8" w:rsidRDefault="000B33A8" w:rsidP="00B26E1F">
      <w:pPr>
        <w:pStyle w:val="Paragrafoelenco"/>
        <w:numPr>
          <w:ilvl w:val="0"/>
          <w:numId w:val="43"/>
        </w:numPr>
        <w:ind w:left="567" w:hanging="283"/>
        <w:rPr>
          <w:rFonts w:cs="Arial"/>
          <w:szCs w:val="22"/>
        </w:rPr>
      </w:pPr>
      <w:bookmarkStart w:id="436" w:name="S13o01"/>
      <w:r w:rsidRPr="000E73F2">
        <w:rPr>
          <w:rFonts w:cs="Arial"/>
          <w:szCs w:val="22"/>
        </w:rPr>
        <w:t xml:space="preserve">in relazione </w:t>
      </w:r>
      <w:bookmarkEnd w:id="436"/>
      <w:r w:rsidRPr="000E73F2">
        <w:rPr>
          <w:rFonts w:cs="Arial"/>
          <w:szCs w:val="22"/>
        </w:rPr>
        <w:t>alle disposizioni indicate in premessa, che contengono rinvii normativi imprecisi, si dovrebbe specificare la normativa oggetto del rinvio</w:t>
      </w:r>
      <w:r w:rsidRPr="00185920">
        <w:rPr>
          <w:rFonts w:cs="Arial"/>
          <w:szCs w:val="22"/>
        </w:rPr>
        <w:t>;</w:t>
      </w:r>
      <w:r>
        <w:rPr>
          <w:rFonts w:cs="Arial"/>
          <w:szCs w:val="22"/>
        </w:rPr>
        <w:t xml:space="preserve"> </w:t>
      </w:r>
      <w:hyperlink w:anchor="premessa13"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ind w:left="567" w:hanging="283"/>
        <w:rPr>
          <w:rFonts w:cs="Arial"/>
          <w:i/>
          <w:szCs w:val="22"/>
        </w:rPr>
      </w:pPr>
    </w:p>
    <w:p w:rsidR="000B33A8" w:rsidRPr="00B91F58" w:rsidRDefault="000B33A8" w:rsidP="000B33A8">
      <w:pPr>
        <w:ind w:left="567" w:hanging="283"/>
        <w:rPr>
          <w:rFonts w:cs="Arial"/>
          <w:szCs w:val="22"/>
        </w:rPr>
      </w:pPr>
    </w:p>
    <w:p w:rsidR="000B33A8" w:rsidRDefault="000B33A8" w:rsidP="000B33A8">
      <w:pPr>
        <w:ind w:left="567" w:hanging="283"/>
        <w:rPr>
          <w:rFonts w:cs="Arial"/>
          <w:szCs w:val="22"/>
        </w:rPr>
      </w:pPr>
    </w:p>
    <w:p w:rsidR="000B33A8" w:rsidRDefault="000B33A8" w:rsidP="000B33A8">
      <w:pPr>
        <w:ind w:left="567" w:hanging="283"/>
        <w:rPr>
          <w:rFonts w:cs="Arial"/>
          <w:szCs w:val="22"/>
        </w:rPr>
        <w:sectPr w:rsidR="000B33A8" w:rsidSect="000B33A8">
          <w:headerReference w:type="default" r:id="rId342"/>
          <w:footerReference w:type="even" r:id="rId343"/>
          <w:footerReference w:type="default" r:id="rId344"/>
          <w:pgSz w:w="11906" w:h="16838" w:code="9"/>
          <w:pgMar w:top="1985" w:right="1985" w:bottom="1985" w:left="1985" w:header="1134" w:footer="1134" w:gutter="0"/>
          <w:cols w:space="720"/>
          <w:formProt w:val="0"/>
        </w:sectPr>
      </w:pPr>
    </w:p>
    <w:p w:rsidR="000B33A8" w:rsidRPr="00B91F58" w:rsidRDefault="000B33A8" w:rsidP="000B33A8">
      <w:pPr>
        <w:ind w:left="567" w:hanging="283"/>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0014</w:t>
            </w:r>
          </w:p>
        </w:tc>
        <w:tc>
          <w:tcPr>
            <w:tcW w:w="750" w:type="pct"/>
            <w:shd w:val="clear" w:color="auto" w:fill="auto"/>
          </w:tcPr>
          <w:p w:rsidR="000B33A8" w:rsidRPr="00B26E1F" w:rsidRDefault="000B33A8" w:rsidP="000B33A8">
            <w:pPr>
              <w:pStyle w:val="Collegamento"/>
              <w:rPr>
                <w:rFonts w:cs="Arial"/>
              </w:rPr>
            </w:pPr>
            <w:r w:rsidRPr="00B26E1F">
              <w:rPr>
                <w:rFonts w:cs="Arial"/>
              </w:rPr>
              <w:t>2798</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45" w:history="1">
              <w:r w:rsidR="000B33A8" w:rsidRPr="00B26E1F">
                <w:rPr>
                  <w:rStyle w:val="Collegamentoipertestuale"/>
                  <w:rFonts w:cs="Arial"/>
                </w:rPr>
                <w:t>ddl Governo</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Modifiche ai codici penale e di procedura penale</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46" w:anchor="data.20150702.com48.bollettino.sede00010.tit00010" w:history="1">
              <w:r w:rsidR="000B33A8" w:rsidRPr="00956D68">
                <w:rPr>
                  <w:rStyle w:val="Collegamentoipertestuale"/>
                </w:rPr>
                <w:t>02/07/2015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6-</w:t>
            </w:r>
            <w:r w:rsidRPr="00B26E1F">
              <w:rPr>
                <w:rFonts w:cs="Arial"/>
                <w:b/>
                <w:bCs/>
                <w:i/>
                <w:sz w:val="24"/>
              </w:rPr>
              <w:t>BIS</w:t>
            </w:r>
            <w:r w:rsidRPr="00B26E1F">
              <w:rPr>
                <w:rFonts w:cs="Arial"/>
                <w:b/>
                <w:bCs/>
                <w:sz w:val="24"/>
              </w:rPr>
              <w:t>,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437" w:name="premessa14"/>
            <w:r w:rsidRPr="00B26E1F">
              <w:rPr>
                <w:rFonts w:cs="Arial"/>
                <w:b/>
                <w:color w:val="0000FF"/>
                <w:sz w:val="24"/>
                <w:szCs w:val="24"/>
              </w:rPr>
              <w:t>Premessa</w:t>
            </w:r>
            <w:bookmarkEnd w:id="437"/>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5 Condizioni, 3 Osservazioni</w:t>
            </w:r>
          </w:p>
        </w:tc>
      </w:tr>
      <w:tr w:rsidR="000B33A8" w:rsidRPr="008B2DCE" w:rsidTr="00B26E1F">
        <w:trPr>
          <w:trHeight w:val="69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4a01" w:history="1">
              <w:r w:rsidR="000B33A8" w:rsidRPr="00D40FBA">
                <w:rPr>
                  <w:rStyle w:val="Collegamentoipertestuale"/>
                </w:rPr>
                <w:t>1</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697"/>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4a02" w:history="1">
              <w:r w:rsidR="000B33A8" w:rsidRPr="00812559">
                <w:rPr>
                  <w:rStyle w:val="Collegamentoipertestuale"/>
                </w:rPr>
                <w:t>2</w:t>
              </w:r>
            </w:hyperlink>
            <w:r w:rsidR="000B33A8" w:rsidRPr="00B26E1F">
              <w:rPr>
                <w:rFonts w:cs="Arial"/>
              </w:rPr>
              <w:t xml:space="preserve"> – </w:t>
            </w:r>
            <w:r w:rsidR="000B33A8" w:rsidRPr="00406AD5">
              <w:t>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after="120"/>
              <w:ind w:firstLine="0"/>
              <w:rPr>
                <w:rFonts w:cs="Arial"/>
              </w:rPr>
            </w:pPr>
            <w:r w:rsidRPr="00B26E1F">
              <w:rPr>
                <w:rFonts w:cs="Arial"/>
              </w:rPr>
              <w:t>Sovrapposizione di una disposizione con una di medesimo tenore già vigente.</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4a03" w:history="1">
              <w:r w:rsidR="000B33A8" w:rsidRPr="00812559">
                <w:rPr>
                  <w:rStyle w:val="Collegamentoipertestuale"/>
                </w:rPr>
                <w:t>3</w:t>
              </w:r>
            </w:hyperlink>
            <w:r w:rsidR="000B33A8" w:rsidRPr="00B26E1F">
              <w:rPr>
                <w:rFonts w:cs="Arial"/>
              </w:rPr>
              <w:t xml:space="preserve"> – </w:t>
            </w:r>
            <w:r w:rsidR="000B33A8" w:rsidRPr="00406AD5">
              <w:t>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Modifica di norma recentemente già oggetto di modifica.</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94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2204D6" w:rsidRDefault="00EB0878" w:rsidP="00B26E1F">
            <w:pPr>
              <w:spacing w:before="100" w:beforeAutospacing="1" w:after="100" w:afterAutospacing="1"/>
              <w:ind w:firstLine="0"/>
            </w:pPr>
            <w:hyperlink w:anchor="S14a04" w:history="1">
              <w:r w:rsidR="000B33A8" w:rsidRPr="00C563FD">
                <w:rPr>
                  <w:rStyle w:val="Collegamentoipertestuale"/>
                </w:rPr>
                <w:t>4</w:t>
              </w:r>
            </w:hyperlink>
            <w:r w:rsidR="000B33A8">
              <w:t xml:space="preserve"> – Collegamento con lavori legislativi in corso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Un disegno complessivo di riforma dell’istituto della prescrizione è oggetto di un apposito provvedimento già approvato dalla Camera e ora in corso di esame al Senato, che modifica una disposizione novellata dal testo in esame </w:t>
            </w:r>
          </w:p>
        </w:tc>
      </w:tr>
      <w:tr w:rsidR="000B33A8" w:rsidRPr="008B2DCE" w:rsidTr="00B26E1F">
        <w:trPr>
          <w:trHeight w:val="108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14a05" w:history="1">
              <w:r w:rsidR="000B33A8" w:rsidRPr="00812559">
                <w:rPr>
                  <w:rStyle w:val="Collegamentoipertestuale"/>
                </w:rPr>
                <w:t>5</w:t>
              </w:r>
            </w:hyperlink>
            <w:r w:rsidR="000B33A8" w:rsidRPr="00B26E1F">
              <w:rPr>
                <w:rFonts w:cs="Arial"/>
              </w:rPr>
              <w:t xml:space="preserve"> – </w:t>
            </w:r>
            <w:r w:rsidR="000B33A8" w:rsidRPr="00406AD5">
              <w:t>Coordinamento con le fonti normative vigenti</w:t>
            </w:r>
            <w:r w:rsidR="000B33A8">
              <w:t>: modifiche non testuali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Richiamo alla circolare sulla formulazione tecnica dei testi legislativi.</w:t>
            </w:r>
          </w:p>
          <w:p w:rsidR="000B33A8" w:rsidRPr="00B26E1F" w:rsidRDefault="000B33A8" w:rsidP="00B26E1F">
            <w:pPr>
              <w:spacing w:before="100" w:beforeAutospacing="1" w:after="100" w:afterAutospacing="1"/>
              <w:ind w:firstLine="0"/>
              <w:rPr>
                <w:rFonts w:cs="Arial"/>
              </w:rPr>
            </w:pPr>
            <w:r w:rsidRPr="00B26E1F">
              <w:rPr>
                <w:rFonts w:cs="Arial"/>
              </w:rPr>
              <w:t>Osservazione 3</w:t>
            </w:r>
          </w:p>
        </w:tc>
      </w:tr>
    </w:tbl>
    <w:p w:rsidR="00FC05F5" w:rsidRDefault="00FC05F5"/>
    <w:tbl>
      <w:tblPr>
        <w:tblW w:w="5000" w:type="pct"/>
        <w:jc w:val="center"/>
        <w:tblLook w:val="01E0" w:firstRow="1" w:lastRow="1" w:firstColumn="1" w:lastColumn="1" w:noHBand="0" w:noVBand="0"/>
      </w:tblPr>
      <w:tblGrid>
        <w:gridCol w:w="4076"/>
        <w:gridCol w:w="4076"/>
      </w:tblGrid>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4a06" w:history="1">
              <w:r w:rsidR="000B33A8" w:rsidRPr="00B26E1F">
                <w:rPr>
                  <w:rStyle w:val="Collegamentoipertestuale"/>
                  <w:rFonts w:cs="Arial"/>
                </w:rPr>
                <w:t>6</w:t>
              </w:r>
            </w:hyperlink>
            <w:r w:rsidR="000B33A8" w:rsidRPr="00B26E1F">
              <w:rPr>
                <w:rFonts w:cs="Arial"/>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Intreccio tra principi e criteri direttivi ed oggetto della delega.</w:t>
            </w:r>
          </w:p>
          <w:p w:rsidR="000B33A8" w:rsidRPr="00B26E1F" w:rsidRDefault="000B33A8" w:rsidP="00B26E1F">
            <w:pPr>
              <w:spacing w:before="100" w:beforeAutospacing="1" w:after="100" w:afterAutospacing="1"/>
              <w:ind w:firstLine="0"/>
              <w:rPr>
                <w:rFonts w:cs="Arial"/>
              </w:rPr>
            </w:pPr>
            <w:r w:rsidRPr="00B26E1F">
              <w:rPr>
                <w:rFonts w:cs="Arial"/>
              </w:rPr>
              <w:lastRenderedPageBreak/>
              <w:t>Condizione 2</w:t>
            </w:r>
          </w:p>
        </w:tc>
      </w:tr>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4a07" w:history="1">
              <w:r w:rsidR="000B33A8" w:rsidRPr="00106343">
                <w:rPr>
                  <w:rStyle w:val="Collegamentoipertestuale"/>
                </w:rPr>
                <w:t>7</w:t>
              </w:r>
            </w:hyperlink>
            <w:r w:rsidR="000B33A8">
              <w:t xml:space="preserve"> - </w:t>
            </w:r>
            <w:r w:rsidR="000B33A8" w:rsidRPr="00B26E1F">
              <w:rPr>
                <w:rFonts w:cs="Arial"/>
              </w:rPr>
              <w:t xml:space="preserve">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Incertezza interpretativa sul carattere ricognitivo o innovativo della delega, in base all’unico principio e criterio espresso.</w:t>
            </w:r>
          </w:p>
          <w:p w:rsidR="000B33A8" w:rsidRPr="00B26E1F" w:rsidRDefault="000B33A8" w:rsidP="00B26E1F">
            <w:pPr>
              <w:spacing w:before="100" w:beforeAutospacing="1" w:after="100" w:afterAutospacing="1"/>
              <w:ind w:firstLine="0"/>
              <w:rPr>
                <w:rFonts w:cs="Arial"/>
              </w:rPr>
            </w:pPr>
            <w:r w:rsidRPr="00B26E1F">
              <w:rPr>
                <w:rFonts w:cs="Arial"/>
              </w:rPr>
              <w:t>Condizione 4</w:t>
            </w:r>
          </w:p>
        </w:tc>
      </w:tr>
      <w:tr w:rsidR="000B33A8" w:rsidRPr="008B2DCE" w:rsidTr="00B26E1F">
        <w:trPr>
          <w:trHeight w:val="84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FC05F5">
            <w:pPr>
              <w:spacing w:before="100" w:beforeAutospacing="1" w:after="100" w:afterAutospacing="1"/>
              <w:ind w:firstLine="0"/>
            </w:pPr>
            <w:hyperlink w:anchor="S14a08" w:history="1">
              <w:r w:rsidR="000B33A8" w:rsidRPr="00106343">
                <w:rPr>
                  <w:rStyle w:val="Collegamentoipertestuale"/>
                </w:rPr>
                <w:t>8</w:t>
              </w:r>
            </w:hyperlink>
            <w:r w:rsidR="000B33A8">
              <w:t xml:space="preserve"> – Procedure di delega: termini di esercizio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2</w:t>
            </w:r>
          </w:p>
        </w:tc>
      </w:tr>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4a09" w:history="1">
              <w:r w:rsidR="000B33A8" w:rsidRPr="00106343">
                <w:rPr>
                  <w:rStyle w:val="Collegamentoipertestuale"/>
                </w:rPr>
                <w:t>9</w:t>
              </w:r>
            </w:hyperlink>
            <w:r w:rsidR="000B33A8">
              <w:t xml:space="preserve"> – Procedure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Scorrimento del termine per l’esercizio della delega. Richiamo del parere del Comitato in data 11/06/2015 sull’AC 3098.</w:t>
            </w:r>
          </w:p>
          <w:p w:rsidR="000B33A8" w:rsidRPr="00B26E1F" w:rsidRDefault="000B33A8" w:rsidP="00B26E1F">
            <w:pPr>
              <w:spacing w:before="100" w:beforeAutospacing="1" w:after="100" w:afterAutospacing="1"/>
              <w:ind w:firstLine="0"/>
              <w:rPr>
                <w:rFonts w:cs="Arial"/>
              </w:rPr>
            </w:pPr>
            <w:r w:rsidRPr="00B26E1F">
              <w:rPr>
                <w:rFonts w:cs="Arial"/>
              </w:rPr>
              <w:t>Condizione 3</w:t>
            </w:r>
          </w:p>
        </w:tc>
      </w:tr>
      <w:tr w:rsidR="000B33A8" w:rsidRPr="008B2DCE" w:rsidTr="00B26E1F">
        <w:trPr>
          <w:trHeight w:val="106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4a10" w:history="1">
              <w:r w:rsidR="000B33A8" w:rsidRPr="00106343">
                <w:rPr>
                  <w:rStyle w:val="Collegamentoipertestuale"/>
                </w:rPr>
                <w:t>10</w:t>
              </w:r>
            </w:hyperlink>
            <w:r w:rsidR="000B33A8">
              <w:t xml:space="preserve"> – Procedure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Termini di esercizio per l’adozione di decreti legislativi integrativi e correttivi. </w:t>
            </w:r>
          </w:p>
          <w:p w:rsidR="000B33A8" w:rsidRPr="00B26E1F" w:rsidRDefault="000B33A8" w:rsidP="00B26E1F">
            <w:pPr>
              <w:spacing w:before="100" w:beforeAutospacing="1" w:after="100" w:afterAutospacing="1"/>
              <w:ind w:firstLine="0"/>
              <w:rPr>
                <w:rFonts w:cs="Arial"/>
              </w:rPr>
            </w:pPr>
            <w:r w:rsidRPr="00B26E1F">
              <w:rPr>
                <w:rFonts w:cs="Arial"/>
              </w:rPr>
              <w:t>Condizione 5</w:t>
            </w:r>
          </w:p>
        </w:tc>
      </w:tr>
      <w:tr w:rsidR="000B33A8" w:rsidRPr="008B2DCE" w:rsidTr="00B26E1F">
        <w:trPr>
          <w:trHeight w:val="6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4a11" w:history="1">
              <w:r w:rsidR="000B33A8" w:rsidRPr="00B26E1F">
                <w:rPr>
                  <w:rStyle w:val="Collegamentoipertestuale"/>
                  <w:rFonts w:cs="Arial"/>
                </w:rPr>
                <w:t>11</w:t>
              </w:r>
            </w:hyperlink>
            <w:r w:rsidR="000B33A8" w:rsidRPr="00B26E1F">
              <w:rPr>
                <w:rStyle w:val="Collegamentoipertestuale"/>
                <w:rFonts w:cs="Arial"/>
              </w:rPr>
              <w:t xml:space="preserve"> </w:t>
            </w:r>
            <w:r w:rsidR="000B33A8">
              <w:t>–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Presenti.</w:t>
            </w:r>
          </w:p>
        </w:tc>
      </w:tr>
    </w:tbl>
    <w:p w:rsidR="000B33A8" w:rsidRDefault="000B33A8" w:rsidP="000B33A8"/>
    <w:p w:rsidR="000B33A8" w:rsidRDefault="000B33A8" w:rsidP="000B33A8"/>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14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14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jc w:val="left"/>
              <w:rPr>
                <w:rFonts w:cs="Arial"/>
              </w:rPr>
            </w:pPr>
          </w:p>
        </w:tc>
      </w:tr>
    </w:tbl>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rPr>
                <w:rFonts w:cs="Arial"/>
                <w:sz w:val="24"/>
              </w:rPr>
            </w:pPr>
            <w:r w:rsidRPr="00B26E1F">
              <w:rPr>
                <w:rFonts w:cs="Arial"/>
                <w:i/>
                <w:sz w:val="24"/>
              </w:rPr>
              <w:t>Circolare sulla formulazione tecnica dei testi legislativi; parere del Comitato in data 11/06/2015 su AC 3098.</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438" w:name="S14a01"/>
      <w:r w:rsidRPr="00B91F58">
        <w:rPr>
          <w:rFonts w:cs="Arial"/>
          <w:szCs w:val="22"/>
        </w:rPr>
        <w:lastRenderedPageBreak/>
        <w:t xml:space="preserve">1 </w:t>
      </w:r>
      <w:bookmarkEnd w:id="438"/>
      <w:r w:rsidRPr="00B91F58">
        <w:rPr>
          <w:rFonts w:cs="Arial"/>
          <w:szCs w:val="22"/>
        </w:rPr>
        <w:t xml:space="preserve">– </w:t>
      </w:r>
      <w:hyperlink w:anchor="premessa14" w:history="1">
        <w:r w:rsidRPr="00B91F58">
          <w:rPr>
            <w:rStyle w:val="Collegamentoipertestuale"/>
            <w:rFonts w:cs="Arial"/>
            <w:b/>
            <w:szCs w:val="22"/>
          </w:rPr>
          <w:t>Premessa</w:t>
        </w:r>
        <w:r w:rsidRPr="00B91F58">
          <w:rPr>
            <w:rStyle w:val="Collegamentoipertestuale"/>
            <w:rFonts w:cs="Arial"/>
            <w:szCs w:val="22"/>
          </w:rPr>
          <w:t>:</w:t>
        </w:r>
      </w:hyperlink>
      <w:r w:rsidRPr="004979E6">
        <w:rPr>
          <w:rStyle w:val="Collegamentoipertestuale"/>
          <w:rFonts w:cs="Arial"/>
          <w:szCs w:val="22"/>
        </w:rPr>
        <w:t xml:space="preserve"> </w:t>
      </w:r>
      <w:r w:rsidRPr="00B91F58">
        <w:rPr>
          <w:rFonts w:cs="Arial"/>
          <w:szCs w:val="22"/>
        </w:rPr>
        <w:t>«</w:t>
      </w:r>
      <w:r w:rsidRPr="00463D6B">
        <w:rPr>
          <w:rFonts w:cs="Arial"/>
          <w:szCs w:val="22"/>
        </w:rPr>
        <w:t xml:space="preserve">il disegno di legge, che si compone di 30 articoli, reca un </w:t>
      </w:r>
      <w:r w:rsidRPr="00463D6B">
        <w:rPr>
          <w:rFonts w:cs="Arial"/>
          <w:b/>
          <w:szCs w:val="22"/>
        </w:rPr>
        <w:t>contenuto omogeneo</w:t>
      </w:r>
      <w:r w:rsidRPr="00463D6B">
        <w:rPr>
          <w:rFonts w:cs="Arial"/>
          <w:szCs w:val="22"/>
        </w:rPr>
        <w:t xml:space="preserve"> volto ad introdurre un’articolata serie di interventi sul diritto penale sostanziale e processuale, nonché sull’ordinamento penitenziario</w:t>
      </w:r>
      <w:r w:rsidRPr="00B91F58">
        <w:rPr>
          <w:rFonts w:cs="Arial"/>
          <w:szCs w:val="22"/>
        </w:rPr>
        <w:t>»;</w:t>
      </w:r>
      <w:r>
        <w:rPr>
          <w:rFonts w:cs="Arial"/>
          <w:szCs w:val="22"/>
        </w:rPr>
        <w:t xml:space="preserve"> </w:t>
      </w:r>
    </w:p>
    <w:p w:rsidR="000B33A8" w:rsidRDefault="000B33A8" w:rsidP="000B33A8">
      <w:pPr>
        <w:spacing w:before="100" w:beforeAutospacing="1" w:after="100" w:afterAutospacing="1" w:line="240" w:lineRule="auto"/>
        <w:ind w:firstLine="0"/>
        <w:jc w:val="left"/>
        <w:rPr>
          <w:rFonts w:cs="Arial"/>
          <w:szCs w:val="22"/>
        </w:rPr>
      </w:pPr>
    </w:p>
    <w:p w:rsidR="000B33A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439" w:name="S14a02"/>
      <w:r w:rsidRPr="00B91F58">
        <w:rPr>
          <w:rFonts w:cs="Arial"/>
          <w:szCs w:val="22"/>
        </w:rPr>
        <w:t xml:space="preserve">2 </w:t>
      </w:r>
      <w:bookmarkEnd w:id="439"/>
      <w:r w:rsidRPr="00B91F58">
        <w:rPr>
          <w:rFonts w:cs="Arial"/>
          <w:szCs w:val="22"/>
        </w:rPr>
        <w:t xml:space="preserve">– </w:t>
      </w:r>
      <w:hyperlink w:anchor="premessa14"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463D6B">
        <w:rPr>
          <w:rFonts w:cs="Arial"/>
          <w:szCs w:val="22"/>
        </w:rPr>
        <w:t xml:space="preserve">l’incremento della pena per il reato di corruzione previsto dall’articolo 3 </w:t>
      </w:r>
      <w:r w:rsidRPr="001E2017">
        <w:rPr>
          <w:rFonts w:cs="Arial"/>
          <w:b/>
          <w:szCs w:val="22"/>
        </w:rPr>
        <w:t>risulta già disposto</w:t>
      </w:r>
      <w:r w:rsidRPr="00463D6B">
        <w:rPr>
          <w:rFonts w:cs="Arial"/>
          <w:szCs w:val="22"/>
        </w:rPr>
        <w:t>, nella medesima misura, dall’articolo 1, comma 1, lettera f) della legge n. 69/2015</w:t>
      </w:r>
      <w:r w:rsidRPr="00B91F58">
        <w:rPr>
          <w:rFonts w:cs="Arial"/>
          <w:szCs w:val="22"/>
        </w:rPr>
        <w:t>»</w:t>
      </w:r>
      <w:r>
        <w:rPr>
          <w:rFonts w:cs="Arial"/>
          <w:szCs w:val="22"/>
        </w:rPr>
        <w:t xml:space="preserve"> </w:t>
      </w:r>
      <w:r w:rsidRPr="00B91F58">
        <w:rPr>
          <w:rFonts w:cs="Arial"/>
          <w:szCs w:val="22"/>
        </w:rPr>
        <w:t>(</w:t>
      </w:r>
      <w:hyperlink r:id="rId347" w:anchor="S14c01" w:history="1">
        <w:r>
          <w:rPr>
            <w:rStyle w:val="Collegamentoipertestuale"/>
            <w:rFonts w:cs="Arial"/>
            <w:b/>
            <w:szCs w:val="22"/>
          </w:rPr>
          <w:t>conseguente condizione</w:t>
        </w:r>
      </w:hyperlink>
      <w:r w:rsidRPr="00B91F58">
        <w:rPr>
          <w:rFonts w:cs="Arial"/>
          <w:szCs w:val="22"/>
        </w:rPr>
        <w:t>);</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440" w:name="S14a03"/>
      <w:r w:rsidRPr="00B91F58">
        <w:rPr>
          <w:rFonts w:cs="Arial"/>
          <w:szCs w:val="22"/>
        </w:rPr>
        <w:t xml:space="preserve">3 </w:t>
      </w:r>
      <w:bookmarkEnd w:id="440"/>
      <w:r w:rsidRPr="00B91F58">
        <w:rPr>
          <w:rFonts w:cs="Arial"/>
          <w:szCs w:val="22"/>
        </w:rPr>
        <w:t xml:space="preserve">– </w:t>
      </w:r>
      <w:hyperlink w:anchor="premessa14"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1E2017">
        <w:rPr>
          <w:rFonts w:cs="Arial"/>
          <w:szCs w:val="22"/>
        </w:rPr>
        <w:t xml:space="preserve">l’articolo 4, comma 1, lettera </w:t>
      </w:r>
      <w:r w:rsidRPr="001E2017">
        <w:rPr>
          <w:rFonts w:cs="Arial"/>
          <w:i/>
          <w:szCs w:val="22"/>
        </w:rPr>
        <w:t>a</w:t>
      </w:r>
      <w:r w:rsidRPr="001E2017">
        <w:rPr>
          <w:rFonts w:cs="Arial"/>
          <w:szCs w:val="22"/>
        </w:rPr>
        <w:t>), sostituisce il comma 1 dell’articolo 12-</w:t>
      </w:r>
      <w:r w:rsidRPr="001E2017">
        <w:rPr>
          <w:rFonts w:cs="Arial"/>
          <w:i/>
          <w:szCs w:val="22"/>
        </w:rPr>
        <w:t>sexies</w:t>
      </w:r>
      <w:r w:rsidRPr="001E2017">
        <w:rPr>
          <w:rFonts w:cs="Arial"/>
          <w:szCs w:val="22"/>
        </w:rPr>
        <w:t xml:space="preserve"> del decreto-legge n. 306/1992 in materia di confisca il quale, successivamente alla presentazione del provvedimento alla Camera, </w:t>
      </w:r>
      <w:r w:rsidRPr="001E2017">
        <w:rPr>
          <w:rFonts w:cs="Arial"/>
          <w:b/>
          <w:szCs w:val="22"/>
        </w:rPr>
        <w:t>è stato oggetto di modifica</w:t>
      </w:r>
      <w:r w:rsidRPr="001E2017">
        <w:rPr>
          <w:rFonts w:cs="Arial"/>
          <w:szCs w:val="22"/>
        </w:rPr>
        <w:t xml:space="preserve"> ad opera dell’articolo 1, comma 4, della legge n. 68/2015; occorre pertanto tenere conto delle modifiche intervenute nella norma al fine di valutare l’impatto sull’ordinamento della disposizione</w:t>
      </w:r>
      <w:r w:rsidRPr="00B91F58">
        <w:rPr>
          <w:rFonts w:cs="Arial"/>
          <w:szCs w:val="22"/>
        </w:rPr>
        <w:t>»</w:t>
      </w:r>
      <w:r>
        <w:rPr>
          <w:rFonts w:cs="Arial"/>
          <w:szCs w:val="22"/>
        </w:rPr>
        <w:t xml:space="preserve"> </w:t>
      </w:r>
      <w:r w:rsidRPr="00B91F58">
        <w:rPr>
          <w:rFonts w:cs="Arial"/>
          <w:szCs w:val="22"/>
        </w:rPr>
        <w:t>(</w:t>
      </w:r>
      <w:hyperlink w:anchor="S14o01"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441" w:name="S14a04"/>
      <w:r w:rsidRPr="00B91F58">
        <w:rPr>
          <w:rFonts w:cs="Arial"/>
          <w:szCs w:val="22"/>
        </w:rPr>
        <w:t xml:space="preserve">4 </w:t>
      </w:r>
      <w:bookmarkEnd w:id="441"/>
      <w:r w:rsidRPr="00B91F58">
        <w:rPr>
          <w:rFonts w:cs="Arial"/>
          <w:szCs w:val="22"/>
        </w:rPr>
        <w:t xml:space="preserve">– </w:t>
      </w:r>
      <w:hyperlink w:anchor="premessa14"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1E2017">
        <w:rPr>
          <w:rFonts w:cs="Arial"/>
          <w:szCs w:val="22"/>
        </w:rPr>
        <w:t>l’articolo 5 sostituisce l’articolo 159 del codice penale in materia di sospensione del corso della prescrizione; in proposito si segnala che un disegno complessivo di riforma dell’istituto della prescrizione è oggetto di un apposito provvedimento già approvato dalla Camera e ora in corso di esame al Senato (</w:t>
      </w:r>
      <w:r w:rsidRPr="001E2017">
        <w:rPr>
          <w:rFonts w:cs="Arial"/>
          <w:b/>
          <w:szCs w:val="22"/>
        </w:rPr>
        <w:t>A.S. 1844</w:t>
      </w:r>
      <w:r w:rsidRPr="001E2017">
        <w:rPr>
          <w:rFonts w:cs="Arial"/>
          <w:szCs w:val="22"/>
        </w:rPr>
        <w:t>), che peraltro modifica, all’articolo 3, il medesimo articolo 159 del codice</w:t>
      </w:r>
      <w:r w:rsidRPr="00B91F58">
        <w:rPr>
          <w:rFonts w:cs="Arial"/>
          <w:szCs w:val="22"/>
        </w:rPr>
        <w:t>»</w:t>
      </w:r>
      <w:r>
        <w:rPr>
          <w:rFonts w:cs="Arial"/>
          <w:szCs w:val="22"/>
        </w:rPr>
        <w:t>;</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442" w:name="S14a05"/>
      <w:r w:rsidRPr="00B91F58">
        <w:rPr>
          <w:rFonts w:cs="Arial"/>
          <w:szCs w:val="22"/>
        </w:rPr>
        <w:t xml:space="preserve">5 </w:t>
      </w:r>
      <w:bookmarkEnd w:id="442"/>
      <w:r w:rsidRPr="00B91F58">
        <w:rPr>
          <w:rFonts w:cs="Arial"/>
          <w:szCs w:val="22"/>
        </w:rPr>
        <w:t xml:space="preserve">– </w:t>
      </w:r>
      <w:hyperlink w:anchor="premessa14"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8318B">
        <w:rPr>
          <w:rFonts w:cs="Arial"/>
          <w:szCs w:val="22"/>
        </w:rPr>
        <w:t xml:space="preserve">la disposizione dell’articolo 21, che integra il contenuto della relazione sull’amministrazione della giustizia, andrebbe riformulata in termini di </w:t>
      </w:r>
      <w:r w:rsidRPr="0068318B">
        <w:rPr>
          <w:rFonts w:cs="Arial"/>
          <w:i/>
          <w:szCs w:val="22"/>
        </w:rPr>
        <w:t xml:space="preserve">novella </w:t>
      </w:r>
      <w:r w:rsidRPr="0068318B">
        <w:rPr>
          <w:rFonts w:cs="Arial"/>
          <w:szCs w:val="22"/>
        </w:rPr>
        <w:t xml:space="preserve">dell’articolo 86 dell’ordinamento penitenziario di cui al Regio decreto n. 12/1941, in coerenza con l’indicazione della </w:t>
      </w:r>
      <w:r w:rsidRPr="0068318B">
        <w:rPr>
          <w:rFonts w:cs="Arial"/>
          <w:b/>
          <w:szCs w:val="22"/>
        </w:rPr>
        <w:t>circolare</w:t>
      </w:r>
      <w:r w:rsidRPr="0068318B">
        <w:rPr>
          <w:rFonts w:cs="Arial"/>
          <w:szCs w:val="22"/>
        </w:rPr>
        <w:t xml:space="preserve"> sulla formulazione tecnica dei testi legislativi del 2001, che indica di evitare </w:t>
      </w:r>
      <w:r w:rsidRPr="0068318B">
        <w:rPr>
          <w:rFonts w:cs="Arial"/>
          <w:b/>
          <w:szCs w:val="22"/>
        </w:rPr>
        <w:t>modifiche indirette di atti legislativi vigenti</w:t>
      </w:r>
      <w:r w:rsidRPr="00B91F58">
        <w:rPr>
          <w:rFonts w:cs="Arial"/>
          <w:szCs w:val="22"/>
        </w:rPr>
        <w:t>»</w:t>
      </w:r>
      <w:r>
        <w:rPr>
          <w:rFonts w:cs="Arial"/>
          <w:szCs w:val="22"/>
        </w:rPr>
        <w:t xml:space="preserve"> </w:t>
      </w:r>
      <w:r w:rsidRPr="00B91F58">
        <w:rPr>
          <w:rFonts w:cs="Arial"/>
          <w:szCs w:val="22"/>
        </w:rPr>
        <w:t>(</w:t>
      </w:r>
      <w:hyperlink w:anchor="S14o03" w:history="1">
        <w:r>
          <w:rPr>
            <w:rStyle w:val="Collegamentoipertestuale"/>
            <w:rFonts w:cs="Arial"/>
            <w:b/>
            <w:szCs w:val="22"/>
          </w:rPr>
          <w:t>conseguente osservazione</w:t>
        </w:r>
      </w:hyperlink>
      <w:r w:rsidRPr="00B91F58">
        <w:rPr>
          <w:rFonts w:cs="Arial"/>
          <w:szCs w:val="22"/>
        </w:rPr>
        <w:t>)</w:t>
      </w:r>
      <w:r w:rsidRPr="0018399D">
        <w:rPr>
          <w:rFonts w:cs="Arial"/>
          <w:szCs w:val="22"/>
        </w:rPr>
        <w:t>;</w:t>
      </w:r>
      <w:r>
        <w:rPr>
          <w:rFonts w:cs="Arial"/>
          <w:szCs w:val="22"/>
        </w:rPr>
        <w:t xml:space="preserve"> </w:t>
      </w:r>
    </w:p>
    <w:p w:rsidR="000B33A8" w:rsidRDefault="000B33A8" w:rsidP="000B33A8">
      <w:pPr>
        <w:rPr>
          <w:rFonts w:cs="Arial"/>
          <w:i/>
          <w:iCs/>
          <w:szCs w:val="22"/>
        </w:rPr>
      </w:pPr>
    </w:p>
    <w:p w:rsidR="000B33A8" w:rsidRPr="00B91F58" w:rsidRDefault="000B33A8" w:rsidP="000B33A8">
      <w:pPr>
        <w:rPr>
          <w:rFonts w:cs="Arial"/>
          <w:szCs w:val="22"/>
        </w:rPr>
      </w:pPr>
    </w:p>
    <w:p w:rsidR="000B33A8" w:rsidRDefault="000B33A8" w:rsidP="000B33A8">
      <w:pPr>
        <w:rPr>
          <w:rFonts w:cs="Arial"/>
          <w:szCs w:val="22"/>
        </w:rPr>
      </w:pPr>
      <w:bookmarkStart w:id="443" w:name="S14a06"/>
      <w:r w:rsidRPr="00B91F58">
        <w:rPr>
          <w:rFonts w:cs="Arial"/>
          <w:szCs w:val="22"/>
        </w:rPr>
        <w:t xml:space="preserve">6 </w:t>
      </w:r>
      <w:bookmarkEnd w:id="443"/>
      <w:r w:rsidRPr="00B91F58">
        <w:rPr>
          <w:rFonts w:cs="Arial"/>
          <w:szCs w:val="22"/>
        </w:rPr>
        <w:t xml:space="preserve">– </w:t>
      </w:r>
      <w:hyperlink w:anchor="premessa14"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8318B">
        <w:rPr>
          <w:rFonts w:cs="Arial"/>
          <w:szCs w:val="22"/>
        </w:rPr>
        <w:t xml:space="preserve">alcune disposizioni qualificate come </w:t>
      </w:r>
      <w:r w:rsidRPr="0068318B">
        <w:rPr>
          <w:rFonts w:cs="Arial"/>
          <w:b/>
          <w:szCs w:val="22"/>
        </w:rPr>
        <w:t>princìpi e criteri direttivi di delega</w:t>
      </w:r>
      <w:r w:rsidRPr="0068318B">
        <w:rPr>
          <w:rFonts w:cs="Arial"/>
          <w:szCs w:val="22"/>
        </w:rPr>
        <w:t xml:space="preserve"> risultano di fatto costituire </w:t>
      </w:r>
      <w:r w:rsidRPr="0068318B">
        <w:rPr>
          <w:rFonts w:cs="Arial"/>
          <w:b/>
          <w:szCs w:val="22"/>
        </w:rPr>
        <w:t>ulteriori oggetti di delega</w:t>
      </w:r>
      <w:r w:rsidRPr="0068318B">
        <w:rPr>
          <w:rFonts w:cs="Arial"/>
          <w:szCs w:val="22"/>
        </w:rPr>
        <w:t xml:space="preserve">; ciò si </w:t>
      </w:r>
      <w:r w:rsidRPr="0068318B">
        <w:rPr>
          <w:rFonts w:cs="Arial"/>
          <w:szCs w:val="22"/>
        </w:rPr>
        <w:lastRenderedPageBreak/>
        <w:t xml:space="preserve">riscontra in particolare, nell’ambito della delega per la riforma delle misure di sicurezza e in materia di procedibilità dei reati di cui all’articolo 6, al comma 1, lettere </w:t>
      </w:r>
      <w:r w:rsidRPr="0068318B">
        <w:rPr>
          <w:rFonts w:cs="Arial"/>
          <w:i/>
          <w:szCs w:val="22"/>
        </w:rPr>
        <w:t>b</w:t>
      </w:r>
      <w:r w:rsidRPr="0068318B">
        <w:rPr>
          <w:rFonts w:cs="Arial"/>
          <w:szCs w:val="22"/>
        </w:rPr>
        <w:t xml:space="preserve">) e </w:t>
      </w:r>
      <w:r w:rsidRPr="0068318B">
        <w:rPr>
          <w:rFonts w:cs="Arial"/>
          <w:i/>
          <w:szCs w:val="22"/>
        </w:rPr>
        <w:t>c</w:t>
      </w:r>
      <w:r w:rsidRPr="0068318B">
        <w:rPr>
          <w:rFonts w:cs="Arial"/>
          <w:szCs w:val="22"/>
        </w:rPr>
        <w:t xml:space="preserve">), e, nell’ambito della delega per la riforma dell’ordinamento penitenziario di cui all’articolo 26, al comma 1, lettere da </w:t>
      </w:r>
      <w:r w:rsidRPr="0068318B">
        <w:rPr>
          <w:rFonts w:cs="Arial"/>
          <w:i/>
          <w:szCs w:val="22"/>
        </w:rPr>
        <w:t>b</w:t>
      </w:r>
      <w:r w:rsidRPr="0068318B">
        <w:rPr>
          <w:rFonts w:cs="Arial"/>
          <w:szCs w:val="22"/>
        </w:rPr>
        <w:t xml:space="preserve">) ad </w:t>
      </w:r>
      <w:r w:rsidRPr="0068318B">
        <w:rPr>
          <w:rFonts w:cs="Arial"/>
          <w:i/>
          <w:szCs w:val="22"/>
        </w:rPr>
        <w:t>i)</w:t>
      </w:r>
      <w:r w:rsidRPr="00B91F58">
        <w:rPr>
          <w:rFonts w:cs="Arial"/>
          <w:szCs w:val="22"/>
        </w:rPr>
        <w:t>»</w:t>
      </w:r>
      <w:r>
        <w:rPr>
          <w:rFonts w:cs="Arial"/>
          <w:szCs w:val="22"/>
        </w:rPr>
        <w:t xml:space="preserve"> </w:t>
      </w:r>
      <w:r w:rsidRPr="00B91F58">
        <w:rPr>
          <w:rFonts w:cs="Arial"/>
          <w:szCs w:val="22"/>
        </w:rPr>
        <w:t>(</w:t>
      </w:r>
      <w:hyperlink r:id="rId348" w:anchor="S14c02" w:history="1">
        <w:r>
          <w:rPr>
            <w:rStyle w:val="Collegamentoipertestuale"/>
            <w:rFonts w:cs="Arial"/>
            <w:b/>
            <w:szCs w:val="22"/>
          </w:rPr>
          <w:t>conseguente condizione</w:t>
        </w:r>
      </w:hyperlink>
      <w:r w:rsidRPr="00B91F58">
        <w:rPr>
          <w:rFonts w:cs="Arial"/>
          <w:szCs w:val="22"/>
        </w:rPr>
        <w:t>);</w:t>
      </w:r>
    </w:p>
    <w:p w:rsidR="000B33A8" w:rsidRDefault="000B33A8" w:rsidP="000B33A8">
      <w:pPr>
        <w:tabs>
          <w:tab w:val="left" w:pos="6495"/>
        </w:tabs>
        <w:rPr>
          <w:rFonts w:cs="Arial"/>
          <w:szCs w:val="22"/>
        </w:rPr>
      </w:pPr>
      <w:r>
        <w:rPr>
          <w:rFonts w:cs="Arial"/>
          <w:szCs w:val="22"/>
        </w:rPr>
        <w:tab/>
      </w:r>
    </w:p>
    <w:p w:rsidR="000B33A8" w:rsidRDefault="000B33A8" w:rsidP="000B33A8">
      <w:pPr>
        <w:rPr>
          <w:rFonts w:cs="Arial"/>
          <w:szCs w:val="22"/>
        </w:rPr>
      </w:pPr>
    </w:p>
    <w:p w:rsidR="000B33A8" w:rsidRDefault="000B33A8" w:rsidP="000B33A8">
      <w:pPr>
        <w:rPr>
          <w:rFonts w:cs="Arial"/>
          <w:szCs w:val="22"/>
        </w:rPr>
      </w:pPr>
      <w:bookmarkStart w:id="444" w:name="S14a07"/>
      <w:r>
        <w:rPr>
          <w:rFonts w:cs="Arial"/>
          <w:szCs w:val="22"/>
        </w:rPr>
        <w:t>7</w:t>
      </w:r>
      <w:r w:rsidRPr="00B91F58">
        <w:rPr>
          <w:rFonts w:cs="Arial"/>
          <w:szCs w:val="22"/>
        </w:rPr>
        <w:t xml:space="preserve"> </w:t>
      </w:r>
      <w:bookmarkEnd w:id="444"/>
      <w:r w:rsidRPr="00B91F58">
        <w:rPr>
          <w:rFonts w:cs="Arial"/>
          <w:szCs w:val="22"/>
        </w:rPr>
        <w:t xml:space="preserve">– </w:t>
      </w:r>
      <w:hyperlink w:anchor="premessa14"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C73C7">
        <w:rPr>
          <w:rFonts w:cs="Arial"/>
          <w:szCs w:val="22"/>
        </w:rPr>
        <w:t xml:space="preserve">l’unico principio e criterio direttivo previsto, al comma 1 dell’articolo 7, per l’attuazione della delega in materia di casellario giudiziale sembra attribuire alla delega medesima </w:t>
      </w:r>
      <w:r w:rsidRPr="006C73C7">
        <w:rPr>
          <w:rFonts w:cs="Arial"/>
          <w:b/>
          <w:szCs w:val="22"/>
        </w:rPr>
        <w:t>un carattere “ricognitivo” o “compilativo”</w:t>
      </w:r>
      <w:r w:rsidRPr="006C73C7">
        <w:rPr>
          <w:rFonts w:cs="Arial"/>
          <w:szCs w:val="22"/>
        </w:rPr>
        <w:t>, in forza del riferimento ad un adeguamento della disciplina “alle modifiche intervenute in materia penale” nonché ai principi della normativa nazionale e del diritto UE; ciò potrebbe risultare in contrasto con l’oggetto della delega descritto dal medesimo comma che, concernendo invece la “revisione della disciplina del casellario giudiziale”, potrebbe avere carattere “innovativo”; occorre pertanto chiarire il carattere della delega, provvedendo, nel caso questa abbia carattere “innovativo”, alla formulazione di più specifici e dettagliati princìpi e criteri direttivi</w:t>
      </w:r>
      <w:r w:rsidRPr="00B91F58">
        <w:rPr>
          <w:rFonts w:cs="Arial"/>
          <w:szCs w:val="22"/>
        </w:rPr>
        <w:t>»</w:t>
      </w:r>
      <w:r>
        <w:rPr>
          <w:rFonts w:cs="Arial"/>
          <w:szCs w:val="22"/>
        </w:rPr>
        <w:t xml:space="preserve"> </w:t>
      </w:r>
      <w:r w:rsidRPr="00B91F58">
        <w:rPr>
          <w:rFonts w:cs="Arial"/>
          <w:szCs w:val="22"/>
        </w:rPr>
        <w:t>(</w:t>
      </w:r>
      <w:hyperlink r:id="rId349" w:anchor="S14c04" w:history="1">
        <w:r>
          <w:rPr>
            <w:rStyle w:val="Collegamentoipertestuale"/>
            <w:rFonts w:cs="Arial"/>
            <w:b/>
            <w:szCs w:val="22"/>
          </w:rPr>
          <w:t>conseguente condizione</w:t>
        </w:r>
      </w:hyperlink>
      <w:r w:rsidRPr="00B91F58">
        <w:rPr>
          <w:rFonts w:cs="Arial"/>
          <w:szCs w:val="22"/>
        </w:rPr>
        <w:t>);</w:t>
      </w: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445" w:name="S14a08"/>
      <w:r>
        <w:rPr>
          <w:rFonts w:cs="Arial"/>
          <w:szCs w:val="22"/>
        </w:rPr>
        <w:t>8</w:t>
      </w:r>
      <w:r w:rsidRPr="00B91F58">
        <w:rPr>
          <w:rFonts w:cs="Arial"/>
          <w:szCs w:val="22"/>
        </w:rPr>
        <w:t xml:space="preserve"> </w:t>
      </w:r>
      <w:bookmarkEnd w:id="445"/>
      <w:r w:rsidRPr="00B91F58">
        <w:rPr>
          <w:rFonts w:cs="Arial"/>
          <w:szCs w:val="22"/>
        </w:rPr>
        <w:t xml:space="preserve">– </w:t>
      </w:r>
      <w:hyperlink w:anchor="premessa14"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C73C7">
        <w:rPr>
          <w:rFonts w:cs="Arial"/>
          <w:szCs w:val="22"/>
        </w:rPr>
        <w:t xml:space="preserve">con riferimento agli articoli 8 e 27, i quali recano deleghe al Governo per l’adozione di norme di attuazione, di coordinamento e transitorie riferite, rispettivamente, alle deleghe di cui agli articoli 6 e 7 e alle deleghe di cui agli articoli 25 e 26, appare di dubbia praticabilità la previsione che tali deleghe siano </w:t>
      </w:r>
      <w:r w:rsidRPr="006C73C7">
        <w:rPr>
          <w:rFonts w:cs="Arial"/>
          <w:b/>
          <w:szCs w:val="22"/>
        </w:rPr>
        <w:t>esercitate nel medesimo termine delle “deleghe principali”</w:t>
      </w:r>
      <w:r w:rsidRPr="00B91F58">
        <w:rPr>
          <w:rFonts w:cs="Arial"/>
          <w:szCs w:val="22"/>
        </w:rPr>
        <w:t>»</w:t>
      </w:r>
      <w:r w:rsidRPr="006C73C7">
        <w:rPr>
          <w:rFonts w:cs="Arial"/>
          <w:szCs w:val="22"/>
        </w:rPr>
        <w:t xml:space="preserve"> </w:t>
      </w:r>
      <w:r w:rsidRPr="00B91F58">
        <w:rPr>
          <w:rFonts w:cs="Arial"/>
          <w:szCs w:val="22"/>
        </w:rPr>
        <w:t>(</w:t>
      </w:r>
      <w:hyperlink w:anchor="S14o02" w:history="1">
        <w:r>
          <w:rPr>
            <w:rStyle w:val="Collegamentoipertestuale"/>
            <w:rFonts w:cs="Arial"/>
            <w:b/>
            <w:szCs w:val="22"/>
          </w:rPr>
          <w:t>conseguente osservazione</w:t>
        </w:r>
      </w:hyperlink>
      <w:r w:rsidRPr="00B91F58">
        <w:rPr>
          <w:rFonts w:cs="Arial"/>
          <w:szCs w:val="22"/>
        </w:rPr>
        <w:t>)</w:t>
      </w:r>
      <w:r w:rsidRPr="0018399D">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446" w:name="S14a09"/>
      <w:r>
        <w:rPr>
          <w:rFonts w:cs="Arial"/>
          <w:szCs w:val="22"/>
        </w:rPr>
        <w:t>9</w:t>
      </w:r>
      <w:r w:rsidRPr="00B91F58">
        <w:rPr>
          <w:rFonts w:cs="Arial"/>
          <w:szCs w:val="22"/>
        </w:rPr>
        <w:t xml:space="preserve"> </w:t>
      </w:r>
      <w:bookmarkEnd w:id="446"/>
      <w:r w:rsidRPr="00B91F58">
        <w:rPr>
          <w:rFonts w:cs="Arial"/>
          <w:szCs w:val="22"/>
        </w:rPr>
        <w:t xml:space="preserve">– </w:t>
      </w:r>
      <w:hyperlink w:anchor="premessa14"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6C73C7">
        <w:rPr>
          <w:rFonts w:cs="Arial"/>
          <w:szCs w:val="22"/>
        </w:rPr>
        <w:t xml:space="preserve">per numerose deleghe contenute nel provvedimento (articoli 6, 7, 24 e 26) si dispone che </w:t>
      </w:r>
      <w:r w:rsidRPr="006C73C7">
        <w:rPr>
          <w:rFonts w:cs="Arial"/>
          <w:b/>
          <w:szCs w:val="22"/>
        </w:rPr>
        <w:t>i termini per l’esercizio</w:t>
      </w:r>
      <w:r w:rsidRPr="006C73C7">
        <w:rPr>
          <w:rFonts w:cs="Arial"/>
          <w:szCs w:val="22"/>
        </w:rPr>
        <w:t xml:space="preserve"> delle stesse possano essere prolungati qualora i termini per l’espressione dei pareri parlamentari scadano nei trenta giorni che precedono la scadenza dei termini di delega, o successivamente, impiegando pertanto la cosiddetta “tecnica dello scorrimento”, la quale non permette di individuare il termine per l’esercizio della delega in modo univoco; al riguardo, come già segnalato dal Comitato in numerosi precedenti (si veda da ultimo il parere reso nella seduta dell’11 giugno 2015 sul disegno di legge C. 3098), occorre prevedere, in luogo dello scorrimento del termine di delega, un termine univoco entro il quale il Governo deve trasmettere alle Camere gli schemi dei decreti legislativi</w:t>
      </w:r>
      <w:r w:rsidRPr="00B91F58">
        <w:rPr>
          <w:rFonts w:cs="Arial"/>
          <w:szCs w:val="22"/>
        </w:rPr>
        <w:t>»</w:t>
      </w:r>
      <w:r>
        <w:rPr>
          <w:rFonts w:cs="Arial"/>
          <w:szCs w:val="22"/>
        </w:rPr>
        <w:t xml:space="preserve"> </w:t>
      </w:r>
      <w:r w:rsidRPr="00B91F58">
        <w:rPr>
          <w:rFonts w:cs="Arial"/>
          <w:szCs w:val="22"/>
        </w:rPr>
        <w:t>(</w:t>
      </w:r>
      <w:hyperlink r:id="rId350" w:anchor="S14c03" w:history="1">
        <w:r>
          <w:rPr>
            <w:rStyle w:val="Collegamentoipertestuale"/>
            <w:rFonts w:cs="Arial"/>
            <w:b/>
            <w:szCs w:val="22"/>
          </w:rPr>
          <w:t>conseguente condizione</w:t>
        </w:r>
      </w:hyperlink>
      <w:r w:rsidRPr="00B91F58">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447" w:name="S14a10"/>
      <w:r>
        <w:rPr>
          <w:rFonts w:cs="Arial"/>
          <w:szCs w:val="22"/>
        </w:rPr>
        <w:lastRenderedPageBreak/>
        <w:t>10</w:t>
      </w:r>
      <w:bookmarkEnd w:id="447"/>
      <w:r w:rsidRPr="00B91F58">
        <w:rPr>
          <w:rFonts w:cs="Arial"/>
          <w:szCs w:val="22"/>
        </w:rPr>
        <w:t xml:space="preserve"> – </w:t>
      </w:r>
      <w:hyperlink w:anchor="premessa14"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A36B1F">
        <w:rPr>
          <w:rFonts w:cs="Arial"/>
          <w:szCs w:val="22"/>
        </w:rPr>
        <w:t xml:space="preserve">l’articolo 28 dispone che l’adozione di eventuali </w:t>
      </w:r>
      <w:r w:rsidRPr="00A36B1F">
        <w:rPr>
          <w:rFonts w:cs="Arial"/>
          <w:b/>
          <w:szCs w:val="22"/>
        </w:rPr>
        <w:t>decreti legislativi correttivi e integrativi</w:t>
      </w:r>
      <w:r w:rsidRPr="00A36B1F">
        <w:rPr>
          <w:rFonts w:cs="Arial"/>
          <w:szCs w:val="22"/>
        </w:rPr>
        <w:t xml:space="preserve"> nell’ambito dell’attuazione delle deleghe di cui all’articolo 24 (riforma del processo penale e dell’ordinamento penitenziario) debba avvenire “entro un anno dalla data di entrata in vigore della nuova disciplina processuale e penitenziaria”, utilizzando dunque una formulazione che genera incertezza circa il termine ultimo per l’esercizio della delega; occorre pertanto prevedere </w:t>
      </w:r>
      <w:r w:rsidRPr="00A36B1F">
        <w:rPr>
          <w:rFonts w:cs="Arial"/>
          <w:b/>
          <w:szCs w:val="22"/>
        </w:rPr>
        <w:t>un termine certo per l’esercizio della delega integrativa e correttiva</w:t>
      </w:r>
      <w:r w:rsidRPr="00A36B1F">
        <w:rPr>
          <w:rFonts w:cs="Arial"/>
          <w:szCs w:val="22"/>
        </w:rPr>
        <w:t>, calcolato dalla data di entrata in vigore della legge</w:t>
      </w:r>
      <w:r w:rsidRPr="00B91F58">
        <w:rPr>
          <w:rFonts w:cs="Arial"/>
          <w:szCs w:val="22"/>
        </w:rPr>
        <w:t>»</w:t>
      </w:r>
      <w:r>
        <w:rPr>
          <w:rFonts w:cs="Arial"/>
          <w:szCs w:val="22"/>
        </w:rPr>
        <w:t xml:space="preserve"> </w:t>
      </w:r>
      <w:r w:rsidRPr="00B91F58">
        <w:rPr>
          <w:rFonts w:cs="Arial"/>
          <w:szCs w:val="22"/>
        </w:rPr>
        <w:t>(</w:t>
      </w:r>
      <w:hyperlink r:id="rId351" w:anchor="S14c05" w:history="1">
        <w:r>
          <w:rPr>
            <w:rStyle w:val="Collegamentoipertestuale"/>
            <w:rFonts w:cs="Arial"/>
            <w:b/>
            <w:szCs w:val="22"/>
          </w:rPr>
          <w:t>conseguente condizione</w:t>
        </w:r>
      </w:hyperlink>
      <w:r w:rsidRPr="00B91F58">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448" w:name="S14a11"/>
      <w:r>
        <w:rPr>
          <w:rFonts w:cs="Arial"/>
          <w:szCs w:val="22"/>
        </w:rPr>
        <w:t>11</w:t>
      </w:r>
      <w:r w:rsidRPr="00B91F58">
        <w:rPr>
          <w:rFonts w:cs="Arial"/>
          <w:szCs w:val="22"/>
        </w:rPr>
        <w:t xml:space="preserve"> </w:t>
      </w:r>
      <w:bookmarkEnd w:id="448"/>
      <w:r w:rsidRPr="00B91F58">
        <w:rPr>
          <w:rFonts w:cs="Arial"/>
          <w:szCs w:val="22"/>
        </w:rPr>
        <w:t xml:space="preserve">– </w:t>
      </w:r>
      <w:hyperlink w:anchor="premessa14"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4C1C18">
        <w:rPr>
          <w:rFonts w:ascii="Times New Roman" w:hAnsi="Times New Roman"/>
          <w:sz w:val="24"/>
        </w:rPr>
        <w:t xml:space="preserve"> </w:t>
      </w:r>
      <w:r w:rsidRPr="004C1C18">
        <w:rPr>
          <w:rFonts w:cs="Arial"/>
          <w:szCs w:val="22"/>
        </w:rPr>
        <w:t>il disegno di legge reca sia l’analisi tecnico-normativa (</w:t>
      </w:r>
      <w:r w:rsidRPr="004C1C18">
        <w:rPr>
          <w:rFonts w:cs="Arial"/>
          <w:b/>
          <w:szCs w:val="22"/>
        </w:rPr>
        <w:t>ATN</w:t>
      </w:r>
      <w:r w:rsidRPr="004C1C18">
        <w:rPr>
          <w:rFonts w:cs="Arial"/>
          <w:szCs w:val="22"/>
        </w:rPr>
        <w:t>) sia l’analisi di impatto della regolamentazione (</w:t>
      </w:r>
      <w:r w:rsidRPr="004C1C18">
        <w:rPr>
          <w:rFonts w:cs="Arial"/>
          <w:b/>
          <w:szCs w:val="22"/>
        </w:rPr>
        <w:t>AIR</w:t>
      </w:r>
      <w:r w:rsidRPr="004C1C18">
        <w:rPr>
          <w:rFonts w:cs="Arial"/>
          <w:szCs w:val="22"/>
        </w:rPr>
        <w:t>)</w:t>
      </w:r>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szCs w:val="22"/>
        </w:rPr>
      </w:pPr>
      <w:bookmarkStart w:id="449" w:name="S14C"/>
      <w:r w:rsidRPr="00B91F58">
        <w:rPr>
          <w:rFonts w:cs="Arial"/>
          <w:b/>
          <w:szCs w:val="22"/>
        </w:rPr>
        <w:t>Condizioni</w:t>
      </w:r>
      <w:r w:rsidRPr="00B91F58">
        <w:rPr>
          <w:rFonts w:cs="Arial"/>
          <w:szCs w:val="22"/>
        </w:rPr>
        <w:t>:</w:t>
      </w:r>
      <w:bookmarkEnd w:id="449"/>
      <w:r w:rsidRPr="00B91F58">
        <w:rPr>
          <w:rFonts w:cs="Arial"/>
          <w:szCs w:val="22"/>
        </w:rPr>
        <w:t xml:space="preserve"> </w:t>
      </w:r>
      <w:r>
        <w:rPr>
          <w:rFonts w:cs="Arial"/>
          <w:szCs w:val="22"/>
        </w:rPr>
        <w:br/>
      </w:r>
      <w:r w:rsidRPr="00C733BB">
        <w:rPr>
          <w:rFonts w:cs="Arial"/>
          <w:i/>
          <w:szCs w:val="22"/>
        </w:rPr>
        <w:t xml:space="preserve">sotto il profilo </w:t>
      </w:r>
      <w:r>
        <w:rPr>
          <w:rFonts w:cs="Arial"/>
          <w:i/>
          <w:szCs w:val="22"/>
        </w:rPr>
        <w:t>dell’efficacia del testo per la semplificazione e il riordinamento della legislazione vigente</w:t>
      </w:r>
      <w:r w:rsidRPr="00D249C1">
        <w:rPr>
          <w:rFonts w:cs="Arial"/>
          <w:i/>
          <w:szCs w:val="22"/>
        </w:rPr>
        <w:t>:</w:t>
      </w:r>
    </w:p>
    <w:p w:rsidR="000B33A8" w:rsidRPr="004979E6" w:rsidRDefault="000B33A8" w:rsidP="00B26E1F">
      <w:pPr>
        <w:pStyle w:val="Paragrafoelenco"/>
        <w:numPr>
          <w:ilvl w:val="0"/>
          <w:numId w:val="44"/>
        </w:numPr>
        <w:ind w:left="567" w:hanging="283"/>
        <w:rPr>
          <w:rStyle w:val="Collegamentoipertestuale"/>
          <w:rFonts w:cs="Arial"/>
          <w:szCs w:val="22"/>
        </w:rPr>
      </w:pPr>
      <w:bookmarkStart w:id="450" w:name="S14c01"/>
      <w:r w:rsidRPr="00463D6B">
        <w:rPr>
          <w:rFonts w:cs="Arial"/>
          <w:szCs w:val="22"/>
        </w:rPr>
        <w:t>sopprimere l’articolo 3</w:t>
      </w:r>
      <w:bookmarkEnd w:id="450"/>
      <w:r w:rsidRPr="00463D6B">
        <w:rPr>
          <w:rFonts w:cs="Arial"/>
          <w:szCs w:val="22"/>
        </w:rPr>
        <w:t>, che riproduce una misura normativa già disposta dall’articolo 1, comma 1, lettera f) della legge n. 69/2015</w:t>
      </w:r>
      <w:r>
        <w:rPr>
          <w:rFonts w:cs="Arial"/>
          <w:szCs w:val="22"/>
        </w:rPr>
        <w:t xml:space="preserve">; </w:t>
      </w:r>
      <w:hyperlink w:anchor="premessa14" w:history="1">
        <w:r w:rsidRPr="00D249C1">
          <w:rPr>
            <w:rStyle w:val="Collegamentoipertestuale"/>
            <w:rFonts w:cs="Arial"/>
            <w:szCs w:val="22"/>
          </w:rPr>
          <w:t>[torna su]</w:t>
        </w:r>
      </w:hyperlink>
      <w:r>
        <w:rPr>
          <w:rStyle w:val="Collegamentoipertestuale"/>
          <w:rFonts w:cs="Arial"/>
          <w:szCs w:val="22"/>
        </w:rPr>
        <w:t xml:space="preserve"> </w:t>
      </w:r>
    </w:p>
    <w:p w:rsidR="000B33A8" w:rsidRPr="00612F54" w:rsidRDefault="000B33A8" w:rsidP="000B33A8">
      <w:pPr>
        <w:pStyle w:val="Paragrafoelenco"/>
        <w:ind w:left="0" w:firstLine="0"/>
        <w:rPr>
          <w:rFonts w:cs="Arial"/>
          <w:i/>
          <w:szCs w:val="22"/>
        </w:rPr>
      </w:pPr>
      <w:r>
        <w:rPr>
          <w:rStyle w:val="Collegamentoipertestuale"/>
          <w:rFonts w:cs="Arial"/>
          <w:szCs w:val="22"/>
        </w:rPr>
        <w:br/>
      </w:r>
      <w:r w:rsidRPr="00612F54">
        <w:rPr>
          <w:rFonts w:cs="Arial"/>
          <w:i/>
          <w:szCs w:val="22"/>
        </w:rPr>
        <w:t>sotto il profilo della chiarezza e della proprietà della formulazione:</w:t>
      </w:r>
    </w:p>
    <w:p w:rsidR="000B33A8" w:rsidRPr="004979E6" w:rsidRDefault="000B33A8" w:rsidP="00B26E1F">
      <w:pPr>
        <w:pStyle w:val="Paragrafoelenco"/>
        <w:numPr>
          <w:ilvl w:val="0"/>
          <w:numId w:val="44"/>
        </w:numPr>
        <w:ind w:left="709" w:hanging="425"/>
        <w:rPr>
          <w:rStyle w:val="Collegamentoipertestuale"/>
          <w:rFonts w:cs="Arial"/>
          <w:szCs w:val="22"/>
        </w:rPr>
      </w:pPr>
      <w:bookmarkStart w:id="451" w:name="S14c02"/>
      <w:r w:rsidRPr="00463D6B">
        <w:rPr>
          <w:rFonts w:cs="Arial"/>
          <w:szCs w:val="22"/>
        </w:rPr>
        <w:t xml:space="preserve">con riferimento alle deleghe </w:t>
      </w:r>
      <w:bookmarkEnd w:id="451"/>
      <w:r w:rsidRPr="00463D6B">
        <w:rPr>
          <w:rFonts w:cs="Arial"/>
          <w:szCs w:val="22"/>
        </w:rPr>
        <w:t>di cui all’articolo 6 e 26, si specifichino quei princìpi e criteri direttivi che, di fatto, costituiscono ulteriori oggetti di delega, avendo cura di distinguere chiaramente oggetti e princìpi di delega</w:t>
      </w:r>
      <w:r w:rsidRPr="00CA7CAF">
        <w:rPr>
          <w:rFonts w:cs="Arial"/>
          <w:szCs w:val="22"/>
        </w:rPr>
        <w:t>;</w:t>
      </w:r>
      <w:r>
        <w:rPr>
          <w:rFonts w:cs="Arial"/>
          <w:szCs w:val="22"/>
        </w:rPr>
        <w:t xml:space="preserve"> </w:t>
      </w:r>
      <w:hyperlink w:anchor="premessa14" w:history="1">
        <w:r w:rsidRPr="00D249C1">
          <w:rPr>
            <w:rStyle w:val="Collegamentoipertestuale"/>
            <w:rFonts w:cs="Arial"/>
            <w:szCs w:val="22"/>
          </w:rPr>
          <w:t>[torna su]</w:t>
        </w:r>
      </w:hyperlink>
      <w:r>
        <w:rPr>
          <w:rStyle w:val="Collegamentoipertestuale"/>
          <w:rFonts w:cs="Arial"/>
          <w:szCs w:val="22"/>
        </w:rPr>
        <w:t xml:space="preserve"> </w:t>
      </w:r>
    </w:p>
    <w:p w:rsidR="000B33A8" w:rsidRPr="004979E6" w:rsidRDefault="000B33A8" w:rsidP="00B26E1F">
      <w:pPr>
        <w:pStyle w:val="Paragrafoelenco"/>
        <w:numPr>
          <w:ilvl w:val="0"/>
          <w:numId w:val="44"/>
        </w:numPr>
        <w:ind w:left="709" w:hanging="425"/>
        <w:rPr>
          <w:rStyle w:val="Collegamentoipertestuale"/>
          <w:rFonts w:cs="Arial"/>
          <w:szCs w:val="22"/>
        </w:rPr>
      </w:pPr>
      <w:bookmarkStart w:id="452" w:name="S14c03"/>
      <w:r w:rsidRPr="00463D6B">
        <w:t xml:space="preserve">agli articoli 6, comma </w:t>
      </w:r>
      <w:bookmarkEnd w:id="452"/>
      <w:r w:rsidRPr="00463D6B">
        <w:t>2; 7, comma 2, e 24, comma 2, si sostituisca il terzo periodo, che consente il ricorso alla “tecnica dello scorrimento” del termine per l’esercizio della delega, con l’individuazione di un termine ultimo antecedente alla scadenza della delega per la trasmissione alle Camere degli schemi di decreto legislativo</w:t>
      </w:r>
      <w:r>
        <w:t xml:space="preserve"> </w:t>
      </w:r>
      <w:hyperlink w:anchor="premessa14" w:history="1">
        <w:r w:rsidRPr="00D249C1">
          <w:rPr>
            <w:rStyle w:val="Collegamentoipertestuale"/>
            <w:rFonts w:cs="Arial"/>
            <w:szCs w:val="22"/>
          </w:rPr>
          <w:t>[torna su]</w:t>
        </w:r>
      </w:hyperlink>
      <w:r>
        <w:rPr>
          <w:rStyle w:val="Collegamentoipertestuale"/>
          <w:rFonts w:cs="Arial"/>
          <w:szCs w:val="22"/>
        </w:rPr>
        <w:t xml:space="preserve"> </w:t>
      </w:r>
    </w:p>
    <w:p w:rsidR="000B33A8" w:rsidRPr="004979E6" w:rsidRDefault="000B33A8" w:rsidP="00B26E1F">
      <w:pPr>
        <w:pStyle w:val="Paragrafoelenco"/>
        <w:numPr>
          <w:ilvl w:val="0"/>
          <w:numId w:val="44"/>
        </w:numPr>
        <w:ind w:left="709" w:hanging="425"/>
        <w:rPr>
          <w:rStyle w:val="Collegamentoipertestuale"/>
          <w:rFonts w:cs="Arial"/>
          <w:szCs w:val="22"/>
        </w:rPr>
      </w:pPr>
      <w:bookmarkStart w:id="453" w:name="S14c04"/>
      <w:r w:rsidRPr="00463D6B">
        <w:t xml:space="preserve">si provveda ad </w:t>
      </w:r>
      <w:bookmarkEnd w:id="453"/>
      <w:r w:rsidRPr="00463D6B">
        <w:t>una riformulazione dell’articolo 7, comma 1, in modo da chiarire se la delega abbia carattere “ricognitivo” od “innovativo”, provvedendo, nel caso questa abbia carattere “innovativo”, all’individuazione di princìpi e criteri direttivi più specifici</w:t>
      </w:r>
      <w:r>
        <w:t xml:space="preserve"> </w:t>
      </w:r>
      <w:hyperlink w:anchor="premessa14"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44"/>
        </w:numPr>
        <w:ind w:left="709" w:hanging="425"/>
        <w:rPr>
          <w:rFonts w:cs="Arial"/>
          <w:szCs w:val="22"/>
        </w:rPr>
      </w:pPr>
      <w:bookmarkStart w:id="454" w:name="S14c05"/>
      <w:r w:rsidRPr="00463D6B">
        <w:t xml:space="preserve">all’articolo 28, comma </w:t>
      </w:r>
      <w:bookmarkEnd w:id="454"/>
      <w:r w:rsidRPr="00463D6B">
        <w:t>1, si sostituiscano le parole “Entro un anno dalla data di entrata in vigore della nuova disciplina processuale e penitenziaria” con l’individuazione di un termine temporale certo ed inequivoco per l’esercizio della delega integrativa e correttiva recata dall’articolo, calcolato dalla data di entrata in vigore della legge</w:t>
      </w:r>
      <w:r>
        <w:t xml:space="preserve"> </w:t>
      </w:r>
      <w:hyperlink w:anchor="premessa14" w:history="1">
        <w:r w:rsidRPr="00D249C1">
          <w:rPr>
            <w:rStyle w:val="Collegamentoipertestuale"/>
            <w:rFonts w:cs="Arial"/>
            <w:szCs w:val="22"/>
          </w:rPr>
          <w:t>[torna su]</w:t>
        </w:r>
      </w:hyperlink>
      <w:r>
        <w:rPr>
          <w:rStyle w:val="Collegamentoipertestuale"/>
          <w:rFonts w:cs="Arial"/>
          <w:szCs w:val="22"/>
        </w:rPr>
        <w:t xml:space="preserve"> </w:t>
      </w:r>
    </w:p>
    <w:p w:rsidR="000B33A8" w:rsidRPr="00B91F58" w:rsidRDefault="000B33A8" w:rsidP="000B33A8">
      <w:pPr>
        <w:keepNext/>
        <w:tabs>
          <w:tab w:val="num" w:pos="567"/>
        </w:tabs>
        <w:ind w:firstLine="0"/>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455" w:name="S14O"/>
      <w:r>
        <w:rPr>
          <w:rFonts w:cs="Arial"/>
          <w:b/>
          <w:szCs w:val="22"/>
        </w:rPr>
        <w:t>Osservazioni</w:t>
      </w:r>
      <w:bookmarkEnd w:id="455"/>
      <w:r w:rsidRPr="00B91F58">
        <w:rPr>
          <w:rFonts w:cs="Arial"/>
          <w:szCs w:val="22"/>
        </w:rPr>
        <w:t xml:space="preserve">: </w:t>
      </w:r>
      <w:r>
        <w:rPr>
          <w:rFonts w:cs="Arial"/>
          <w:szCs w:val="22"/>
        </w:rPr>
        <w:br/>
      </w:r>
      <w:r w:rsidRPr="000E73F2">
        <w:rPr>
          <w:rFonts w:cs="Arial"/>
          <w:i/>
          <w:szCs w:val="22"/>
        </w:rPr>
        <w:t xml:space="preserve">sotto il profilo </w:t>
      </w:r>
      <w:r>
        <w:rPr>
          <w:rFonts w:cs="Arial"/>
          <w:i/>
          <w:szCs w:val="22"/>
        </w:rPr>
        <w:t>dell’efficacia del testo per la semplificazione e il riordino della legislazione</w:t>
      </w:r>
      <w:r w:rsidRPr="00D249C1">
        <w:rPr>
          <w:rFonts w:cs="Arial"/>
          <w:i/>
          <w:szCs w:val="22"/>
        </w:rPr>
        <w:t>:</w:t>
      </w:r>
    </w:p>
    <w:p w:rsidR="000B33A8" w:rsidRPr="004979E6" w:rsidRDefault="000B33A8" w:rsidP="00B26E1F">
      <w:pPr>
        <w:pStyle w:val="Paragrafoelenco"/>
        <w:numPr>
          <w:ilvl w:val="0"/>
          <w:numId w:val="45"/>
        </w:numPr>
        <w:ind w:left="567" w:hanging="283"/>
        <w:rPr>
          <w:rStyle w:val="Collegamentoipertestuale"/>
          <w:rFonts w:cs="Arial"/>
          <w:szCs w:val="22"/>
        </w:rPr>
      </w:pPr>
      <w:bookmarkStart w:id="456" w:name="S14o01"/>
      <w:r w:rsidRPr="00463D6B">
        <w:rPr>
          <w:rFonts w:cs="Arial"/>
          <w:szCs w:val="22"/>
        </w:rPr>
        <w:t xml:space="preserve">valuti la Commissione </w:t>
      </w:r>
      <w:bookmarkEnd w:id="456"/>
      <w:r w:rsidRPr="00463D6B">
        <w:rPr>
          <w:rFonts w:cs="Arial"/>
          <w:szCs w:val="22"/>
        </w:rPr>
        <w:t xml:space="preserve">di merito l’opportunità di un coordinamento dell’articolo 4, comma 1, lettera </w:t>
      </w:r>
      <w:r w:rsidRPr="00463D6B">
        <w:rPr>
          <w:rFonts w:cs="Arial"/>
          <w:i/>
          <w:szCs w:val="22"/>
        </w:rPr>
        <w:t>a</w:t>
      </w:r>
      <w:r w:rsidRPr="00463D6B">
        <w:rPr>
          <w:rFonts w:cs="Arial"/>
          <w:szCs w:val="22"/>
        </w:rPr>
        <w:t>), che sostituisce il comma 1, dell’articolo 12-</w:t>
      </w:r>
      <w:r w:rsidRPr="00463D6B">
        <w:rPr>
          <w:rFonts w:cs="Arial"/>
          <w:i/>
          <w:szCs w:val="22"/>
        </w:rPr>
        <w:t>sexies</w:t>
      </w:r>
      <w:r w:rsidRPr="00463D6B">
        <w:rPr>
          <w:rFonts w:cs="Arial"/>
          <w:szCs w:val="22"/>
        </w:rPr>
        <w:t xml:space="preserve"> del decreto-legge n. 306/1992, con le modifiche introdotte nella medesima norma dall’articolo 1, comma 4, della legge n. 68/2015</w:t>
      </w:r>
      <w:r w:rsidRPr="00185920">
        <w:rPr>
          <w:rFonts w:cs="Arial"/>
          <w:szCs w:val="22"/>
        </w:rPr>
        <w:t>;</w:t>
      </w:r>
      <w:r>
        <w:rPr>
          <w:rFonts w:cs="Arial"/>
          <w:szCs w:val="22"/>
        </w:rPr>
        <w:t xml:space="preserve"> </w:t>
      </w:r>
      <w:hyperlink w:anchor="premessa14" w:history="1">
        <w:r w:rsidRPr="00D249C1">
          <w:rPr>
            <w:rStyle w:val="Collegamentoipertestuale"/>
            <w:rFonts w:cs="Arial"/>
            <w:szCs w:val="22"/>
          </w:rPr>
          <w:t>[torna su]</w:t>
        </w:r>
      </w:hyperlink>
      <w:r>
        <w:rPr>
          <w:rStyle w:val="Collegamentoipertestuale"/>
          <w:rFonts w:cs="Arial"/>
          <w:szCs w:val="22"/>
        </w:rPr>
        <w:t xml:space="preserve"> </w:t>
      </w:r>
    </w:p>
    <w:p w:rsidR="000B33A8" w:rsidRPr="004979E6" w:rsidRDefault="000B33A8" w:rsidP="00B26E1F">
      <w:pPr>
        <w:pStyle w:val="Paragrafoelenco"/>
        <w:numPr>
          <w:ilvl w:val="0"/>
          <w:numId w:val="45"/>
        </w:numPr>
        <w:ind w:left="567" w:hanging="283"/>
        <w:rPr>
          <w:rStyle w:val="Collegamentoipertestuale"/>
          <w:rFonts w:cs="Arial"/>
          <w:szCs w:val="22"/>
        </w:rPr>
      </w:pPr>
      <w:bookmarkStart w:id="457" w:name="S14o02"/>
      <w:r w:rsidRPr="00463D6B">
        <w:rPr>
          <w:rFonts w:cs="Arial"/>
          <w:szCs w:val="22"/>
        </w:rPr>
        <w:t xml:space="preserve">valuti la Commissione </w:t>
      </w:r>
      <w:bookmarkEnd w:id="457"/>
      <w:r w:rsidRPr="00463D6B">
        <w:rPr>
          <w:rFonts w:cs="Arial"/>
          <w:szCs w:val="22"/>
        </w:rPr>
        <w:t>di merito l’opportunità di prevedere un termine più ampio per le deleghe di cui agli articoli 8 e 27 per l’adozione di norme di attuazione, di coordinamento e transitorie riferite, rispettivamente, alle deleghe di cui agli articoli 6 e 7 e alle deleghe di cui agli articoli 25 e 26</w:t>
      </w:r>
      <w:r>
        <w:rPr>
          <w:rFonts w:cs="Arial"/>
          <w:szCs w:val="22"/>
        </w:rPr>
        <w:t xml:space="preserve"> </w:t>
      </w:r>
      <w:hyperlink w:anchor="premessa14"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B26E1F">
      <w:pPr>
        <w:pStyle w:val="Paragrafoelenco"/>
        <w:numPr>
          <w:ilvl w:val="0"/>
          <w:numId w:val="45"/>
        </w:numPr>
        <w:ind w:left="567" w:hanging="283"/>
        <w:rPr>
          <w:rFonts w:cs="Arial"/>
          <w:szCs w:val="22"/>
        </w:rPr>
      </w:pPr>
      <w:bookmarkStart w:id="458" w:name="S14o03"/>
      <w:r w:rsidRPr="00463D6B">
        <w:rPr>
          <w:rFonts w:cs="Arial"/>
          <w:szCs w:val="22"/>
        </w:rPr>
        <w:t xml:space="preserve">valuti la Commissione </w:t>
      </w:r>
      <w:bookmarkEnd w:id="458"/>
      <w:r w:rsidRPr="00463D6B">
        <w:rPr>
          <w:rFonts w:cs="Arial"/>
          <w:szCs w:val="22"/>
        </w:rPr>
        <w:t xml:space="preserve">di merito l’opportunità di una riformulazione dell’articolo 21, comma 1, come </w:t>
      </w:r>
      <w:r w:rsidRPr="00463D6B">
        <w:rPr>
          <w:rFonts w:cs="Arial"/>
          <w:i/>
          <w:szCs w:val="22"/>
        </w:rPr>
        <w:t xml:space="preserve">novella </w:t>
      </w:r>
      <w:r w:rsidRPr="00463D6B">
        <w:rPr>
          <w:rFonts w:cs="Arial"/>
          <w:szCs w:val="22"/>
        </w:rPr>
        <w:t>all’articolo 86 dell’ordinamento giudiziario di cui al Regio decreto n. 12/1941 in materia di contenuto della relazione sull’amministrazione della giustizia.</w:t>
      </w:r>
      <w:r>
        <w:rPr>
          <w:rFonts w:cs="Arial"/>
          <w:szCs w:val="22"/>
        </w:rPr>
        <w:t xml:space="preserve"> </w:t>
      </w:r>
      <w:hyperlink w:anchor="premessa14"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ind w:left="567" w:hanging="283"/>
        <w:rPr>
          <w:rFonts w:cs="Arial"/>
          <w:i/>
          <w:szCs w:val="22"/>
        </w:rPr>
      </w:pPr>
    </w:p>
    <w:p w:rsidR="000B33A8" w:rsidRDefault="000B33A8" w:rsidP="000B33A8">
      <w:pPr>
        <w:ind w:left="567" w:hanging="283"/>
        <w:rPr>
          <w:rFonts w:cs="Arial"/>
          <w:szCs w:val="22"/>
        </w:rPr>
        <w:sectPr w:rsidR="000B33A8" w:rsidSect="000B33A8">
          <w:headerReference w:type="default" r:id="rId352"/>
          <w:footerReference w:type="even" r:id="rId353"/>
          <w:footerReference w:type="default" r:id="rId354"/>
          <w:pgSz w:w="11906" w:h="16838" w:code="9"/>
          <w:pgMar w:top="1985" w:right="1985" w:bottom="1985" w:left="1985" w:header="1134" w:footer="1134" w:gutter="0"/>
          <w:cols w:space="720"/>
          <w:formProt w:val="0"/>
        </w:sectPr>
      </w:pPr>
    </w:p>
    <w:p w:rsidR="000B33A8" w:rsidRPr="00B91F58" w:rsidRDefault="000B33A8" w:rsidP="000B33A8">
      <w:pPr>
        <w:ind w:left="567" w:hanging="283"/>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0015</w:t>
            </w:r>
          </w:p>
        </w:tc>
        <w:tc>
          <w:tcPr>
            <w:tcW w:w="750" w:type="pct"/>
            <w:shd w:val="clear" w:color="auto" w:fill="auto"/>
          </w:tcPr>
          <w:p w:rsidR="000B33A8" w:rsidRPr="00B26E1F" w:rsidRDefault="000B33A8" w:rsidP="000B33A8">
            <w:pPr>
              <w:pStyle w:val="Collegamento"/>
              <w:rPr>
                <w:rFonts w:cs="Arial"/>
              </w:rPr>
            </w:pPr>
            <w:r w:rsidRPr="00B26E1F">
              <w:rPr>
                <w:rFonts w:cs="Arial"/>
              </w:rPr>
              <w:t>2994-B</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55" w:history="1">
              <w:r w:rsidR="000B33A8" w:rsidRPr="00B26E1F">
                <w:rPr>
                  <w:rStyle w:val="Collegamentoipertestuale"/>
                  <w:rFonts w:cs="Arial"/>
                </w:rPr>
                <w:t>ddl Governo</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“Buona scuola”</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56" w:anchor="data.20150702.com48.bollettino.sede00010.tit00020" w:history="1">
              <w:r w:rsidR="000B33A8" w:rsidRPr="007F0913">
                <w:rPr>
                  <w:rStyle w:val="Collegamentoipertestuale"/>
                </w:rPr>
                <w:t>02/07/2015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6-</w:t>
            </w:r>
            <w:r w:rsidRPr="00B26E1F">
              <w:rPr>
                <w:rFonts w:cs="Arial"/>
                <w:b/>
                <w:bCs/>
                <w:i/>
                <w:sz w:val="24"/>
              </w:rPr>
              <w:t>BIS</w:t>
            </w:r>
            <w:r w:rsidRPr="00B26E1F">
              <w:rPr>
                <w:rFonts w:cs="Arial"/>
                <w:b/>
                <w:bCs/>
                <w:sz w:val="24"/>
              </w:rPr>
              <w:t>,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459" w:name="premessa15"/>
            <w:r w:rsidRPr="00B26E1F">
              <w:rPr>
                <w:rFonts w:cs="Arial"/>
                <w:b/>
                <w:color w:val="0000FF"/>
                <w:sz w:val="24"/>
                <w:szCs w:val="24"/>
              </w:rPr>
              <w:t>Premessa</w:t>
            </w:r>
            <w:bookmarkEnd w:id="459"/>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sz w:val="24"/>
                <w:highlight w:val="yellow"/>
              </w:rPr>
            </w:pPr>
            <w:r w:rsidRPr="00B26E1F">
              <w:rPr>
                <w:rFonts w:cs="Arial"/>
                <w:b/>
                <w:color w:val="0000FF"/>
                <w:sz w:val="24"/>
              </w:rPr>
              <w:t>Rilievi: 3 Osservazioni, 1 Raccomandazione</w:t>
            </w:r>
          </w:p>
        </w:tc>
      </w:tr>
      <w:tr w:rsidR="000B33A8" w:rsidRPr="008B2DCE" w:rsidTr="00B26E1F">
        <w:trPr>
          <w:trHeight w:val="69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5a01" w:history="1">
              <w:r w:rsidR="000B33A8" w:rsidRPr="00D40FBA">
                <w:rPr>
                  <w:rStyle w:val="Collegamentoipertestuale"/>
                </w:rPr>
                <w:t>1</w:t>
              </w:r>
            </w:hyperlink>
            <w:r w:rsidR="000B33A8" w:rsidRPr="00B26E1F">
              <w:rPr>
                <w:rFonts w:cs="Arial"/>
              </w:rPr>
              <w:t xml:space="preserve"> – </w:t>
            </w:r>
            <w:r w:rsidR="000B33A8" w:rsidRPr="00406AD5">
              <w:t>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Coordinamento con l’ordinamento universitario e in particolare con statuto di libera università</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697"/>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5a02" w:history="1">
              <w:r w:rsidR="000B33A8" w:rsidRPr="00812559">
                <w:rPr>
                  <w:rStyle w:val="Collegamentoipertestuale"/>
                </w:rPr>
                <w:t>2</w:t>
              </w:r>
            </w:hyperlink>
            <w:r w:rsidR="000B33A8" w:rsidRPr="00B26E1F">
              <w:rPr>
                <w:rFonts w:cs="Arial"/>
              </w:rPr>
              <w:t xml:space="preserve"> – </w:t>
            </w:r>
            <w:r w:rsidR="000B33A8">
              <w:t>Struttura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after="120"/>
              <w:ind w:firstLine="0"/>
              <w:rPr>
                <w:rFonts w:cs="Arial"/>
              </w:rPr>
            </w:pPr>
            <w:r w:rsidRPr="00B26E1F">
              <w:rPr>
                <w:rFonts w:cs="Arial"/>
              </w:rPr>
              <w:t>Unico articolo composto di 212 commi</w:t>
            </w:r>
          </w:p>
          <w:p w:rsidR="000B33A8" w:rsidRPr="00B26E1F" w:rsidRDefault="000B33A8" w:rsidP="00B26E1F">
            <w:pPr>
              <w:spacing w:after="120"/>
              <w:ind w:firstLine="0"/>
              <w:rPr>
                <w:rFonts w:cs="Arial"/>
              </w:rPr>
            </w:pPr>
            <w:r w:rsidRPr="00B26E1F">
              <w:rPr>
                <w:rFonts w:cs="Arial"/>
              </w:rPr>
              <w:t>Richiamo all’articolo 10, comma 3-</w:t>
            </w:r>
            <w:r w:rsidRPr="00B26E1F">
              <w:rPr>
                <w:rFonts w:cs="Arial"/>
                <w:i/>
              </w:rPr>
              <w:t>bis</w:t>
            </w:r>
            <w:r w:rsidRPr="00B26E1F">
              <w:rPr>
                <w:rFonts w:cs="Arial"/>
              </w:rPr>
              <w:t>, del DPR n. 1092/1985 (testo unico sulla promulgazione degli atti normativi statali).</w:t>
            </w:r>
          </w:p>
          <w:p w:rsidR="000B33A8" w:rsidRPr="00B26E1F" w:rsidRDefault="000B33A8" w:rsidP="00B26E1F">
            <w:pPr>
              <w:spacing w:before="100" w:beforeAutospacing="1" w:after="100" w:afterAutospacing="1"/>
              <w:ind w:firstLine="0"/>
              <w:rPr>
                <w:rFonts w:cs="Arial"/>
              </w:rPr>
            </w:pPr>
            <w:r w:rsidRPr="00B26E1F">
              <w:rPr>
                <w:rFonts w:cs="Arial"/>
              </w:rPr>
              <w:t>Raccomandazione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5a03" w:history="1">
              <w:r w:rsidR="000B33A8" w:rsidRPr="00812559">
                <w:rPr>
                  <w:rStyle w:val="Collegamentoipertestuale"/>
                </w:rPr>
                <w:t>3</w:t>
              </w:r>
            </w:hyperlink>
            <w:r w:rsidR="000B33A8" w:rsidRPr="00B26E1F">
              <w:rPr>
                <w:rFonts w:cs="Arial"/>
              </w:rPr>
              <w:t xml:space="preserve"> – </w:t>
            </w:r>
            <w:r w:rsidR="000B33A8">
              <w:t>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Richiami pleonastici ovvero a disposizioni legislative vigenti, con le formule “tenuto conto di”, “fermo restando”, “fatte salve”.</w:t>
            </w:r>
          </w:p>
          <w:p w:rsidR="000B33A8" w:rsidRPr="00B26E1F" w:rsidRDefault="000B33A8" w:rsidP="00B26E1F">
            <w:pPr>
              <w:spacing w:before="100" w:beforeAutospacing="1" w:after="100" w:afterAutospacing="1"/>
              <w:ind w:firstLine="0"/>
              <w:rPr>
                <w:rFonts w:cs="Arial"/>
              </w:rPr>
            </w:pPr>
            <w:r w:rsidRPr="00B26E1F">
              <w:rPr>
                <w:rFonts w:cs="Arial"/>
              </w:rPr>
              <w:t>Osservazione 2</w:t>
            </w:r>
          </w:p>
        </w:tc>
      </w:tr>
      <w:tr w:rsidR="000B33A8" w:rsidRPr="008B2DCE" w:rsidTr="00B26E1F">
        <w:trPr>
          <w:trHeight w:val="94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2204D6" w:rsidRDefault="00EB0878" w:rsidP="00B26E1F">
            <w:pPr>
              <w:spacing w:before="100" w:beforeAutospacing="1" w:after="100" w:afterAutospacing="1"/>
              <w:ind w:firstLine="0"/>
            </w:pPr>
            <w:hyperlink w:anchor="S15a04" w:history="1">
              <w:r w:rsidR="000B33A8" w:rsidRPr="00C563FD">
                <w:rPr>
                  <w:rStyle w:val="Collegamentoipertestuale"/>
                </w:rPr>
                <w:t>4</w:t>
              </w:r>
            </w:hyperlink>
            <w:r w:rsidR="000B33A8">
              <w:t xml:space="preserve"> – Adempimenti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Procedure per l’attuazione delle disposizioni previste da parte della Provincia autonoma di Bolzano.</w:t>
            </w:r>
          </w:p>
          <w:p w:rsidR="000B33A8" w:rsidRPr="00B26E1F" w:rsidRDefault="000B33A8" w:rsidP="00B26E1F">
            <w:pPr>
              <w:spacing w:before="100" w:beforeAutospacing="1" w:after="100" w:afterAutospacing="1"/>
              <w:ind w:firstLine="0"/>
              <w:rPr>
                <w:rFonts w:cs="Arial"/>
              </w:rPr>
            </w:pPr>
            <w:r w:rsidRPr="00B26E1F">
              <w:rPr>
                <w:rFonts w:cs="Arial"/>
              </w:rPr>
              <w:t>Osservazione 3</w:t>
            </w:r>
          </w:p>
        </w:tc>
      </w:tr>
    </w:tbl>
    <w:p w:rsidR="000B33A8" w:rsidRDefault="000B33A8" w:rsidP="00F47FF1"/>
    <w:p w:rsidR="000B33A8" w:rsidRDefault="000B33A8" w:rsidP="00F47FF1"/>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rPr>
                <w:rFonts w:cs="Arial"/>
              </w:rPr>
            </w:pPr>
            <w:r w:rsidRPr="00B26E1F">
              <w:rPr>
                <w:rFonts w:cs="Arial"/>
                <w:b/>
                <w:color w:val="0000FF"/>
              </w:rPr>
              <w:lastRenderedPageBreak/>
              <w:t>Rilievi</w:t>
            </w: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rPr>
                <w:rFonts w:cs="Arial"/>
              </w:rPr>
            </w:pPr>
            <w:hyperlink w:anchor="S15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Default="00EB0878" w:rsidP="00B26E1F">
            <w:pPr>
              <w:keepNext/>
              <w:spacing w:before="100" w:beforeAutospacing="1" w:after="100" w:afterAutospacing="1"/>
              <w:ind w:firstLine="0"/>
            </w:pPr>
            <w:hyperlink w:anchor="S15R" w:history="1">
              <w:r w:rsidR="000B33A8" w:rsidRPr="005B730E">
                <w:rPr>
                  <w:rStyle w:val="Collegamentoipertestuale"/>
                </w:rPr>
                <w:t>R</w:t>
              </w:r>
            </w:hyperlink>
            <w:r w:rsidR="000B33A8">
              <w:t xml:space="preserve"> - Raccomandazione</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rPr>
                <w:rFonts w:cs="Arial"/>
              </w:rPr>
            </w:pPr>
          </w:p>
        </w:tc>
      </w:tr>
    </w:tbl>
    <w:p w:rsidR="000B33A8" w:rsidRDefault="000B33A8" w:rsidP="000B33A8">
      <w:pPr>
        <w:ind w:firstLine="0"/>
      </w:pPr>
    </w:p>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sz w:val="24"/>
              </w:rPr>
            </w:pPr>
            <w:r w:rsidRPr="00B26E1F">
              <w:rPr>
                <w:rFonts w:cs="Arial"/>
                <w:i/>
                <w:sz w:val="24"/>
              </w:rPr>
              <w:t>Articolo 10, comma 3-</w:t>
            </w:r>
            <w:r w:rsidRPr="00B26E1F">
              <w:rPr>
                <w:rFonts w:cs="Arial"/>
                <w:sz w:val="24"/>
              </w:rPr>
              <w:t>bis</w:t>
            </w:r>
            <w:r w:rsidRPr="00B26E1F">
              <w:rPr>
                <w:rFonts w:cs="Arial"/>
                <w:i/>
                <w:sz w:val="24"/>
              </w:rPr>
              <w:t>, DPR n. 1092/1985; parere del Comitato in data 1/04/2014 su AC 1542-B.</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460" w:name="S15a01"/>
      <w:r w:rsidRPr="00B91F58">
        <w:rPr>
          <w:rFonts w:cs="Arial"/>
          <w:szCs w:val="22"/>
        </w:rPr>
        <w:t>1</w:t>
      </w:r>
      <w:bookmarkEnd w:id="460"/>
      <w:r w:rsidRPr="00B91F58">
        <w:rPr>
          <w:rFonts w:cs="Arial"/>
          <w:szCs w:val="22"/>
        </w:rPr>
        <w:t xml:space="preserve"> – </w:t>
      </w:r>
      <w:hyperlink w:anchor="premessa15" w:history="1">
        <w:r w:rsidRPr="00B91F58">
          <w:rPr>
            <w:rStyle w:val="Collegamentoipertestuale"/>
            <w:rFonts w:cs="Arial"/>
            <w:b/>
            <w:szCs w:val="22"/>
          </w:rPr>
          <w:t>Premessa</w:t>
        </w:r>
        <w:r w:rsidRPr="00B91F58">
          <w:rPr>
            <w:rStyle w:val="Collegamentoipertestuale"/>
            <w:rFonts w:cs="Arial"/>
            <w:szCs w:val="22"/>
          </w:rPr>
          <w:t>:</w:t>
        </w:r>
      </w:hyperlink>
      <w:r w:rsidRPr="004979E6">
        <w:rPr>
          <w:rStyle w:val="Collegamentoipertestuale"/>
          <w:rFonts w:cs="Arial"/>
          <w:szCs w:val="22"/>
        </w:rPr>
        <w:t xml:space="preserve"> </w:t>
      </w:r>
      <w:r w:rsidRPr="00B91F58">
        <w:rPr>
          <w:rFonts w:cs="Arial"/>
          <w:szCs w:val="22"/>
        </w:rPr>
        <w:t>«</w:t>
      </w:r>
      <w:r w:rsidRPr="000D6FC5">
        <w:rPr>
          <w:rFonts w:cs="Arial"/>
          <w:szCs w:val="22"/>
        </w:rPr>
        <w:t xml:space="preserve">appare meritevole di approfondimento la previsione del comma 189, sesto periodo, che consente alla Libera Università di Bolzano, previa intesa con il Ministero dell’istruzione, l’università e la ricerca, di ampliare la propria offerta formativa; tale previsione potrebbe infatti risultare </w:t>
      </w:r>
      <w:r w:rsidRPr="000D6FC5">
        <w:rPr>
          <w:rFonts w:cs="Arial"/>
          <w:b/>
          <w:szCs w:val="22"/>
        </w:rPr>
        <w:t>in contrasto con l’ordinamento universitario</w:t>
      </w:r>
      <w:r w:rsidRPr="000D6FC5">
        <w:rPr>
          <w:rFonts w:cs="Arial"/>
          <w:szCs w:val="22"/>
        </w:rPr>
        <w:t xml:space="preserve"> e, in particolare, con lo statuto della libera università, che attribuisce tale facoltà agli organi dell’università stessa</w:t>
      </w:r>
      <w:r w:rsidRPr="00B91F58">
        <w:rPr>
          <w:rFonts w:cs="Arial"/>
          <w:szCs w:val="22"/>
        </w:rPr>
        <w:t>»</w:t>
      </w:r>
      <w:r>
        <w:rPr>
          <w:rFonts w:cs="Arial"/>
          <w:szCs w:val="22"/>
        </w:rPr>
        <w:t xml:space="preserve"> </w:t>
      </w:r>
      <w:r w:rsidRPr="00B91F58">
        <w:rPr>
          <w:rFonts w:cs="Arial"/>
          <w:szCs w:val="22"/>
        </w:rPr>
        <w:t>(</w:t>
      </w:r>
      <w:hyperlink w:anchor="S15o01"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spacing w:before="100" w:beforeAutospacing="1" w:after="100" w:afterAutospacing="1" w:line="240" w:lineRule="auto"/>
        <w:ind w:firstLine="0"/>
        <w:jc w:val="left"/>
        <w:rPr>
          <w:rFonts w:cs="Arial"/>
          <w:szCs w:val="22"/>
        </w:rPr>
      </w:pPr>
    </w:p>
    <w:p w:rsidR="000B33A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461" w:name="S15a02"/>
      <w:r w:rsidRPr="00B91F58">
        <w:rPr>
          <w:rFonts w:cs="Arial"/>
          <w:szCs w:val="22"/>
        </w:rPr>
        <w:t xml:space="preserve">2 </w:t>
      </w:r>
      <w:bookmarkEnd w:id="461"/>
      <w:r w:rsidRPr="00B91F58">
        <w:rPr>
          <w:rFonts w:cs="Arial"/>
          <w:szCs w:val="22"/>
        </w:rPr>
        <w:t xml:space="preserve">– </w:t>
      </w:r>
      <w:hyperlink w:anchor="premessa1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0D6FC5">
        <w:rPr>
          <w:rFonts w:cs="Arial"/>
          <w:szCs w:val="22"/>
        </w:rPr>
        <w:t>a seguito della questione di fiducia posta al Senato, il provvedimento, composto di 26 articoli nel testo approvato in prima lettura dalla Camera, risulta ora di un unico articolo, di 212 commi; andrebbe in proposito valutata l’opportunità di dare applicazione a quanto previsto dall’</w:t>
      </w:r>
      <w:r w:rsidRPr="000D6FC5">
        <w:rPr>
          <w:rFonts w:cs="Arial"/>
          <w:b/>
          <w:szCs w:val="22"/>
        </w:rPr>
        <w:t>articolo 10, comma 3-</w:t>
      </w:r>
      <w:r w:rsidRPr="000D6FC5">
        <w:rPr>
          <w:rFonts w:cs="Arial"/>
          <w:b/>
          <w:i/>
          <w:szCs w:val="22"/>
        </w:rPr>
        <w:t>bis</w:t>
      </w:r>
      <w:r w:rsidRPr="000D6FC5">
        <w:rPr>
          <w:rFonts w:cs="Arial"/>
          <w:b/>
          <w:szCs w:val="22"/>
        </w:rPr>
        <w:t xml:space="preserve"> del testo unico sulla promulgazione degli atti normativi statali (DPR n. 1092/1985)</w:t>
      </w:r>
      <w:r w:rsidRPr="000D6FC5">
        <w:rPr>
          <w:rFonts w:cs="Arial"/>
          <w:szCs w:val="22"/>
        </w:rPr>
        <w:t xml:space="preserve"> in ordine alla possibilità, per la Presidenza del Consiglio, di predisporre, per la pubblicazione nella Gazzetta Ufficiale di una legge di particolare complessità, un testo corredato da sintetiche note a margine, stampate in modo caratteristico, che indichino in modo sommario il contenuto di singoli commi o di gruppi di essi; ciò in coerenza con quanto rilevato dal Comitato, nel </w:t>
      </w:r>
      <w:r w:rsidRPr="000D6FC5">
        <w:rPr>
          <w:rFonts w:cs="Arial"/>
          <w:b/>
          <w:szCs w:val="22"/>
        </w:rPr>
        <w:t>parere reso nella seduta del 1° aprile 2014 sul disegno di legge C. 1542-B</w:t>
      </w:r>
      <w:r w:rsidRPr="000D6FC5">
        <w:rPr>
          <w:rFonts w:cs="Arial"/>
          <w:szCs w:val="22"/>
        </w:rPr>
        <w:t xml:space="preserve"> (Disposizioni sulle Città metropolitane, sulle Province, sulle unioni e fusioni di Comuni)</w:t>
      </w:r>
      <w:r w:rsidRPr="00B91F58">
        <w:rPr>
          <w:rFonts w:cs="Arial"/>
          <w:szCs w:val="22"/>
        </w:rPr>
        <w:t>»</w:t>
      </w:r>
      <w:r>
        <w:rPr>
          <w:rFonts w:cs="Arial"/>
          <w:szCs w:val="22"/>
        </w:rPr>
        <w:t xml:space="preserve"> </w:t>
      </w:r>
      <w:r w:rsidRPr="00B91F58">
        <w:rPr>
          <w:rFonts w:cs="Arial"/>
          <w:szCs w:val="22"/>
        </w:rPr>
        <w:t>(</w:t>
      </w:r>
      <w:hyperlink r:id="rId357" w:anchor="S15r01" w:history="1">
        <w:r>
          <w:rPr>
            <w:rStyle w:val="Collegamentoipertestuale"/>
            <w:rFonts w:cs="Arial"/>
            <w:b/>
            <w:szCs w:val="22"/>
          </w:rPr>
          <w:t>conseguente raccomandazione</w:t>
        </w:r>
      </w:hyperlink>
      <w:r w:rsidRPr="00B91F58">
        <w:rPr>
          <w:rFonts w:cs="Arial"/>
          <w:szCs w:val="22"/>
        </w:rPr>
        <w:t>);</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462" w:name="S15a03"/>
      <w:r w:rsidRPr="00B91F58">
        <w:rPr>
          <w:rFonts w:cs="Arial"/>
          <w:szCs w:val="22"/>
        </w:rPr>
        <w:lastRenderedPageBreak/>
        <w:t>3</w:t>
      </w:r>
      <w:bookmarkEnd w:id="462"/>
      <w:r w:rsidRPr="00B91F58">
        <w:rPr>
          <w:rFonts w:cs="Arial"/>
          <w:szCs w:val="22"/>
        </w:rPr>
        <w:t xml:space="preserve"> – </w:t>
      </w:r>
      <w:hyperlink w:anchor="premessa1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460C65">
        <w:rPr>
          <w:rFonts w:cs="Arial"/>
          <w:szCs w:val="22"/>
        </w:rPr>
        <w:t xml:space="preserve">alcune disposizioni contengono </w:t>
      </w:r>
      <w:r w:rsidRPr="00460C65">
        <w:rPr>
          <w:rFonts w:cs="Arial"/>
          <w:b/>
          <w:szCs w:val="22"/>
        </w:rPr>
        <w:t>espressioni di dubbia portata normativa</w:t>
      </w:r>
      <w:r w:rsidRPr="00460C65">
        <w:rPr>
          <w:rFonts w:cs="Arial"/>
          <w:szCs w:val="22"/>
        </w:rPr>
        <w:t>; ciò vale in particolare per i richiami che, pur potendo risultare motivati dall’esigenza di precisare la portata dell’intervento riformatore operato dal provvedimento, appaiono pleonastici perché riferiti al principio generale dell’autonomia scolastica (commi 10, 78 e 187) ovvero a disposizioni legislative vigenti (a titolo esemplificativo si segnalano il comma 14, capoverso 3: “tenuto conto di quanto previsto dall’articolo 1, comma 334” della legge di stabilità 2015; il comma 47: “fermo restando il rispetto  dell’</w:t>
      </w:r>
      <w:r w:rsidRPr="00460C65">
        <w:rPr>
          <w:rFonts w:cs="Arial"/>
          <w:i/>
          <w:szCs w:val="22"/>
        </w:rPr>
        <w:t xml:space="preserve">iter </w:t>
      </w:r>
      <w:r w:rsidRPr="00460C65">
        <w:rPr>
          <w:rFonts w:cs="Arial"/>
          <w:szCs w:val="22"/>
        </w:rPr>
        <w:t>di autorizzazione”; il comma 69: “fermo restando quanto previsto dall’articolo 64, comma 6”, del decreto-legge n. 112/2008; il comma 78: “nel rispetto delle competenze degli organi collegiali”; il comma 93: “la valutazione dei dirigenti scolastici è effettuata ai sensi dell’articolo 25, comma 1” del decreto legislativo n. 165/2001; il comma 191: “Sono fatte salve le potestà attribuite alla provincia autonoma di Bolzano dallo statuto speciale e dalle relative norme di attuazione nonché ai sensi dell’articolo 10” della legge costituzionale n. 3/2001)</w:t>
      </w:r>
      <w:r>
        <w:rPr>
          <w:rFonts w:cs="Arial"/>
          <w:szCs w:val="22"/>
        </w:rPr>
        <w:t xml:space="preserve"> </w:t>
      </w:r>
      <w:r w:rsidRPr="00B91F58">
        <w:rPr>
          <w:rFonts w:cs="Arial"/>
          <w:szCs w:val="22"/>
        </w:rPr>
        <w:t>»</w:t>
      </w:r>
      <w:r>
        <w:rPr>
          <w:rFonts w:cs="Arial"/>
          <w:szCs w:val="22"/>
        </w:rPr>
        <w:t xml:space="preserve"> </w:t>
      </w:r>
      <w:r w:rsidRPr="00B91F58">
        <w:rPr>
          <w:rFonts w:cs="Arial"/>
          <w:szCs w:val="22"/>
        </w:rPr>
        <w:t>(</w:t>
      </w:r>
      <w:hyperlink w:anchor="S15o02"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463" w:name="S15a04"/>
      <w:r w:rsidRPr="00B91F58">
        <w:rPr>
          <w:rFonts w:cs="Arial"/>
          <w:szCs w:val="22"/>
        </w:rPr>
        <w:t xml:space="preserve">4 </w:t>
      </w:r>
      <w:bookmarkEnd w:id="463"/>
      <w:r w:rsidRPr="00B91F58">
        <w:rPr>
          <w:rFonts w:cs="Arial"/>
          <w:szCs w:val="22"/>
        </w:rPr>
        <w:t xml:space="preserve">– </w:t>
      </w:r>
      <w:hyperlink w:anchor="premessa1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460C65">
        <w:rPr>
          <w:rFonts w:cs="Arial"/>
          <w:szCs w:val="22"/>
        </w:rPr>
        <w:t xml:space="preserve">il comma 188 dell’articolo unico del provvedimento prevede, oltre all’adeguamento con legge provinciale della </w:t>
      </w:r>
      <w:r w:rsidRPr="00460C65">
        <w:rPr>
          <w:rFonts w:cs="Arial"/>
          <w:b/>
          <w:szCs w:val="22"/>
        </w:rPr>
        <w:t>provincia autonoma di Bolzano</w:t>
      </w:r>
      <w:r w:rsidRPr="00460C65">
        <w:rPr>
          <w:rFonts w:cs="Arial"/>
          <w:szCs w:val="22"/>
        </w:rPr>
        <w:t xml:space="preserve"> alla normativa statale sugli esami di Stato, l’adozione delle “</w:t>
      </w:r>
      <w:r w:rsidRPr="00460C65">
        <w:rPr>
          <w:rFonts w:cs="Arial"/>
          <w:b/>
          <w:szCs w:val="22"/>
        </w:rPr>
        <w:t>norme di attuazione delle predette disposizioni</w:t>
      </w:r>
      <w:r w:rsidRPr="00460C65">
        <w:rPr>
          <w:rFonts w:cs="Arial"/>
          <w:szCs w:val="22"/>
        </w:rPr>
        <w:t>” sentito il Ministero dell’istruzione, dell’università e della ricerca; in proposito non risulta chiaro se la procedura di consultazione del Ministero da parte della provincia riguardi la legge provinciale, ovvero la disciplina secondaria di attuazione della medesima legge, ipotesi quest’ultima che risulterebbe coerente con alcuni precedenti, sia pure risalenti (leggi della provincia autonoma di Bolzano nn.52/1975; 25/1976; 41/1976; leggi della provincia autonoma di Trento nn. 11/1992 e 5/2006)</w:t>
      </w:r>
      <w:r w:rsidRPr="00B91F58">
        <w:rPr>
          <w:rFonts w:cs="Arial"/>
          <w:szCs w:val="22"/>
        </w:rPr>
        <w:t>»</w:t>
      </w:r>
      <w:r>
        <w:rPr>
          <w:rFonts w:cs="Arial"/>
          <w:szCs w:val="22"/>
        </w:rPr>
        <w:t xml:space="preserve"> </w:t>
      </w:r>
      <w:r w:rsidRPr="00B91F58">
        <w:rPr>
          <w:rFonts w:cs="Arial"/>
          <w:szCs w:val="22"/>
        </w:rPr>
        <w:t>(</w:t>
      </w:r>
      <w:hyperlink w:anchor="S15o03" w:history="1">
        <w:r>
          <w:rPr>
            <w:rStyle w:val="Collegamentoipertestuale"/>
            <w:rFonts w:cs="Arial"/>
            <w:b/>
            <w:szCs w:val="22"/>
          </w:rPr>
          <w:t>conseguente osservazione</w:t>
        </w:r>
      </w:hyperlink>
      <w:r w:rsidRPr="00B91F58">
        <w:rPr>
          <w:rFonts w:cs="Arial"/>
          <w:szCs w:val="22"/>
        </w:rPr>
        <w:t>)</w:t>
      </w:r>
      <w:r>
        <w:rPr>
          <w:rFonts w:cs="Arial"/>
          <w:szCs w:val="22"/>
        </w:rPr>
        <w:t>;</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szCs w:val="22"/>
        </w:rPr>
      </w:pPr>
      <w:bookmarkStart w:id="464" w:name="S15O"/>
      <w:r>
        <w:rPr>
          <w:rFonts w:cs="Arial"/>
          <w:b/>
          <w:szCs w:val="22"/>
        </w:rPr>
        <w:t>Osserva</w:t>
      </w:r>
      <w:r w:rsidRPr="00B91F58">
        <w:rPr>
          <w:rFonts w:cs="Arial"/>
          <w:b/>
          <w:szCs w:val="22"/>
        </w:rPr>
        <w:t>zioni</w:t>
      </w:r>
      <w:r w:rsidRPr="00B91F58">
        <w:rPr>
          <w:rFonts w:cs="Arial"/>
          <w:szCs w:val="22"/>
        </w:rPr>
        <w:t>:</w:t>
      </w:r>
      <w:bookmarkEnd w:id="464"/>
      <w:r w:rsidRPr="00B91F58">
        <w:rPr>
          <w:rFonts w:cs="Arial"/>
          <w:szCs w:val="22"/>
        </w:rPr>
        <w:t xml:space="preserve"> </w:t>
      </w:r>
      <w:r>
        <w:rPr>
          <w:rFonts w:cs="Arial"/>
          <w:szCs w:val="22"/>
        </w:rPr>
        <w:br/>
      </w:r>
      <w:r w:rsidRPr="00C733BB">
        <w:rPr>
          <w:rFonts w:cs="Arial"/>
          <w:i/>
          <w:szCs w:val="22"/>
        </w:rPr>
        <w:t xml:space="preserve">sotto il profilo </w:t>
      </w:r>
      <w:r>
        <w:rPr>
          <w:rFonts w:cs="Arial"/>
          <w:i/>
          <w:szCs w:val="22"/>
        </w:rPr>
        <w:t>dell’efficacia del testo per la semplificazione e il riordinamento della legislazione vigente</w:t>
      </w:r>
      <w:r w:rsidRPr="00D249C1">
        <w:rPr>
          <w:rFonts w:cs="Arial"/>
          <w:i/>
          <w:szCs w:val="22"/>
        </w:rPr>
        <w:t>:</w:t>
      </w:r>
    </w:p>
    <w:p w:rsidR="000B33A8" w:rsidRPr="004979E6" w:rsidRDefault="000B33A8" w:rsidP="00B26E1F">
      <w:pPr>
        <w:pStyle w:val="Paragrafoelenco"/>
        <w:numPr>
          <w:ilvl w:val="0"/>
          <w:numId w:val="46"/>
        </w:numPr>
        <w:ind w:left="567" w:hanging="283"/>
        <w:rPr>
          <w:rStyle w:val="Collegamentoipertestuale"/>
          <w:rFonts w:cs="Arial"/>
          <w:szCs w:val="22"/>
        </w:rPr>
      </w:pPr>
      <w:bookmarkStart w:id="465" w:name="S15o01"/>
      <w:r w:rsidRPr="000D6FC5">
        <w:rPr>
          <w:rFonts w:cs="Arial"/>
          <w:szCs w:val="22"/>
        </w:rPr>
        <w:t xml:space="preserve">valuti la Commissione </w:t>
      </w:r>
      <w:bookmarkEnd w:id="465"/>
      <w:r w:rsidRPr="000D6FC5">
        <w:rPr>
          <w:rFonts w:cs="Arial"/>
          <w:szCs w:val="22"/>
        </w:rPr>
        <w:t>di merito, con riferimento al comma 189, sesto periodo, la coerenza tra la previsione per legge della possibilità di ampliare l’offerta formativa della libera università di Bolzano previa intesa con il Ministero dell’istruzione, l’università e la ricerca, da un lato, e l’ordinamento universitario e, in particolare, lo statuto della libera università, che attribuisce tale facoltà agli organi dell’università stessa, dall’altro lato</w:t>
      </w:r>
      <w:r>
        <w:rPr>
          <w:rFonts w:cs="Arial"/>
          <w:szCs w:val="22"/>
        </w:rPr>
        <w:t xml:space="preserve">; </w:t>
      </w:r>
      <w:hyperlink w:anchor="premessa15" w:history="1">
        <w:r w:rsidRPr="00D249C1">
          <w:rPr>
            <w:rStyle w:val="Collegamentoipertestuale"/>
            <w:rFonts w:cs="Arial"/>
            <w:szCs w:val="22"/>
          </w:rPr>
          <w:t>[torna su]</w:t>
        </w:r>
      </w:hyperlink>
      <w:r>
        <w:rPr>
          <w:rStyle w:val="Collegamentoipertestuale"/>
          <w:rFonts w:cs="Arial"/>
          <w:szCs w:val="22"/>
        </w:rPr>
        <w:t xml:space="preserve"> </w:t>
      </w:r>
    </w:p>
    <w:p w:rsidR="000B33A8" w:rsidRPr="00612F54" w:rsidRDefault="000B33A8" w:rsidP="000B33A8">
      <w:pPr>
        <w:pStyle w:val="Paragrafoelenco"/>
        <w:ind w:left="0" w:firstLine="0"/>
        <w:rPr>
          <w:rFonts w:cs="Arial"/>
          <w:i/>
          <w:szCs w:val="22"/>
        </w:rPr>
      </w:pPr>
      <w:r>
        <w:rPr>
          <w:rStyle w:val="Collegamentoipertestuale"/>
          <w:rFonts w:cs="Arial"/>
          <w:szCs w:val="22"/>
        </w:rPr>
        <w:lastRenderedPageBreak/>
        <w:br/>
      </w:r>
      <w:r w:rsidRPr="00612F54">
        <w:rPr>
          <w:rFonts w:cs="Arial"/>
          <w:i/>
          <w:szCs w:val="22"/>
        </w:rPr>
        <w:t>sotto il profilo della chiarezza e della proprietà della formulazione:</w:t>
      </w:r>
    </w:p>
    <w:p w:rsidR="000B33A8" w:rsidRPr="004979E6" w:rsidRDefault="000B33A8" w:rsidP="00B26E1F">
      <w:pPr>
        <w:pStyle w:val="Paragrafoelenco"/>
        <w:numPr>
          <w:ilvl w:val="0"/>
          <w:numId w:val="46"/>
        </w:numPr>
        <w:ind w:left="709" w:hanging="425"/>
        <w:rPr>
          <w:rStyle w:val="Collegamentoipertestuale"/>
          <w:rFonts w:cs="Arial"/>
          <w:szCs w:val="22"/>
        </w:rPr>
      </w:pPr>
      <w:bookmarkStart w:id="466" w:name="S15o02"/>
      <w:r w:rsidRPr="000D6FC5">
        <w:rPr>
          <w:rFonts w:cs="Arial"/>
          <w:szCs w:val="22"/>
        </w:rPr>
        <w:t xml:space="preserve">valuti la Commissione </w:t>
      </w:r>
      <w:bookmarkEnd w:id="466"/>
      <w:r w:rsidRPr="000D6FC5">
        <w:rPr>
          <w:rFonts w:cs="Arial"/>
          <w:szCs w:val="22"/>
        </w:rPr>
        <w:t>di merito l’opportunità del mantenimento nel testo delle disposizioni che, per le considerazioni esposte in premessa, potrebbero risultare pleonastiche</w:t>
      </w:r>
      <w:r w:rsidRPr="00CA7CAF">
        <w:rPr>
          <w:rFonts w:cs="Arial"/>
          <w:szCs w:val="22"/>
        </w:rPr>
        <w:t>;</w:t>
      </w:r>
      <w:r>
        <w:rPr>
          <w:rFonts w:cs="Arial"/>
          <w:szCs w:val="22"/>
        </w:rPr>
        <w:t xml:space="preserve"> </w:t>
      </w:r>
      <w:hyperlink w:anchor="premessa15" w:history="1">
        <w:r w:rsidRPr="00D249C1">
          <w:rPr>
            <w:rStyle w:val="Collegamentoipertestuale"/>
            <w:rFonts w:cs="Arial"/>
            <w:szCs w:val="22"/>
          </w:rPr>
          <w:t>[torna su]</w:t>
        </w:r>
      </w:hyperlink>
      <w:r>
        <w:rPr>
          <w:rStyle w:val="Collegamentoipertestuale"/>
          <w:rFonts w:cs="Arial"/>
          <w:szCs w:val="22"/>
        </w:rPr>
        <w:t xml:space="preserve"> </w:t>
      </w:r>
    </w:p>
    <w:p w:rsidR="000B33A8" w:rsidRPr="000D6FC5" w:rsidRDefault="000B33A8" w:rsidP="00B26E1F">
      <w:pPr>
        <w:pStyle w:val="Paragrafoelenco"/>
        <w:numPr>
          <w:ilvl w:val="0"/>
          <w:numId w:val="46"/>
        </w:numPr>
        <w:ind w:left="709" w:hanging="425"/>
        <w:rPr>
          <w:rFonts w:cs="Arial"/>
          <w:szCs w:val="22"/>
        </w:rPr>
      </w:pPr>
      <w:bookmarkStart w:id="467" w:name="S15o03"/>
      <w:r w:rsidRPr="000D6FC5">
        <w:t xml:space="preserve">valuti la Commissione </w:t>
      </w:r>
      <w:bookmarkEnd w:id="467"/>
      <w:r w:rsidRPr="000D6FC5">
        <w:t>di merito, con riferimento al comma 188, l’opportunità di chiarire se la procedura di consultazione del Ministero da parte della provincia riguardi la legge provinciale di cui al primo periodo ovvero la disciplina secondaria di attuazione della medesima legge</w:t>
      </w:r>
      <w:r>
        <w:t xml:space="preserve"> </w:t>
      </w:r>
      <w:hyperlink w:anchor="premessa15"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p>
    <w:p w:rsidR="000B33A8" w:rsidRDefault="000B33A8" w:rsidP="000B33A8">
      <w:pPr>
        <w:keepNext/>
        <w:ind w:firstLine="0"/>
        <w:rPr>
          <w:rFonts w:cs="Arial"/>
          <w:szCs w:val="22"/>
        </w:rPr>
      </w:pPr>
      <w:bookmarkStart w:id="468" w:name="S15R"/>
      <w:r>
        <w:rPr>
          <w:rFonts w:cs="Arial"/>
          <w:b/>
          <w:szCs w:val="22"/>
        </w:rPr>
        <w:t>Raccomandazione</w:t>
      </w:r>
      <w:bookmarkEnd w:id="468"/>
      <w:r w:rsidRPr="00B91F58">
        <w:rPr>
          <w:rFonts w:cs="Arial"/>
          <w:szCs w:val="22"/>
        </w:rPr>
        <w:t xml:space="preserve">: </w:t>
      </w:r>
      <w:r>
        <w:rPr>
          <w:rFonts w:cs="Arial"/>
          <w:szCs w:val="22"/>
        </w:rPr>
        <w:br/>
      </w:r>
      <w:r w:rsidRPr="000E73F2">
        <w:rPr>
          <w:rFonts w:cs="Arial"/>
          <w:i/>
          <w:szCs w:val="22"/>
        </w:rPr>
        <w:t xml:space="preserve">sotto il profilo </w:t>
      </w:r>
      <w:r>
        <w:rPr>
          <w:rFonts w:cs="Arial"/>
          <w:i/>
          <w:szCs w:val="22"/>
        </w:rPr>
        <w:t>dell’efficacia del testo per la semplificazione e il riordino della legislazione</w:t>
      </w:r>
      <w:r w:rsidRPr="00D249C1">
        <w:rPr>
          <w:rFonts w:cs="Arial"/>
          <w:i/>
          <w:szCs w:val="22"/>
        </w:rPr>
        <w:t>:</w:t>
      </w:r>
    </w:p>
    <w:p w:rsidR="000B33A8" w:rsidRPr="004979E6" w:rsidRDefault="000B33A8" w:rsidP="00B26E1F">
      <w:pPr>
        <w:pStyle w:val="Paragrafoelenco"/>
        <w:numPr>
          <w:ilvl w:val="0"/>
          <w:numId w:val="47"/>
        </w:numPr>
        <w:ind w:left="567" w:hanging="283"/>
        <w:rPr>
          <w:rStyle w:val="Collegamentoipertestuale"/>
          <w:rFonts w:cs="Arial"/>
          <w:szCs w:val="22"/>
        </w:rPr>
      </w:pPr>
      <w:bookmarkStart w:id="469" w:name="S15r01"/>
      <w:r w:rsidRPr="000D6FC5">
        <w:rPr>
          <w:rFonts w:cs="Arial"/>
          <w:szCs w:val="22"/>
        </w:rPr>
        <w:t xml:space="preserve">in presenza di </w:t>
      </w:r>
      <w:bookmarkEnd w:id="469"/>
      <w:r w:rsidRPr="000D6FC5">
        <w:rPr>
          <w:rFonts w:cs="Arial"/>
          <w:szCs w:val="22"/>
        </w:rPr>
        <w:t>provvedimenti con una struttura particolarmente complessa, composti da un solo articolo con numerosi commi (come è il caso del provvedimento in esame, composto da un solo articolo di 212 commi, spesso molto lunghi), sia valutata l'opportunità di segnalare all'Amministrazione competente l'applicazione, in sede di pubblicazione del provvedimento in Gazzetta Ufficiale, dell'articolo 10, comma 3-</w:t>
      </w:r>
      <w:r w:rsidRPr="000D6FC5">
        <w:rPr>
          <w:rFonts w:cs="Arial"/>
          <w:i/>
          <w:szCs w:val="22"/>
        </w:rPr>
        <w:t>bis</w:t>
      </w:r>
      <w:r w:rsidRPr="000D6FC5">
        <w:rPr>
          <w:rFonts w:cs="Arial"/>
          <w:szCs w:val="22"/>
        </w:rPr>
        <w:t>, del testo unico sulla pubblicazione degli atti normativi statali (DPR n.</w:t>
      </w:r>
      <w:r w:rsidRPr="000D6FC5">
        <w:rPr>
          <w:rFonts w:cs="Arial"/>
          <w:szCs w:val="22"/>
        </w:rPr>
        <w:t> </w:t>
      </w:r>
      <w:r w:rsidRPr="000D6FC5">
        <w:rPr>
          <w:rFonts w:cs="Arial"/>
          <w:szCs w:val="22"/>
        </w:rPr>
        <w:t>1092/1985), a norma del quale, «al fine di agevolare la lettura di una legge, decreto o altro atto normativo, i cui articoli risultino di particolare complessità in ragione dell'elevato numero di commi, la Presidenza del Consiglio dei ministri ne predispone, per la pubblicazione nella Gazzetta Ufficiale, un testo corredato da sintetiche note a margine, stampate in modo caratteristico, che indichino in modo sommario il contenuto di singoli commi o di gruppi di essi. Tale testo viene pubblicato in una data indicata contestualmente alla pubblicazione della legge o dell'atto normativo e, comunque, non oltre quindici giorni dalla pubblicazione stessa</w:t>
      </w:r>
      <w:r w:rsidRPr="00185920">
        <w:rPr>
          <w:rFonts w:cs="Arial"/>
          <w:szCs w:val="22"/>
        </w:rPr>
        <w:t>;</w:t>
      </w:r>
      <w:r>
        <w:rPr>
          <w:rFonts w:cs="Arial"/>
          <w:szCs w:val="22"/>
        </w:rPr>
        <w:t xml:space="preserve"> </w:t>
      </w:r>
      <w:hyperlink w:anchor="premessa15"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ind w:left="567" w:hanging="283"/>
        <w:rPr>
          <w:rFonts w:cs="Arial"/>
          <w:i/>
          <w:szCs w:val="22"/>
        </w:rPr>
      </w:pPr>
    </w:p>
    <w:p w:rsidR="000B33A8" w:rsidRDefault="000B33A8" w:rsidP="000B33A8">
      <w:pPr>
        <w:ind w:left="567" w:hanging="283"/>
        <w:rPr>
          <w:rFonts w:cs="Arial"/>
          <w:szCs w:val="22"/>
        </w:rPr>
        <w:sectPr w:rsidR="000B33A8" w:rsidSect="000B33A8">
          <w:headerReference w:type="default" r:id="rId358"/>
          <w:footerReference w:type="even" r:id="rId359"/>
          <w:footerReference w:type="default" r:id="rId360"/>
          <w:pgSz w:w="11906" w:h="16838" w:code="9"/>
          <w:pgMar w:top="1985" w:right="1985" w:bottom="1985" w:left="1985" w:header="1134" w:footer="1134" w:gutter="0"/>
          <w:cols w:space="720"/>
          <w:formProt w:val="0"/>
        </w:sectPr>
      </w:pPr>
    </w:p>
    <w:p w:rsidR="000B33A8" w:rsidRPr="00B91F58" w:rsidRDefault="000B33A8" w:rsidP="000B33A8">
      <w:pPr>
        <w:ind w:left="567" w:hanging="283"/>
        <w:rPr>
          <w:rFonts w:cs="Arial"/>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0016</w:t>
            </w:r>
          </w:p>
        </w:tc>
        <w:tc>
          <w:tcPr>
            <w:tcW w:w="750" w:type="pct"/>
            <w:shd w:val="clear" w:color="auto" w:fill="auto"/>
          </w:tcPr>
          <w:p w:rsidR="000B33A8" w:rsidRPr="00B26E1F" w:rsidRDefault="000B33A8" w:rsidP="000B33A8">
            <w:pPr>
              <w:pStyle w:val="Collegamento"/>
              <w:rPr>
                <w:rFonts w:cs="Arial"/>
              </w:rPr>
            </w:pPr>
            <w:r w:rsidRPr="00B26E1F">
              <w:rPr>
                <w:rFonts w:cs="Arial"/>
              </w:rPr>
              <w:t>3201</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61" w:history="1">
              <w:r w:rsidR="000B33A8" w:rsidRPr="00B26E1F">
                <w:rPr>
                  <w:rStyle w:val="Collegamentoipertestuale"/>
                  <w:rFonts w:cs="Arial"/>
                </w:rPr>
                <w:t>DL 83/2015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Fallimenti, modifiche al CC e CPC</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62" w:anchor="data.20150708.com48.bollettino.sede00010.tit00010" w:history="1">
              <w:r w:rsidR="000B33A8" w:rsidRPr="00440297">
                <w:rPr>
                  <w:rStyle w:val="Collegamentoipertestuale"/>
                </w:rPr>
                <w:t>08/07/2015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470" w:name="premessa16"/>
            <w:r w:rsidRPr="00B26E1F">
              <w:rPr>
                <w:rFonts w:cs="Arial"/>
                <w:b/>
                <w:color w:val="0000FF"/>
                <w:sz w:val="24"/>
                <w:szCs w:val="24"/>
              </w:rPr>
              <w:t>Premessa</w:t>
            </w:r>
            <w:bookmarkEnd w:id="470"/>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5 Condizioni, 5 Osservazioni</w:t>
            </w:r>
          </w:p>
        </w:tc>
      </w:tr>
      <w:tr w:rsidR="000B33A8" w:rsidRPr="008B2DCE" w:rsidTr="00B26E1F">
        <w:trPr>
          <w:trHeight w:val="84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6a01" w:history="1">
              <w:r w:rsidR="000B33A8" w:rsidRPr="00D40FBA">
                <w:rPr>
                  <w:rStyle w:val="Collegamentoipertestuale"/>
                </w:rPr>
                <w:t>1</w:t>
              </w:r>
            </w:hyperlink>
            <w:r w:rsidR="000B33A8" w:rsidRPr="00B26E1F">
              <w:rPr>
                <w:rFonts w:cs="Arial"/>
              </w:rPr>
              <w:t xml:space="preserve"> – Contenuto sostanzialmente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7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6a02" w:history="1">
              <w:r w:rsidR="000B33A8" w:rsidRPr="00812559">
                <w:rPr>
                  <w:rStyle w:val="Collegamentoipertestuale"/>
                </w:rPr>
                <w:t>2</w:t>
              </w:r>
            </w:hyperlink>
            <w:r w:rsidR="000B33A8" w:rsidRPr="00B26E1F">
              <w:rPr>
                <w:rFonts w:cs="Arial"/>
              </w:rPr>
              <w:t xml:space="preserve"> – </w:t>
            </w:r>
            <w:r w:rsidR="000B33A8" w:rsidRPr="007F5C83">
              <w:t>Coordinamento con le fonti normative vigenti:</w:t>
            </w:r>
            <w:r w:rsidR="000B33A8">
              <w:t xml:space="preserve"> stratificazione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6a03" w:history="1">
              <w:r w:rsidR="000B33A8" w:rsidRPr="00812559">
                <w:rPr>
                  <w:rStyle w:val="Collegamentoipertestuale"/>
                </w:rPr>
                <w:t>3</w:t>
              </w:r>
            </w:hyperlink>
            <w:r w:rsidR="000B33A8" w:rsidRPr="00B26E1F">
              <w:rPr>
                <w:rFonts w:cs="Arial"/>
              </w:rPr>
              <w:t xml:space="preserve"> – </w:t>
            </w:r>
            <w:r w:rsidR="000B33A8">
              <w:t>Riferimenti normativi indeterminati o generici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Utilizzo delle locuzioni “in quanto compatibili”, “fermo restando quanto disposto”, “secondo quanto previsto”, “secondo le modalità disposte”.</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6a04" w:history="1">
              <w:r w:rsidR="000B33A8" w:rsidRPr="006533B3">
                <w:rPr>
                  <w:rStyle w:val="Collegamentoipertestuale"/>
                </w:rPr>
                <w:t>4</w:t>
              </w:r>
            </w:hyperlink>
            <w:r w:rsidR="000B33A8">
              <w:t xml:space="preserve"> – Riferimenti normativi errati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6a05" w:history="1">
              <w:r w:rsidR="000B33A8" w:rsidRPr="006533B3">
                <w:rPr>
                  <w:rStyle w:val="Collegamentoipertestuale"/>
                </w:rPr>
                <w:t>5</w:t>
              </w:r>
            </w:hyperlink>
            <w:r w:rsidR="000B33A8">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2</w:t>
            </w:r>
          </w:p>
        </w:tc>
      </w:tr>
      <w:tr w:rsidR="000B33A8" w:rsidRPr="008B2DCE" w:rsidTr="00B26E1F">
        <w:trPr>
          <w:trHeight w:val="74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6a06" w:history="1">
              <w:r w:rsidR="000B33A8" w:rsidRPr="006533B3">
                <w:rPr>
                  <w:rStyle w:val="Collegamentoipertestuale"/>
                </w:rPr>
                <w:t>6</w:t>
              </w:r>
            </w:hyperlink>
            <w:r w:rsidR="000B33A8">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Condizione 2</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6a07" w:history="1">
              <w:r w:rsidR="000B33A8" w:rsidRPr="00DF4FA4">
                <w:rPr>
                  <w:rStyle w:val="Collegamentoipertestuale"/>
                </w:rPr>
                <w:t>7</w:t>
              </w:r>
            </w:hyperlink>
            <w:r w:rsidR="000B33A8">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Condizione 3</w:t>
            </w:r>
          </w:p>
        </w:tc>
      </w:tr>
    </w:tbl>
    <w:p w:rsidR="00FC05F5" w:rsidRDefault="00FC05F5"/>
    <w:tbl>
      <w:tblPr>
        <w:tblW w:w="5000" w:type="pct"/>
        <w:jc w:val="center"/>
        <w:tblLook w:val="01E0" w:firstRow="1" w:lastRow="1" w:firstColumn="1" w:lastColumn="1" w:noHBand="0" w:noVBand="0"/>
      </w:tblPr>
      <w:tblGrid>
        <w:gridCol w:w="4076"/>
        <w:gridCol w:w="4076"/>
      </w:tblGrid>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6a08" w:history="1">
              <w:r w:rsidR="000B33A8" w:rsidRPr="00DF4FA4">
                <w:rPr>
                  <w:rStyle w:val="Collegamentoipertestuale"/>
                </w:rPr>
                <w:t>8</w:t>
              </w:r>
            </w:hyperlink>
            <w:r w:rsidR="000B33A8">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Espressione non presente in atti di natura legislativa.</w:t>
            </w:r>
          </w:p>
          <w:p w:rsidR="000B33A8" w:rsidRPr="00B26E1F" w:rsidRDefault="000B33A8" w:rsidP="00B26E1F">
            <w:pPr>
              <w:spacing w:before="100" w:beforeAutospacing="1" w:after="100" w:afterAutospacing="1"/>
              <w:ind w:firstLine="0"/>
              <w:rPr>
                <w:rFonts w:cs="Arial"/>
              </w:rPr>
            </w:pPr>
            <w:r w:rsidRPr="00B26E1F">
              <w:rPr>
                <w:rFonts w:cs="Arial"/>
              </w:rPr>
              <w:t>Osservazione 3</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6a09" w:history="1">
              <w:r w:rsidR="000B33A8" w:rsidRPr="00DF4FA4">
                <w:rPr>
                  <w:rStyle w:val="Collegamentoipertestuale"/>
                </w:rPr>
                <w:t>9</w:t>
              </w:r>
            </w:hyperlink>
            <w:r w:rsidR="000B33A8">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Periodo ripetitivo di quanto già affermato in un periodo precedente.</w:t>
            </w:r>
          </w:p>
          <w:p w:rsidR="000B33A8" w:rsidRPr="00B26E1F" w:rsidRDefault="000B33A8" w:rsidP="00B26E1F">
            <w:pPr>
              <w:spacing w:before="100" w:beforeAutospacing="1" w:after="100" w:afterAutospacing="1"/>
              <w:ind w:firstLine="0"/>
              <w:rPr>
                <w:rFonts w:cs="Arial"/>
              </w:rPr>
            </w:pPr>
            <w:r w:rsidRPr="00B26E1F">
              <w:rPr>
                <w:rFonts w:cs="Arial"/>
              </w:rPr>
              <w:t>Condizione 4</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FC05F5">
            <w:pPr>
              <w:spacing w:before="100" w:beforeAutospacing="1" w:after="100" w:afterAutospacing="1"/>
              <w:ind w:firstLine="0"/>
            </w:pPr>
            <w:hyperlink w:anchor="S16a10" w:history="1">
              <w:r w:rsidR="000B33A8" w:rsidRPr="00DF4FA4">
                <w:rPr>
                  <w:rStyle w:val="Collegamentoipertestuale"/>
                </w:rPr>
                <w:t>10</w:t>
              </w:r>
            </w:hyperlink>
            <w:r w:rsidR="000B33A8">
              <w:t xml:space="preserve"> - </w:t>
            </w:r>
            <w:r w:rsidR="000B33A8" w:rsidRPr="007F5C83">
              <w:t>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4</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6a11" w:history="1">
              <w:r w:rsidR="000B33A8" w:rsidRPr="00DF4FA4">
                <w:rPr>
                  <w:rStyle w:val="Collegamentoipertestuale"/>
                </w:rPr>
                <w:t>11</w:t>
              </w:r>
            </w:hyperlink>
            <w:r w:rsidR="000B33A8">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5</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6a11bis" w:history="1">
              <w:r w:rsidR="000B33A8" w:rsidRPr="009B47EC">
                <w:rPr>
                  <w:rStyle w:val="Collegamentoipertestuale"/>
                </w:rPr>
                <w:t>11-</w:t>
              </w:r>
              <w:r w:rsidR="000B33A8" w:rsidRPr="00B26E1F">
                <w:rPr>
                  <w:rStyle w:val="Collegamentoipertestuale"/>
                  <w:i/>
                </w:rPr>
                <w:t>bis</w:t>
              </w:r>
            </w:hyperlink>
            <w:r w:rsidR="000B33A8">
              <w:t xml:space="preserve"> – Adempimenti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Perdita di efficacia di una disposizione in assenza di adempimento da essa stessa previsto</w:t>
            </w:r>
          </w:p>
          <w:p w:rsidR="000B33A8" w:rsidRPr="00B26E1F" w:rsidRDefault="000B33A8" w:rsidP="00B26E1F">
            <w:pPr>
              <w:spacing w:before="100" w:beforeAutospacing="1" w:after="100" w:afterAutospacing="1"/>
              <w:ind w:firstLine="0"/>
              <w:rPr>
                <w:rFonts w:cs="Arial"/>
              </w:rPr>
            </w:pPr>
            <w:r w:rsidRPr="00B26E1F">
              <w:rPr>
                <w:rFonts w:cs="Arial"/>
              </w:rPr>
              <w:t>Osservazione 5</w:t>
            </w:r>
          </w:p>
          <w:p w:rsidR="000B33A8" w:rsidRPr="00B26E1F" w:rsidRDefault="000B33A8" w:rsidP="00B26E1F">
            <w:pPr>
              <w:spacing w:before="100" w:beforeAutospacing="1" w:after="100" w:afterAutospacing="1"/>
              <w:ind w:firstLine="0"/>
              <w:rPr>
                <w:rFonts w:cs="Arial"/>
              </w:rPr>
            </w:pP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6a12" w:history="1">
              <w:r w:rsidR="000B33A8" w:rsidRPr="00DF4FA4">
                <w:rPr>
                  <w:rStyle w:val="Collegamentoipertestuale"/>
                </w:rPr>
                <w:t>12</w:t>
              </w:r>
            </w:hyperlink>
            <w:r w:rsidR="000B33A8">
              <w:t xml:space="preserve"> - Richiami normativi errati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Condizione 5</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6a13" w:history="1">
              <w:r w:rsidR="000B33A8">
                <w:rPr>
                  <w:rStyle w:val="Collegamentoipertestuale"/>
                </w:rPr>
                <w:t>13</w:t>
              </w:r>
            </w:hyperlink>
            <w:r w:rsidR="000B33A8">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Assenti. Manca il riferimento all’eventuale esenzione dall’AIR. Richiamo all’articolo 9 del DPCM n. 170/2008.</w:t>
            </w:r>
          </w:p>
        </w:tc>
      </w:tr>
    </w:tbl>
    <w:p w:rsidR="000B33A8" w:rsidRDefault="000B33A8" w:rsidP="000B33A8"/>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140" w:type="pct"/>
        <w:tblLook w:val="01E0" w:firstRow="1" w:lastRow="1" w:firstColumn="1" w:lastColumn="1" w:noHBand="0" w:noVBand="0"/>
      </w:tblPr>
      <w:tblGrid>
        <w:gridCol w:w="4190"/>
        <w:gridCol w:w="3962"/>
        <w:gridCol w:w="228"/>
      </w:tblGrid>
      <w:tr w:rsidR="000B33A8" w:rsidRPr="00A33B28" w:rsidTr="00FC05F5">
        <w:trPr>
          <w:gridAfter w:val="1"/>
          <w:wAfter w:w="136" w:type="pct"/>
        </w:trPr>
        <w:tc>
          <w:tcPr>
            <w:tcW w:w="4864"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3A04FD" w:rsidTr="00FC05F5">
        <w:trPr>
          <w:trHeight w:val="423"/>
        </w:trPr>
        <w:tc>
          <w:tcPr>
            <w:tcW w:w="2500" w:type="pct"/>
            <w:tcBorders>
              <w:top w:val="nil"/>
              <w:left w:val="nil"/>
              <w:bottom w:val="nil"/>
              <w:right w:val="nil"/>
            </w:tcBorders>
            <w:shd w:val="clear" w:color="auto" w:fill="auto"/>
          </w:tcPr>
          <w:p w:rsidR="000B33A8" w:rsidRDefault="00EB0878" w:rsidP="00FC05F5">
            <w:pPr>
              <w:keepNext/>
              <w:spacing w:before="100" w:beforeAutospacing="1" w:after="100" w:afterAutospacing="1"/>
              <w:ind w:firstLine="0"/>
              <w:jc w:val="left"/>
            </w:pPr>
            <w:hyperlink w:anchor="S16C" w:history="1">
              <w:r w:rsidR="000B33A8" w:rsidRPr="00DF4FA4">
                <w:rPr>
                  <w:rStyle w:val="Collegamentoipertestuale"/>
                </w:rPr>
                <w:t>C</w:t>
              </w:r>
            </w:hyperlink>
            <w:r w:rsidR="000B33A8">
              <w:t xml:space="preserve"> - Condizioni</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r w:rsidR="000B33A8" w:rsidRPr="003A04FD" w:rsidTr="00FC05F5">
        <w:trPr>
          <w:trHeight w:val="423"/>
        </w:trPr>
        <w:tc>
          <w:tcPr>
            <w:tcW w:w="2500" w:type="pct"/>
            <w:tcBorders>
              <w:top w:val="nil"/>
              <w:left w:val="nil"/>
              <w:bottom w:val="nil"/>
              <w:right w:val="nil"/>
            </w:tcBorders>
            <w:shd w:val="clear" w:color="auto" w:fill="auto"/>
          </w:tcPr>
          <w:p w:rsidR="000B33A8" w:rsidRPr="003A04FD" w:rsidRDefault="00EB0878" w:rsidP="000B33A8">
            <w:pPr>
              <w:keepNext/>
              <w:spacing w:before="100" w:beforeAutospacing="1" w:after="100" w:afterAutospacing="1"/>
              <w:ind w:firstLine="0"/>
              <w:jc w:val="left"/>
              <w:rPr>
                <w:rFonts w:cs="Arial"/>
              </w:rPr>
            </w:pPr>
            <w:hyperlink w:anchor="S16O" w:history="1">
              <w:r w:rsidR="000B33A8" w:rsidRPr="00852C73">
                <w:rPr>
                  <w:rStyle w:val="Collegamentoipertestuale"/>
                  <w:rFonts w:cs="Arial"/>
                </w:rPr>
                <w:t>O</w:t>
              </w:r>
            </w:hyperlink>
            <w:r w:rsidR="000B33A8" w:rsidRPr="003A04FD">
              <w:rPr>
                <w:rFonts w:cs="Arial"/>
              </w:rPr>
              <w:t xml:space="preserve"> - Osservazioni</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lastRenderedPageBreak/>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Articolo 9 del DPCM n. 170/2008.</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spacing w:after="120"/>
        <w:rPr>
          <w:rFonts w:cs="Arial"/>
          <w:szCs w:val="22"/>
        </w:rPr>
      </w:pPr>
      <w:bookmarkStart w:id="471" w:name="S16a01"/>
      <w:r w:rsidRPr="00B91F58">
        <w:rPr>
          <w:rFonts w:cs="Arial"/>
          <w:szCs w:val="22"/>
        </w:rPr>
        <w:t>1</w:t>
      </w:r>
      <w:bookmarkEnd w:id="471"/>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2D2C44">
        <w:rPr>
          <w:rStyle w:val="Collegamentoipertestuale"/>
          <w:rFonts w:cs="Arial"/>
          <w:szCs w:val="22"/>
        </w:rPr>
        <w:t xml:space="preserve"> </w:t>
      </w:r>
      <w:r w:rsidRPr="00B91F58">
        <w:rPr>
          <w:rFonts w:cs="Arial"/>
          <w:szCs w:val="22"/>
        </w:rPr>
        <w:t>«</w:t>
      </w:r>
      <w:r w:rsidRPr="003553AC">
        <w:rPr>
          <w:rFonts w:cs="Arial"/>
          <w:szCs w:val="22"/>
        </w:rPr>
        <w:t xml:space="preserve">il decreto-legge si compone di ventiquattro articoli, suddivisi in cinque titoli e reca un </w:t>
      </w:r>
      <w:r w:rsidRPr="003553AC">
        <w:rPr>
          <w:rFonts w:cs="Arial"/>
          <w:b/>
          <w:szCs w:val="22"/>
        </w:rPr>
        <w:t>contenuto sostanzialmente omogeneo</w:t>
      </w:r>
      <w:r w:rsidRPr="003553AC">
        <w:rPr>
          <w:rFonts w:cs="Arial"/>
          <w:szCs w:val="22"/>
        </w:rPr>
        <w:t>, volto a modificare la disciplina della legge fallimentare (R.D. n. 267/1942) e, in maniera connessa, quella del codice di procedura civile, nonché la normativa in materia di deducibilità delle perdite su crediti di enti creditizi, con la finalità unitaria di incentivare condotte virtuose da parte dei debitori e rafforzare l’erogazione della provvista finanziaria alle imprese in crisi; non appaiono riconducibili a tale finalità unitaria le disposizioni del titolo IV in materia di organizzazione giudiziaria, che infatti, tra le altre cose, prorogano la permanenza in servizio dei magistrati ordinari (art. 18) e abrogano disposizioni in materia di riorganizzazione dei TAR (art. 20); della presenza di tali disposizioni si dà tuttavia conto nel titolo del provvedimento e, sia pure in maniera estremamente succinta, nel preambolo</w:t>
      </w:r>
      <w:r w:rsidRPr="00B91F58">
        <w:rPr>
          <w:rFonts w:cs="Arial"/>
          <w:szCs w:val="22"/>
        </w:rPr>
        <w:t>»;</w:t>
      </w:r>
      <w:r>
        <w:rPr>
          <w:rFonts w:cs="Arial"/>
          <w:szCs w:val="22"/>
        </w:rPr>
        <w:t xml:space="preserve"> </w:t>
      </w:r>
    </w:p>
    <w:p w:rsidR="000B33A8" w:rsidRPr="00B91F58" w:rsidRDefault="000B33A8" w:rsidP="000B33A8">
      <w:pPr>
        <w:spacing w:after="120"/>
        <w:rPr>
          <w:rFonts w:cs="Arial"/>
          <w:szCs w:val="22"/>
        </w:rPr>
      </w:pPr>
    </w:p>
    <w:p w:rsidR="000B33A8" w:rsidRPr="00B91F58" w:rsidRDefault="000B33A8" w:rsidP="000B33A8">
      <w:pPr>
        <w:spacing w:after="120"/>
        <w:rPr>
          <w:rFonts w:cs="Arial"/>
          <w:szCs w:val="22"/>
        </w:rPr>
      </w:pPr>
    </w:p>
    <w:p w:rsidR="000B33A8" w:rsidRPr="00B91F58" w:rsidRDefault="000B33A8" w:rsidP="000B33A8">
      <w:pPr>
        <w:rPr>
          <w:rFonts w:cs="Arial"/>
          <w:szCs w:val="22"/>
        </w:rPr>
      </w:pPr>
      <w:bookmarkStart w:id="472" w:name="S16a02"/>
      <w:r w:rsidRPr="00B91F58">
        <w:rPr>
          <w:rFonts w:cs="Arial"/>
          <w:szCs w:val="22"/>
        </w:rPr>
        <w:t>2</w:t>
      </w:r>
      <w:bookmarkEnd w:id="472"/>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553AC">
        <w:t xml:space="preserve">il provvedimento interviene in una materia oggetto di una notevole </w:t>
      </w:r>
      <w:r w:rsidRPr="003553AC">
        <w:rPr>
          <w:b/>
        </w:rPr>
        <w:t>stratificazione normativa</w:t>
      </w:r>
      <w:r w:rsidRPr="003553AC">
        <w:t>, con un potenziale effetto di precarietà sulla certezza dei rapporti giuridici; infatti alcune novelle intervengono su disposizioni della legge fallimentare già più volte modificate negli ultimi anni: a titolo esemplificativo si segnala che l’articolo 4 modifica l’articolo 161 della legge fallimentare, che, negli ultimi anni è stato integralmente sostituito dall’articolo 2 del decreto-legge n. 32/2005 e poi modificato dal decreto legislativo n. 169/2007 e dai decreti legge n. 83/2012 e n. 69/2013</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473" w:name="S16a03"/>
      <w:r w:rsidRPr="00B91F58">
        <w:rPr>
          <w:rFonts w:cs="Arial"/>
          <w:szCs w:val="22"/>
        </w:rPr>
        <w:t>3</w:t>
      </w:r>
      <w:bookmarkEnd w:id="473"/>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553AC">
        <w:rPr>
          <w:rFonts w:cs="Arial"/>
          <w:szCs w:val="22"/>
        </w:rPr>
        <w:t xml:space="preserve">in numerose disposizioni del testo </w:t>
      </w:r>
      <w:r w:rsidRPr="003553AC">
        <w:rPr>
          <w:rFonts w:cs="Arial"/>
          <w:b/>
          <w:szCs w:val="22"/>
        </w:rPr>
        <w:t>compaiono riferimenti alla normativa vigente che potrebbero risultare indeterminati</w:t>
      </w:r>
      <w:r w:rsidRPr="003553AC">
        <w:rPr>
          <w:rFonts w:cs="Arial"/>
          <w:szCs w:val="22"/>
        </w:rPr>
        <w:t xml:space="preserve">, in quanto volti a rimettere all’interprete la portata del riferimento, ovvero ultronei, in quanto limitati a richiamare la vigenza della norma; si segnala in particolare l’utilizzo delle locuzioni “in quanto compatibili” (ad esempio nell’articolo 2, comma 1, capoverso art. 163-bis, quinto comma e comma 2, lettera c) e nell’articolo 11); “fermo restando quanto disposto” (ad esempio nell’articolo 3, comma 6, e nell’articolo 8, comma 1, lettera c); “secondo quanto previsto” o “secondo le </w:t>
      </w:r>
      <w:r w:rsidRPr="003553AC">
        <w:rPr>
          <w:rFonts w:cs="Arial"/>
          <w:szCs w:val="22"/>
        </w:rPr>
        <w:lastRenderedPageBreak/>
        <w:t>modalità disposte” (ad esempio nell’articolo 7, comma 1, lettera a)</w:t>
      </w:r>
      <w:r w:rsidRPr="00B91F58">
        <w:rPr>
          <w:rFonts w:cs="Arial"/>
          <w:szCs w:val="22"/>
        </w:rPr>
        <w:t>»</w:t>
      </w:r>
      <w:r>
        <w:rPr>
          <w:rFonts w:cs="Arial"/>
          <w:szCs w:val="22"/>
        </w:rPr>
        <w:t xml:space="preserve"> (</w:t>
      </w:r>
      <w:hyperlink w:anchor="S16o01" w:history="1">
        <w:r w:rsidRPr="006649D0">
          <w:rPr>
            <w:rStyle w:val="Collegamentoipertestuale"/>
            <w:rFonts w:cs="Arial"/>
            <w:b/>
            <w:szCs w:val="22"/>
          </w:rPr>
          <w:t>conseguente osservazione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474" w:name="S16a04"/>
      <w:r>
        <w:rPr>
          <w:rFonts w:cs="Arial"/>
          <w:szCs w:val="22"/>
        </w:rPr>
        <w:t>4</w:t>
      </w:r>
      <w:bookmarkEnd w:id="474"/>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553AC">
        <w:rPr>
          <w:rFonts w:cs="Arial"/>
          <w:szCs w:val="22"/>
        </w:rPr>
        <w:t>l’articolo 4, comma 1, contiene un erroneo riferimento al primo comma dell’articolo 161 della legge fallimentare, anziché al secondo</w:t>
      </w:r>
      <w:r w:rsidRPr="00B91F58">
        <w:rPr>
          <w:rFonts w:cs="Arial"/>
          <w:szCs w:val="22"/>
        </w:rPr>
        <w:t>»</w:t>
      </w:r>
      <w:r>
        <w:rPr>
          <w:rFonts w:cs="Arial"/>
          <w:szCs w:val="22"/>
        </w:rPr>
        <w:t xml:space="preserve"> (</w:t>
      </w:r>
      <w:hyperlink w:anchor="S16c01" w:history="1">
        <w:r>
          <w:rPr>
            <w:rStyle w:val="Collegamentoipertestuale"/>
            <w:rFonts w:cs="Arial"/>
            <w:b/>
            <w:szCs w:val="22"/>
          </w:rPr>
          <w:t>conseguente condizione</w:t>
        </w:r>
      </w:hyperlink>
      <w:r>
        <w:rPr>
          <w:rFonts w:cs="Arial"/>
          <w:szCs w:val="22"/>
        </w:rPr>
        <w:t xml:space="preserve">); </w:t>
      </w:r>
    </w:p>
    <w:p w:rsidR="000B33A8" w:rsidRDefault="000B33A8" w:rsidP="000B33A8">
      <w:pPr>
        <w:spacing w:after="120"/>
        <w:rPr>
          <w:rFonts w:cs="Arial"/>
          <w:szCs w:val="22"/>
        </w:rPr>
      </w:pPr>
    </w:p>
    <w:p w:rsidR="000B33A8" w:rsidRDefault="000B33A8" w:rsidP="000B33A8">
      <w:pPr>
        <w:spacing w:after="120"/>
        <w:rPr>
          <w:rFonts w:cs="Arial"/>
          <w:szCs w:val="22"/>
        </w:rPr>
      </w:pPr>
    </w:p>
    <w:p w:rsidR="000B33A8" w:rsidRPr="00B91F58" w:rsidRDefault="000B33A8" w:rsidP="000B33A8">
      <w:pPr>
        <w:spacing w:after="120"/>
        <w:rPr>
          <w:rFonts w:cs="Arial"/>
          <w:szCs w:val="22"/>
        </w:rPr>
      </w:pPr>
      <w:bookmarkStart w:id="475" w:name="S16a05"/>
      <w:r>
        <w:rPr>
          <w:rFonts w:cs="Arial"/>
          <w:szCs w:val="22"/>
        </w:rPr>
        <w:t>5</w:t>
      </w:r>
      <w:bookmarkEnd w:id="475"/>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553AC">
        <w:t xml:space="preserve">all’articolo 21, che integra il contenuto del comma 425 dell’articolo unico della legge di stabilità 2015 (L. n. 190/2014), </w:t>
      </w:r>
      <w:r w:rsidRPr="003553AC">
        <w:rPr>
          <w:b/>
        </w:rPr>
        <w:t>andrebbe chiarito</w:t>
      </w:r>
      <w:r w:rsidRPr="003553AC">
        <w:t xml:space="preserve"> se la previsione della destinazione all’amministrazione giudiziaria di un contingente massimo di 2000 unità di personale delle province e delle città metropolitane ricomprenda o meno la quota di personale che, già ai sensi del previgente comma 425, il dipartimento della funzione pubblica poteva destinare all’amministrazione giudiziaria, nell’ambito della redistribuzione tra le pubbliche amministrazioni dell’eccedenza di organico del personale delle province e delle città metropolitane</w:t>
      </w:r>
      <w:r w:rsidRPr="00B91F58">
        <w:rPr>
          <w:rFonts w:cs="Arial"/>
          <w:szCs w:val="22"/>
        </w:rPr>
        <w:t>»</w:t>
      </w:r>
      <w:r>
        <w:rPr>
          <w:rFonts w:cs="Arial"/>
          <w:szCs w:val="22"/>
        </w:rPr>
        <w:t xml:space="preserve"> (</w:t>
      </w:r>
      <w:hyperlink w:anchor="S16o02" w:history="1">
        <w:r w:rsidRPr="006649D0">
          <w:rPr>
            <w:rStyle w:val="Collegamentoipertestuale"/>
            <w:rFonts w:cs="Arial"/>
            <w:b/>
            <w:szCs w:val="22"/>
          </w:rPr>
          <w:t>conseguente osservazione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476" w:name="S16a06"/>
      <w:r>
        <w:rPr>
          <w:rFonts w:cs="Arial"/>
          <w:szCs w:val="22"/>
        </w:rPr>
        <w:t>6</w:t>
      </w:r>
      <w:bookmarkEnd w:id="476"/>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267D8">
        <w:t>all’articolo 23, il comma 4 sembra far decorrere l’efficacia delle specifiche tecniche concernenti i sistemi informativi automatizzati del Ministero della giustizia dalla loro pubblicazione sul sito Internet del Ministero della giustizia, mentre il comma 5 dell’articolo 20 del decreto-legge n. 132/2014, che non è oggetto di modifiche esplicite, prevede la pubblicazione di tali specifiche sulla “Gazzetta Ufficiale”</w:t>
      </w:r>
      <w:r w:rsidRPr="00B91F58">
        <w:rPr>
          <w:rFonts w:cs="Arial"/>
          <w:szCs w:val="22"/>
        </w:rPr>
        <w:t>»</w:t>
      </w:r>
      <w:r>
        <w:rPr>
          <w:rFonts w:cs="Arial"/>
          <w:szCs w:val="22"/>
        </w:rPr>
        <w:t>; (</w:t>
      </w:r>
      <w:hyperlink w:anchor="S16c02" w:history="1">
        <w:r>
          <w:rPr>
            <w:rStyle w:val="Collegamentoipertestuale"/>
            <w:rFonts w:cs="Arial"/>
            <w:b/>
            <w:szCs w:val="22"/>
          </w:rPr>
          <w:t>conseguente condizione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477" w:name="S16a07"/>
      <w:r>
        <w:rPr>
          <w:rFonts w:cs="Arial"/>
          <w:szCs w:val="22"/>
        </w:rPr>
        <w:t>7</w:t>
      </w:r>
      <w:bookmarkEnd w:id="477"/>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2B3DD3">
        <w:rPr>
          <w:rFonts w:cs="Arial"/>
          <w:szCs w:val="22"/>
        </w:rPr>
        <w:t>il comma 11 dell’articolo 23 prevede che la disciplina in materia di vendita per incanto, introdotta dall’articolo 19, comma 1, del decreto-legge n. 132/2014, si applichi anche ai procedimenti pendenti all’11 novembre 2014, data di entrata in vigore della legge di conversione del decreto (L. n. 162/2014); al tempo stesso, il citato articolo 19 prevede, al comma 6-</w:t>
      </w:r>
      <w:r w:rsidRPr="002B3DD3">
        <w:rPr>
          <w:rFonts w:cs="Arial"/>
          <w:i/>
          <w:szCs w:val="22"/>
        </w:rPr>
        <w:t>bis</w:t>
      </w:r>
      <w:r w:rsidRPr="002B3DD3">
        <w:rPr>
          <w:rFonts w:cs="Arial"/>
          <w:szCs w:val="22"/>
        </w:rPr>
        <w:t>, che la medesima disciplina si applichi ai procedimenti avviati a partire dall’11 dicembre 2014 (trenta giorni dopo l’entrata in vigore della legge di conversione); occorre pertanto chiarire quale sia la disciplina applicabile ai procedimenti avviati tra l’11 novembre e l’11 dicembre 2014 e quale sia l’impatto della disposizione sugli atti già posti in essere medio tempore nei procedimenti già pendenti all’11 novembre 2014</w:t>
      </w:r>
      <w:r w:rsidRPr="00B91F58">
        <w:rPr>
          <w:rFonts w:cs="Arial"/>
          <w:szCs w:val="22"/>
        </w:rPr>
        <w:t>»</w:t>
      </w:r>
      <w:r>
        <w:rPr>
          <w:rFonts w:cs="Arial"/>
          <w:szCs w:val="22"/>
        </w:rPr>
        <w:t xml:space="preserve"> (</w:t>
      </w:r>
      <w:hyperlink w:anchor="S16c03" w:history="1">
        <w:r>
          <w:rPr>
            <w:rStyle w:val="Collegamentoipertestuale"/>
            <w:rFonts w:cs="Arial"/>
            <w:b/>
            <w:szCs w:val="22"/>
          </w:rPr>
          <w:t>conseguente condizione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478" w:name="S16a08"/>
      <w:r>
        <w:rPr>
          <w:rFonts w:cs="Arial"/>
          <w:szCs w:val="22"/>
        </w:rPr>
        <w:t>8</w:t>
      </w:r>
      <w:bookmarkEnd w:id="478"/>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2B3DD3">
        <w:rPr>
          <w:rFonts w:cs="Arial"/>
          <w:szCs w:val="22"/>
        </w:rPr>
        <w:t xml:space="preserve">l’articolo 1, comma 1, lettera </w:t>
      </w:r>
      <w:r w:rsidRPr="002B3DD3">
        <w:rPr>
          <w:rFonts w:cs="Arial"/>
          <w:i/>
          <w:szCs w:val="22"/>
        </w:rPr>
        <w:t>b)</w:t>
      </w:r>
      <w:r w:rsidRPr="002B3DD3">
        <w:rPr>
          <w:rFonts w:cs="Arial"/>
          <w:szCs w:val="22"/>
        </w:rPr>
        <w:t xml:space="preserve"> fa riferimento, tra le altre cose, anche alle </w:t>
      </w:r>
      <w:r w:rsidRPr="002B3DD3">
        <w:rPr>
          <w:rFonts w:cs="Arial"/>
          <w:i/>
          <w:szCs w:val="22"/>
        </w:rPr>
        <w:t>“linee di credito autoliquidanti”</w:t>
      </w:r>
      <w:r w:rsidRPr="002B3DD3">
        <w:rPr>
          <w:rFonts w:cs="Arial"/>
          <w:szCs w:val="22"/>
        </w:rPr>
        <w:t>, fattispecie per la quale risulta rinvenibile una definizione solo in atti di natura non legislativa quali le circolari di vigilanza della Banca d’Italia</w:t>
      </w:r>
      <w:r w:rsidRPr="00B91F58">
        <w:rPr>
          <w:rFonts w:cs="Arial"/>
          <w:szCs w:val="22"/>
        </w:rPr>
        <w:t>»</w:t>
      </w:r>
      <w:r>
        <w:rPr>
          <w:rFonts w:cs="Arial"/>
          <w:szCs w:val="22"/>
        </w:rPr>
        <w:t xml:space="preserve"> (</w:t>
      </w:r>
      <w:hyperlink w:anchor="S16o03" w:history="1">
        <w:r w:rsidRPr="006649D0">
          <w:rPr>
            <w:rStyle w:val="Collegamentoipertestuale"/>
            <w:rFonts w:cs="Arial"/>
            <w:b/>
            <w:szCs w:val="22"/>
          </w:rPr>
          <w:t>conseguente osservazione</w:t>
        </w:r>
      </w:hyperlink>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479" w:name="S16a09"/>
      <w:r>
        <w:rPr>
          <w:rFonts w:cs="Arial"/>
          <w:szCs w:val="22"/>
        </w:rPr>
        <w:t>9</w:t>
      </w:r>
      <w:bookmarkEnd w:id="479"/>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2B3DD3">
        <w:rPr>
          <w:rFonts w:cs="Arial"/>
          <w:szCs w:val="22"/>
        </w:rPr>
        <w:t>all’articolo 2, capoverso Art. 163-</w:t>
      </w:r>
      <w:r w:rsidRPr="002B3DD3">
        <w:rPr>
          <w:rFonts w:cs="Arial"/>
          <w:i/>
          <w:szCs w:val="22"/>
        </w:rPr>
        <w:t>bis</w:t>
      </w:r>
      <w:r w:rsidRPr="002B3DD3">
        <w:rPr>
          <w:rFonts w:cs="Arial"/>
          <w:szCs w:val="22"/>
        </w:rPr>
        <w:t xml:space="preserve">, nel primo comma il quarto periodo appare </w:t>
      </w:r>
      <w:r w:rsidRPr="002B3DD3">
        <w:rPr>
          <w:rFonts w:cs="Arial"/>
          <w:b/>
          <w:szCs w:val="22"/>
        </w:rPr>
        <w:t>ultroneo in quanto meramente ripetitivo</w:t>
      </w:r>
      <w:r w:rsidRPr="002B3DD3">
        <w:rPr>
          <w:rFonts w:cs="Arial"/>
          <w:szCs w:val="22"/>
        </w:rPr>
        <w:t xml:space="preserve"> di quanto già affermato al secondo periodo</w:t>
      </w:r>
      <w:r w:rsidRPr="00B91F58">
        <w:rPr>
          <w:rFonts w:cs="Arial"/>
          <w:szCs w:val="22"/>
        </w:rPr>
        <w:t>»</w:t>
      </w:r>
      <w:r>
        <w:rPr>
          <w:rFonts w:cs="Arial"/>
          <w:szCs w:val="22"/>
        </w:rPr>
        <w:t xml:space="preserve"> (</w:t>
      </w:r>
      <w:hyperlink w:anchor="S16c04" w:history="1">
        <w:r>
          <w:rPr>
            <w:rStyle w:val="Collegamentoipertestuale"/>
            <w:rFonts w:cs="Arial"/>
            <w:b/>
            <w:szCs w:val="22"/>
          </w:rPr>
          <w:t>conseguente condizione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480" w:name="S16a10"/>
      <w:r>
        <w:rPr>
          <w:rFonts w:cs="Arial"/>
          <w:szCs w:val="22"/>
        </w:rPr>
        <w:t>10</w:t>
      </w:r>
      <w:bookmarkEnd w:id="480"/>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33B99">
        <w:rPr>
          <w:rFonts w:cs="Arial"/>
          <w:szCs w:val="22"/>
        </w:rPr>
        <w:t xml:space="preserve">all’articolo 6, comma 1, lettera </w:t>
      </w:r>
      <w:r w:rsidRPr="00733B99">
        <w:rPr>
          <w:rFonts w:cs="Arial"/>
          <w:i/>
          <w:szCs w:val="22"/>
        </w:rPr>
        <w:t>d)</w:t>
      </w:r>
      <w:r w:rsidRPr="00733B99">
        <w:rPr>
          <w:rFonts w:cs="Arial"/>
          <w:szCs w:val="22"/>
        </w:rPr>
        <w:t>, che modifica l’articolo 104-</w:t>
      </w:r>
      <w:r w:rsidRPr="00733B99">
        <w:rPr>
          <w:rFonts w:cs="Arial"/>
          <w:i/>
          <w:szCs w:val="22"/>
        </w:rPr>
        <w:t>ter</w:t>
      </w:r>
      <w:r w:rsidRPr="00733B99">
        <w:rPr>
          <w:rFonts w:cs="Arial"/>
          <w:szCs w:val="22"/>
        </w:rPr>
        <w:t xml:space="preserve"> della legge fallimentare, l’inserimento del rinvio all’articolo 107 della medesima legge potrebbe rendere </w:t>
      </w:r>
      <w:r w:rsidRPr="00733B99">
        <w:rPr>
          <w:rFonts w:cs="Arial"/>
          <w:b/>
          <w:szCs w:val="22"/>
        </w:rPr>
        <w:t>ultronea la previsione</w:t>
      </w:r>
      <w:r w:rsidRPr="00733B99">
        <w:rPr>
          <w:rFonts w:cs="Arial"/>
          <w:szCs w:val="22"/>
        </w:rPr>
        <w:t xml:space="preserve"> del coinvolgimento di società specializzate nel programma di liquidazione dei beni dei falliti, posto che il citato articolo 107 già prevede il coinvolgime</w:t>
      </w:r>
      <w:r>
        <w:rPr>
          <w:rFonts w:cs="Arial"/>
          <w:szCs w:val="22"/>
        </w:rPr>
        <w:t>nto di “soggetti specializzati”</w:t>
      </w:r>
      <w:r w:rsidRPr="00B91F58">
        <w:rPr>
          <w:rFonts w:cs="Arial"/>
          <w:szCs w:val="22"/>
        </w:rPr>
        <w:t>»</w:t>
      </w:r>
      <w:r>
        <w:rPr>
          <w:rFonts w:cs="Arial"/>
          <w:szCs w:val="22"/>
        </w:rPr>
        <w:t xml:space="preserve"> (</w:t>
      </w:r>
      <w:hyperlink w:anchor="S16o04" w:history="1">
        <w:r w:rsidRPr="006649D0">
          <w:rPr>
            <w:rStyle w:val="Collegamentoipertestuale"/>
            <w:rFonts w:cs="Arial"/>
            <w:b/>
            <w:szCs w:val="22"/>
          </w:rPr>
          <w:t>conseguente osservazione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481" w:name="S16a11"/>
      <w:r>
        <w:rPr>
          <w:rFonts w:cs="Arial"/>
          <w:szCs w:val="22"/>
        </w:rPr>
        <w:t>11</w:t>
      </w:r>
      <w:bookmarkEnd w:id="481"/>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33B99">
        <w:rPr>
          <w:rFonts w:cs="Arial"/>
          <w:szCs w:val="22"/>
        </w:rPr>
        <w:t>all’articolo 14, comma 1, il numero 2), attraverso una modifica dell’articolo 155-</w:t>
      </w:r>
      <w:r w:rsidRPr="00733B99">
        <w:rPr>
          <w:rFonts w:cs="Arial"/>
          <w:i/>
          <w:szCs w:val="22"/>
        </w:rPr>
        <w:t>quinquies</w:t>
      </w:r>
      <w:r w:rsidRPr="00733B99">
        <w:rPr>
          <w:rFonts w:cs="Arial"/>
          <w:szCs w:val="22"/>
        </w:rPr>
        <w:t xml:space="preserve"> delle disposizioni attuative del codice di procedura civile, prevede che l’accesso diretto, in determinate circostanze, da parte del creditore alle informazioni contenute nelle banche dati dei beni da pignorare sia possibile “anche sino” all’entrata in vigore di uno specifico decreto dirigenziale del Ministero della giustizia; in proposito occorre chiarire la </w:t>
      </w:r>
      <w:r w:rsidRPr="00733B99">
        <w:rPr>
          <w:rFonts w:cs="Arial"/>
          <w:b/>
          <w:szCs w:val="22"/>
        </w:rPr>
        <w:t>portata normativa della locuzione “anche sino”</w:t>
      </w:r>
      <w:r w:rsidRPr="00B91F58">
        <w:rPr>
          <w:rFonts w:cs="Arial"/>
          <w:szCs w:val="22"/>
        </w:rPr>
        <w:t>»</w:t>
      </w:r>
      <w:r>
        <w:rPr>
          <w:rFonts w:cs="Arial"/>
          <w:szCs w:val="22"/>
        </w:rPr>
        <w:t xml:space="preserve"> (</w:t>
      </w:r>
      <w:hyperlink w:anchor="S16o05" w:history="1">
        <w:r w:rsidRPr="006649D0">
          <w:rPr>
            <w:rStyle w:val="Collegamentoipertestuale"/>
            <w:rFonts w:cs="Arial"/>
            <w:b/>
            <w:szCs w:val="22"/>
          </w:rPr>
          <w:t>conseguente osservazione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482" w:name="S16a11bis"/>
      <w:r>
        <w:rPr>
          <w:rFonts w:cs="Arial"/>
          <w:szCs w:val="22"/>
        </w:rPr>
        <w:t>11-</w:t>
      </w:r>
      <w:r>
        <w:rPr>
          <w:rFonts w:cs="Arial"/>
          <w:i/>
          <w:szCs w:val="22"/>
        </w:rPr>
        <w:t>bis</w:t>
      </w:r>
      <w:r w:rsidRPr="00B91F58">
        <w:rPr>
          <w:rFonts w:cs="Arial"/>
          <w:szCs w:val="22"/>
        </w:rPr>
        <w:t xml:space="preserve"> </w:t>
      </w:r>
      <w:bookmarkEnd w:id="482"/>
      <w:r w:rsidRPr="00B91F58">
        <w:rPr>
          <w:rFonts w:cs="Arial"/>
          <w:szCs w:val="22"/>
        </w:rPr>
        <w:t xml:space="preserve">–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33B99">
        <w:rPr>
          <w:rFonts w:cs="Arial"/>
          <w:szCs w:val="22"/>
        </w:rPr>
        <w:t xml:space="preserve">occorre inoltre chiarire la </w:t>
      </w:r>
      <w:r w:rsidRPr="00733B99">
        <w:rPr>
          <w:rFonts w:cs="Arial"/>
          <w:i/>
          <w:szCs w:val="22"/>
        </w:rPr>
        <w:t>ratio</w:t>
      </w:r>
      <w:r w:rsidRPr="00733B99">
        <w:rPr>
          <w:rFonts w:cs="Arial"/>
          <w:szCs w:val="22"/>
        </w:rPr>
        <w:t xml:space="preserve"> dell’ultimo periodo della disposizione che prevede che la norma perda efficacia se il decreto dirigenziale non risulti adottato entro dodici mesi dalla data di entrata in vigore della legge di conversione</w:t>
      </w:r>
      <w:r w:rsidRPr="00B91F58">
        <w:rPr>
          <w:rFonts w:cs="Arial"/>
          <w:szCs w:val="22"/>
        </w:rPr>
        <w:t>»</w:t>
      </w:r>
      <w:r>
        <w:rPr>
          <w:rFonts w:cs="Arial"/>
          <w:szCs w:val="22"/>
        </w:rPr>
        <w:t xml:space="preserve"> (</w:t>
      </w:r>
      <w:hyperlink w:anchor="S16o05" w:history="1">
        <w:r w:rsidRPr="006649D0">
          <w:rPr>
            <w:rStyle w:val="Collegamentoipertestuale"/>
            <w:rFonts w:cs="Arial"/>
            <w:b/>
            <w:szCs w:val="22"/>
          </w:rPr>
          <w:t>conseguente osservazione</w:t>
        </w:r>
      </w:hyperlink>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483" w:name="S16a12"/>
      <w:r>
        <w:rPr>
          <w:rFonts w:cs="Arial"/>
          <w:szCs w:val="22"/>
        </w:rPr>
        <w:t>12</w:t>
      </w:r>
      <w:r w:rsidRPr="00B91F58">
        <w:rPr>
          <w:rFonts w:cs="Arial"/>
          <w:szCs w:val="22"/>
        </w:rPr>
        <w:t xml:space="preserve"> </w:t>
      </w:r>
      <w:bookmarkEnd w:id="483"/>
      <w:r w:rsidRPr="00B91F58">
        <w:rPr>
          <w:rFonts w:cs="Arial"/>
          <w:szCs w:val="22"/>
        </w:rPr>
        <w:t xml:space="preserve">–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33B99">
        <w:rPr>
          <w:rFonts w:cs="Arial"/>
          <w:szCs w:val="22"/>
        </w:rPr>
        <w:t xml:space="preserve">l’articolo 23, comma 6, contiene un erroneo riferimento ad un’inesistente lettera </w:t>
      </w:r>
      <w:r w:rsidRPr="00733B99">
        <w:rPr>
          <w:rFonts w:cs="Arial"/>
          <w:i/>
          <w:szCs w:val="22"/>
        </w:rPr>
        <w:t>b)</w:t>
      </w:r>
      <w:r w:rsidRPr="00733B99">
        <w:rPr>
          <w:rFonts w:cs="Arial"/>
          <w:szCs w:val="22"/>
        </w:rPr>
        <w:t xml:space="preserve"> del comma 1 dell’articolo 12</w:t>
      </w:r>
      <w:r w:rsidRPr="00B91F58">
        <w:rPr>
          <w:rFonts w:cs="Arial"/>
          <w:szCs w:val="22"/>
        </w:rPr>
        <w:t>»</w:t>
      </w:r>
      <w:r>
        <w:rPr>
          <w:rFonts w:cs="Arial"/>
          <w:szCs w:val="22"/>
        </w:rPr>
        <w:t xml:space="preserve"> (</w:t>
      </w:r>
      <w:hyperlink w:anchor="S16c05" w:history="1">
        <w:r>
          <w:rPr>
            <w:rStyle w:val="Collegamentoipertestuale"/>
            <w:rFonts w:cs="Arial"/>
            <w:b/>
            <w:szCs w:val="22"/>
          </w:rPr>
          <w:t>conseguente condizione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484" w:name="S16a13"/>
      <w:r>
        <w:rPr>
          <w:rFonts w:cs="Arial"/>
          <w:szCs w:val="22"/>
        </w:rPr>
        <w:t>13</w:t>
      </w:r>
      <w:bookmarkEnd w:id="484"/>
      <w:r w:rsidRPr="00B91F58">
        <w:rPr>
          <w:rFonts w:cs="Arial"/>
          <w:szCs w:val="22"/>
        </w:rPr>
        <w:t xml:space="preserve"> – </w:t>
      </w:r>
      <w:hyperlink w:anchor="premessa1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33B99">
        <w:rPr>
          <w:rFonts w:cs="Arial"/>
          <w:szCs w:val="22"/>
        </w:rPr>
        <w:t>il disegno di legge di conversione non è corredato né dell’analisi tecnico-normativa (</w:t>
      </w:r>
      <w:r w:rsidRPr="00733B99">
        <w:rPr>
          <w:rFonts w:cs="Arial"/>
          <w:b/>
          <w:szCs w:val="22"/>
        </w:rPr>
        <w:t>ATN</w:t>
      </w:r>
      <w:r w:rsidRPr="00733B99">
        <w:rPr>
          <w:rFonts w:cs="Arial"/>
          <w:szCs w:val="22"/>
        </w:rPr>
        <w:t xml:space="preserve">) né dell’analisi sull’impatto della </w:t>
      </w:r>
      <w:r w:rsidRPr="00733B99">
        <w:rPr>
          <w:rFonts w:cs="Arial"/>
          <w:szCs w:val="22"/>
        </w:rPr>
        <w:lastRenderedPageBreak/>
        <w:t>regolamentazione (</w:t>
      </w:r>
      <w:r w:rsidRPr="00733B99">
        <w:rPr>
          <w:rFonts w:cs="Arial"/>
          <w:b/>
          <w:szCs w:val="22"/>
        </w:rPr>
        <w:t>AIR</w:t>
      </w:r>
      <w:r w:rsidRPr="00733B99">
        <w:rPr>
          <w:rFonts w:cs="Arial"/>
          <w:szCs w:val="22"/>
        </w:rPr>
        <w:t>), senza che nella relazione illustrativa si riferisca in merito all’eventuale esenzione dall’obbligo di redigerla, in difformità dunque da quanto statuito dall’articolo 9 del DPCM n. 170/2008</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FC05F5" w:rsidRDefault="00FC05F5" w:rsidP="000B33A8">
      <w:pPr>
        <w:rPr>
          <w:rFonts w:cs="Arial"/>
          <w:szCs w:val="22"/>
        </w:rPr>
      </w:pPr>
    </w:p>
    <w:p w:rsidR="000B33A8" w:rsidRPr="00CC2FFB" w:rsidRDefault="000B33A8" w:rsidP="000B33A8">
      <w:pPr>
        <w:keepNext/>
        <w:ind w:firstLine="0"/>
        <w:rPr>
          <w:rFonts w:cs="Arial"/>
          <w:b/>
          <w:szCs w:val="22"/>
        </w:rPr>
      </w:pPr>
      <w:bookmarkStart w:id="485" w:name="S16C"/>
      <w:r>
        <w:rPr>
          <w:rFonts w:cs="Arial"/>
          <w:b/>
          <w:szCs w:val="22"/>
        </w:rPr>
        <w:t>Condi</w:t>
      </w:r>
      <w:r w:rsidRPr="00CC2FFB">
        <w:rPr>
          <w:rFonts w:cs="Arial"/>
          <w:b/>
          <w:szCs w:val="22"/>
        </w:rPr>
        <w:t>zioni</w:t>
      </w:r>
      <w:bookmarkEnd w:id="485"/>
      <w:r w:rsidRPr="00CC2FFB">
        <w:rPr>
          <w:rFonts w:cs="Arial"/>
          <w:b/>
          <w:szCs w:val="22"/>
        </w:rPr>
        <w:t>:</w:t>
      </w:r>
    </w:p>
    <w:p w:rsidR="000B33A8" w:rsidRPr="00261390" w:rsidRDefault="000B33A8" w:rsidP="000B33A8">
      <w:pPr>
        <w:ind w:firstLine="0"/>
        <w:rPr>
          <w:rFonts w:cs="Arial"/>
          <w:i/>
          <w:szCs w:val="22"/>
        </w:rPr>
      </w:pPr>
      <w:r>
        <w:rPr>
          <w:rFonts w:cs="Arial"/>
          <w:i/>
          <w:szCs w:val="22"/>
        </w:rPr>
        <w:t>sotto il profilo dell’efficacia del testo per la semplificazione e il riordinamento della legislazione vigente:</w:t>
      </w:r>
    </w:p>
    <w:p w:rsidR="000B33A8" w:rsidRDefault="000B33A8" w:rsidP="00B26E1F">
      <w:pPr>
        <w:pStyle w:val="Paragrafoelenco"/>
        <w:numPr>
          <w:ilvl w:val="0"/>
          <w:numId w:val="48"/>
        </w:numPr>
        <w:ind w:left="567" w:hanging="283"/>
        <w:rPr>
          <w:rFonts w:cs="Arial"/>
          <w:szCs w:val="22"/>
        </w:rPr>
      </w:pPr>
      <w:bookmarkStart w:id="486" w:name="S16c01"/>
      <w:r w:rsidRPr="00A66666">
        <w:rPr>
          <w:rFonts w:cs="Arial"/>
          <w:szCs w:val="22"/>
        </w:rPr>
        <w:t xml:space="preserve">all’articolo 4, comma </w:t>
      </w:r>
      <w:bookmarkEnd w:id="486"/>
      <w:r w:rsidRPr="00A66666">
        <w:rPr>
          <w:rFonts w:cs="Arial"/>
          <w:szCs w:val="22"/>
        </w:rPr>
        <w:t>1, sostituire le parole “primo comma” con le seguenti: “secondo comma”, al fine di correggere un errato riferimento normativo</w:t>
      </w:r>
      <w:r w:rsidRPr="00261390">
        <w:rPr>
          <w:rFonts w:cs="Arial"/>
          <w:szCs w:val="22"/>
        </w:rPr>
        <w:t>;</w:t>
      </w:r>
      <w:r>
        <w:rPr>
          <w:rFonts w:cs="Arial"/>
          <w:szCs w:val="22"/>
        </w:rPr>
        <w:t xml:space="preserve"> [</w:t>
      </w:r>
      <w:hyperlink w:anchor="premessa16"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48"/>
        </w:numPr>
        <w:ind w:left="567" w:hanging="283"/>
        <w:rPr>
          <w:rFonts w:cs="Arial"/>
          <w:szCs w:val="22"/>
        </w:rPr>
      </w:pPr>
      <w:bookmarkStart w:id="487" w:name="S16c02"/>
      <w:r w:rsidRPr="00A66666">
        <w:rPr>
          <w:rFonts w:cs="Arial"/>
          <w:szCs w:val="22"/>
        </w:rPr>
        <w:t xml:space="preserve">si provveda ad un migliore </w:t>
      </w:r>
      <w:bookmarkEnd w:id="487"/>
      <w:r w:rsidRPr="00A66666">
        <w:rPr>
          <w:rFonts w:cs="Arial"/>
          <w:szCs w:val="22"/>
        </w:rPr>
        <w:t>coordinamento tra quanto previsto dall’articolo 23, comma 4, del provvedimento e dall’articolo 20, comma 5, del decreto-legge n. 132/2014 in ordine alla decorrenza dell’efficacia delle specifiche tecniche in materia di sistemi informativi automatizzati del Ministero della giustizia</w:t>
      </w:r>
      <w:r>
        <w:rPr>
          <w:rFonts w:cs="Arial"/>
          <w:szCs w:val="22"/>
        </w:rPr>
        <w:t>; [</w:t>
      </w:r>
      <w:hyperlink w:anchor="premessa16"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48"/>
        </w:numPr>
        <w:ind w:left="567" w:hanging="283"/>
        <w:rPr>
          <w:rFonts w:cs="Arial"/>
          <w:szCs w:val="22"/>
        </w:rPr>
      </w:pPr>
      <w:bookmarkStart w:id="488" w:name="S16c03"/>
      <w:r w:rsidRPr="00A66666">
        <w:rPr>
          <w:rFonts w:cs="Arial"/>
          <w:szCs w:val="22"/>
        </w:rPr>
        <w:t xml:space="preserve">si provveda al </w:t>
      </w:r>
      <w:bookmarkEnd w:id="488"/>
      <w:r w:rsidRPr="00A66666">
        <w:rPr>
          <w:rFonts w:cs="Arial"/>
          <w:szCs w:val="22"/>
        </w:rPr>
        <w:t>coordinamento tra l’articolo 23, comma 11, del provvedimento e l’articolo 19, comma 1, del decreto-legge n. 132/2014 al fine di chiarire la disciplina applicabile ai procedimenti di vendita per incanto iniziati tra l’11 novembre 2014 e l’11 dicembre 2014 e agli atti già posti in essere medio tempore nei procedimenti pendenti all’11 novembre 2014</w:t>
      </w:r>
      <w:r>
        <w:rPr>
          <w:rFonts w:cs="Arial"/>
          <w:szCs w:val="22"/>
        </w:rPr>
        <w:t>; [</w:t>
      </w:r>
      <w:hyperlink w:anchor="premessa16" w:history="1">
        <w:r w:rsidRPr="00261390">
          <w:rPr>
            <w:rStyle w:val="Collegamentoipertestuale"/>
            <w:rFonts w:cs="Arial"/>
            <w:szCs w:val="22"/>
          </w:rPr>
          <w:t>torna su</w:t>
        </w:r>
      </w:hyperlink>
      <w:r>
        <w:rPr>
          <w:rFonts w:cs="Arial"/>
          <w:szCs w:val="22"/>
        </w:rPr>
        <w:t xml:space="preserve">] </w:t>
      </w:r>
      <w:r>
        <w:rPr>
          <w:rFonts w:cs="Arial"/>
          <w:szCs w:val="22"/>
        </w:rPr>
        <w:br/>
      </w:r>
    </w:p>
    <w:p w:rsidR="000B33A8" w:rsidRDefault="000B33A8" w:rsidP="000B33A8">
      <w:pPr>
        <w:keepNext/>
        <w:ind w:firstLine="0"/>
        <w:rPr>
          <w:rFonts w:cs="Arial"/>
          <w:i/>
          <w:szCs w:val="22"/>
        </w:rPr>
      </w:pPr>
      <w:r w:rsidRPr="00B51D12">
        <w:rPr>
          <w:rFonts w:cs="Arial"/>
          <w:i/>
          <w:szCs w:val="22"/>
        </w:rPr>
        <w:t>sotto il profilo della chiarezza e della proprietà della formulazione:</w:t>
      </w:r>
    </w:p>
    <w:p w:rsidR="000B33A8" w:rsidRDefault="000B33A8" w:rsidP="00B26E1F">
      <w:pPr>
        <w:pStyle w:val="Paragrafoelenco"/>
        <w:numPr>
          <w:ilvl w:val="0"/>
          <w:numId w:val="49"/>
        </w:numPr>
        <w:ind w:left="567" w:hanging="283"/>
        <w:rPr>
          <w:rFonts w:cs="Arial"/>
          <w:szCs w:val="22"/>
        </w:rPr>
      </w:pPr>
      <w:bookmarkStart w:id="489" w:name="S16c04"/>
      <w:r w:rsidRPr="00A66666">
        <w:rPr>
          <w:rFonts w:cs="Arial"/>
          <w:szCs w:val="22"/>
        </w:rPr>
        <w:t xml:space="preserve">all’articolo 2, capoverso </w:t>
      </w:r>
      <w:bookmarkEnd w:id="489"/>
      <w:r w:rsidRPr="00A66666">
        <w:rPr>
          <w:rFonts w:cs="Arial"/>
          <w:szCs w:val="22"/>
        </w:rPr>
        <w:t>Art. 163-bis, primo comma, sopprimere il quarto periodo che ripete testualmente quanto già affermato al secondo periodo</w:t>
      </w:r>
      <w:r w:rsidRPr="00261390">
        <w:rPr>
          <w:rFonts w:cs="Arial"/>
          <w:szCs w:val="22"/>
        </w:rPr>
        <w:t>;</w:t>
      </w:r>
      <w:r>
        <w:rPr>
          <w:rFonts w:cs="Arial"/>
          <w:szCs w:val="22"/>
        </w:rPr>
        <w:t xml:space="preserve"> [</w:t>
      </w:r>
      <w:hyperlink w:anchor="premessa16" w:history="1">
        <w:r w:rsidRPr="00261390">
          <w:rPr>
            <w:rStyle w:val="Collegamentoipertestuale"/>
            <w:rFonts w:cs="Arial"/>
            <w:szCs w:val="22"/>
          </w:rPr>
          <w:t>torna su</w:t>
        </w:r>
      </w:hyperlink>
      <w:r>
        <w:rPr>
          <w:rFonts w:cs="Arial"/>
          <w:szCs w:val="22"/>
        </w:rPr>
        <w:t xml:space="preserve">] </w:t>
      </w:r>
    </w:p>
    <w:p w:rsidR="000B33A8" w:rsidRPr="00BE13F2" w:rsidRDefault="000B33A8" w:rsidP="00B26E1F">
      <w:pPr>
        <w:pStyle w:val="Paragrafoelenco"/>
        <w:numPr>
          <w:ilvl w:val="0"/>
          <w:numId w:val="49"/>
        </w:numPr>
        <w:ind w:left="567" w:hanging="283"/>
        <w:rPr>
          <w:rFonts w:cs="Arial"/>
          <w:szCs w:val="22"/>
        </w:rPr>
      </w:pPr>
      <w:bookmarkStart w:id="490" w:name="S16c05"/>
      <w:r w:rsidRPr="00BE13F2">
        <w:rPr>
          <w:rFonts w:cs="Arial"/>
          <w:szCs w:val="22"/>
        </w:rPr>
        <w:t xml:space="preserve">all’articolo 23, si </w:t>
      </w:r>
      <w:bookmarkEnd w:id="490"/>
      <w:r w:rsidRPr="00BE13F2">
        <w:rPr>
          <w:rFonts w:cs="Arial"/>
          <w:szCs w:val="22"/>
        </w:rPr>
        <w:t>provveda ad una riformulazione del comma 6 in modo da correggere l’erroneo riferimento all’inesistente lettera b) del comma 1 dell’articolo 12; [</w:t>
      </w:r>
      <w:hyperlink w:anchor="premessa16" w:history="1">
        <w:r w:rsidRPr="00BE13F2">
          <w:rPr>
            <w:rStyle w:val="Collegamentoipertestuale"/>
            <w:rFonts w:cs="Arial"/>
            <w:szCs w:val="22"/>
          </w:rPr>
          <w:t>torna su</w:t>
        </w:r>
      </w:hyperlink>
      <w:r w:rsidRPr="00BE13F2">
        <w:rPr>
          <w:rFonts w:cs="Arial"/>
          <w:szCs w:val="22"/>
        </w:rPr>
        <w:t xml:space="preserve">] </w:t>
      </w:r>
      <w:r w:rsidRPr="00BE13F2">
        <w:rPr>
          <w:rFonts w:cs="Arial"/>
          <w:szCs w:val="22"/>
        </w:rPr>
        <w:br/>
      </w:r>
    </w:p>
    <w:p w:rsidR="000B33A8" w:rsidRDefault="000B33A8" w:rsidP="000B33A8">
      <w:pPr>
        <w:rPr>
          <w:rFonts w:cs="Arial"/>
          <w:szCs w:val="22"/>
        </w:rPr>
      </w:pPr>
    </w:p>
    <w:p w:rsidR="000B33A8" w:rsidRPr="00CC2FFB" w:rsidRDefault="000B33A8" w:rsidP="000B33A8">
      <w:pPr>
        <w:keepNext/>
        <w:ind w:firstLine="0"/>
        <w:rPr>
          <w:rFonts w:cs="Arial"/>
          <w:b/>
          <w:szCs w:val="22"/>
        </w:rPr>
      </w:pPr>
      <w:bookmarkStart w:id="491" w:name="S16O"/>
      <w:r w:rsidRPr="00CC2FFB">
        <w:rPr>
          <w:rFonts w:cs="Arial"/>
          <w:b/>
          <w:szCs w:val="22"/>
        </w:rPr>
        <w:t>Osservazioni:</w:t>
      </w:r>
    </w:p>
    <w:bookmarkEnd w:id="491"/>
    <w:p w:rsidR="000B33A8" w:rsidRDefault="000B33A8" w:rsidP="000B33A8">
      <w:pPr>
        <w:keepNext/>
        <w:ind w:firstLine="0"/>
        <w:rPr>
          <w:rFonts w:cs="Arial"/>
          <w:i/>
          <w:szCs w:val="22"/>
        </w:rPr>
      </w:pPr>
      <w:r>
        <w:rPr>
          <w:rFonts w:cs="Arial"/>
          <w:i/>
          <w:szCs w:val="22"/>
        </w:rPr>
        <w:t>sotto il profilo dell’efficacia del testo per la semplificazione e il riordinamento della legislazione vigente:</w:t>
      </w:r>
    </w:p>
    <w:p w:rsidR="000B33A8" w:rsidRDefault="000B33A8" w:rsidP="00B26E1F">
      <w:pPr>
        <w:pStyle w:val="Paragrafoelenco"/>
        <w:numPr>
          <w:ilvl w:val="0"/>
          <w:numId w:val="26"/>
        </w:numPr>
        <w:ind w:left="567" w:hanging="283"/>
        <w:rPr>
          <w:rFonts w:cs="Arial"/>
          <w:szCs w:val="22"/>
        </w:rPr>
      </w:pPr>
      <w:bookmarkStart w:id="492" w:name="S16o01"/>
      <w:r w:rsidRPr="00D943D6">
        <w:rPr>
          <w:rFonts w:cs="Arial"/>
          <w:szCs w:val="22"/>
        </w:rPr>
        <w:t xml:space="preserve">valuti la Commissione </w:t>
      </w:r>
      <w:bookmarkEnd w:id="492"/>
      <w:r w:rsidRPr="00D943D6">
        <w:rPr>
          <w:rFonts w:cs="Arial"/>
          <w:szCs w:val="22"/>
        </w:rPr>
        <w:t>l’opportunità di modificare la formulazione delle disposizioni che, attraverso l’utilizzo delle locuzioni “in quanto compatibili”, “fermo restando”, “secondo quanto previsto” o “secondo le modalità disposte”, contengono riferimenti alla normativa vigente che potrebbero risultare indeterminati o ultronei</w:t>
      </w:r>
      <w:r w:rsidRPr="00261390">
        <w:rPr>
          <w:rFonts w:cs="Arial"/>
          <w:szCs w:val="22"/>
        </w:rPr>
        <w:t>;</w:t>
      </w:r>
      <w:r>
        <w:rPr>
          <w:rFonts w:cs="Arial"/>
          <w:szCs w:val="22"/>
        </w:rPr>
        <w:t xml:space="preserve"> [</w:t>
      </w:r>
      <w:hyperlink w:anchor="premessa16"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26"/>
        </w:numPr>
        <w:ind w:left="567" w:hanging="283"/>
        <w:rPr>
          <w:rFonts w:cs="Arial"/>
          <w:szCs w:val="22"/>
        </w:rPr>
      </w:pPr>
      <w:bookmarkStart w:id="493" w:name="S16o02"/>
      <w:r w:rsidRPr="00D943D6">
        <w:rPr>
          <w:rFonts w:cs="Arial"/>
          <w:szCs w:val="22"/>
        </w:rPr>
        <w:lastRenderedPageBreak/>
        <w:t>valuti la Commissione</w:t>
      </w:r>
      <w:bookmarkEnd w:id="493"/>
      <w:r w:rsidRPr="00D943D6">
        <w:rPr>
          <w:rFonts w:cs="Arial"/>
          <w:szCs w:val="22"/>
        </w:rPr>
        <w:t>, con riferimento all’articolo 21, l’opportunità di una riformulazione volta a precisare se nel contingente di personale delle province e delle città metropolitane da destinare all’amministrazione giudiziaria risulti ricompresa o meno la quota di personale che, già ai sensi della normativa previgente, il dipartimento della funzione pubblica poteva destinare a tale amministrazione</w:t>
      </w:r>
      <w:r>
        <w:rPr>
          <w:rFonts w:cs="Arial"/>
          <w:szCs w:val="22"/>
        </w:rPr>
        <w:t>; [</w:t>
      </w:r>
      <w:hyperlink w:anchor="premessa16" w:history="1">
        <w:r w:rsidRPr="00261390">
          <w:rPr>
            <w:rStyle w:val="Collegamentoipertestuale"/>
            <w:rFonts w:cs="Arial"/>
            <w:szCs w:val="22"/>
          </w:rPr>
          <w:t>torna su</w:t>
        </w:r>
      </w:hyperlink>
      <w:r>
        <w:rPr>
          <w:rFonts w:cs="Arial"/>
          <w:szCs w:val="22"/>
        </w:rPr>
        <w:t xml:space="preserve">] </w:t>
      </w:r>
    </w:p>
    <w:p w:rsidR="000B33A8" w:rsidRPr="00261390" w:rsidRDefault="000B33A8" w:rsidP="000B33A8">
      <w:pPr>
        <w:ind w:firstLine="0"/>
        <w:rPr>
          <w:rFonts w:cs="Arial"/>
          <w:i/>
          <w:szCs w:val="22"/>
        </w:rPr>
      </w:pPr>
      <w:r w:rsidRPr="00261390">
        <w:rPr>
          <w:rFonts w:cs="Arial"/>
          <w:i/>
          <w:szCs w:val="22"/>
        </w:rPr>
        <w:t>sotto il profilo della chiarezza e della proprietà della fo</w:t>
      </w:r>
      <w:r>
        <w:rPr>
          <w:rFonts w:cs="Arial"/>
          <w:i/>
          <w:szCs w:val="22"/>
        </w:rPr>
        <w:t>rmulazione:</w:t>
      </w:r>
    </w:p>
    <w:p w:rsidR="000B33A8" w:rsidRDefault="000B33A8" w:rsidP="00B26E1F">
      <w:pPr>
        <w:pStyle w:val="Paragrafoelenco"/>
        <w:numPr>
          <w:ilvl w:val="0"/>
          <w:numId w:val="26"/>
        </w:numPr>
        <w:ind w:left="567" w:hanging="283"/>
        <w:rPr>
          <w:rFonts w:cs="Arial"/>
          <w:szCs w:val="22"/>
        </w:rPr>
      </w:pPr>
      <w:bookmarkStart w:id="494" w:name="S16o03"/>
      <w:r w:rsidRPr="00D943D6">
        <w:rPr>
          <w:rFonts w:cs="Arial"/>
          <w:szCs w:val="22"/>
        </w:rPr>
        <w:t>valuti la Commissione</w:t>
      </w:r>
      <w:bookmarkEnd w:id="494"/>
      <w:r w:rsidRPr="00D943D6">
        <w:rPr>
          <w:rFonts w:cs="Arial"/>
          <w:szCs w:val="22"/>
        </w:rPr>
        <w:t>, con riferimento all’articolo 1, comma 1, lettera b), l’opportunità di introdurre nel testo una definizione delle “linee di credito autoliquidanti”</w:t>
      </w:r>
      <w:r>
        <w:rPr>
          <w:rFonts w:cs="Arial"/>
          <w:szCs w:val="22"/>
        </w:rPr>
        <w:t>; [</w:t>
      </w:r>
      <w:hyperlink w:anchor="premessa16"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26"/>
        </w:numPr>
        <w:ind w:left="567" w:hanging="283"/>
        <w:rPr>
          <w:rFonts w:cs="Arial"/>
          <w:szCs w:val="22"/>
        </w:rPr>
      </w:pPr>
      <w:bookmarkStart w:id="495" w:name="S16o04"/>
      <w:r w:rsidRPr="00D943D6">
        <w:rPr>
          <w:rFonts w:cs="Arial"/>
          <w:szCs w:val="22"/>
        </w:rPr>
        <w:t>valuti la Commissione</w:t>
      </w:r>
      <w:bookmarkEnd w:id="495"/>
      <w:r w:rsidRPr="00D943D6">
        <w:rPr>
          <w:rFonts w:cs="Arial"/>
          <w:szCs w:val="22"/>
        </w:rPr>
        <w:t>, con riferimento all’articolo 6, comma 1, lettera d), se l’inserimento del rinvio all’articolo 107 della legge fallimentare non renda ultronea la previsione del coinvolgimento di società specializzate nel programma di liquidazione dei beni dei falliti</w:t>
      </w:r>
      <w:r>
        <w:rPr>
          <w:rFonts w:cs="Arial"/>
          <w:szCs w:val="22"/>
        </w:rPr>
        <w:t>; [</w:t>
      </w:r>
      <w:hyperlink w:anchor="premessa16"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26"/>
        </w:numPr>
        <w:ind w:left="567" w:hanging="283"/>
        <w:rPr>
          <w:rFonts w:cs="Arial"/>
          <w:szCs w:val="22"/>
        </w:rPr>
      </w:pPr>
      <w:bookmarkStart w:id="496" w:name="S16o05"/>
      <w:r w:rsidRPr="00D943D6">
        <w:rPr>
          <w:rFonts w:cs="Arial"/>
          <w:szCs w:val="22"/>
        </w:rPr>
        <w:t>valuti la Commissione</w:t>
      </w:r>
      <w:bookmarkEnd w:id="496"/>
      <w:r w:rsidRPr="00D943D6">
        <w:rPr>
          <w:rFonts w:cs="Arial"/>
          <w:szCs w:val="22"/>
        </w:rPr>
        <w:t>, con riferimento all’articolo 14, comma 1, numero 2), l’opportunità di chiarire la portata normativa dell’utilizzo della locuzione “anche sino” nonché la ratio dell’ultimo periodo della disposizione che prevede che la norma perda efficacia se il decreto dirigenziale previsto dalla stessa non risulti adottato entro dodici mesi dalla data di entrata in vigore della legge di conversione.</w:t>
      </w:r>
      <w:r>
        <w:rPr>
          <w:rFonts w:cs="Arial"/>
          <w:szCs w:val="22"/>
        </w:rPr>
        <w:t xml:space="preserve"> [</w:t>
      </w:r>
      <w:hyperlink w:anchor="premessa16" w:history="1">
        <w:r w:rsidRPr="00261390">
          <w:rPr>
            <w:rStyle w:val="Collegamentoipertestuale"/>
            <w:rFonts w:cs="Arial"/>
            <w:szCs w:val="22"/>
          </w:rPr>
          <w:t>torna su</w:t>
        </w:r>
      </w:hyperlink>
      <w:r>
        <w:rPr>
          <w:rFonts w:cs="Arial"/>
          <w:szCs w:val="22"/>
        </w:rPr>
        <w:t>]</w:t>
      </w:r>
    </w:p>
    <w:p w:rsidR="000B33A8" w:rsidRPr="004325F3" w:rsidRDefault="000B33A8" w:rsidP="000B33A8">
      <w:pPr>
        <w:pStyle w:val="Paragrafoelenco"/>
        <w:ind w:firstLine="0"/>
        <w:rPr>
          <w:rFonts w:cs="Arial"/>
          <w:szCs w:val="22"/>
        </w:rPr>
      </w:pPr>
      <w:r>
        <w:rPr>
          <w:rFonts w:cs="Arial"/>
          <w:szCs w:val="22"/>
        </w:rPr>
        <w:t xml:space="preserve"> </w:t>
      </w:r>
    </w:p>
    <w:p w:rsidR="000B33A8" w:rsidRDefault="000B33A8" w:rsidP="000B33A8">
      <w:pPr>
        <w:ind w:firstLine="0"/>
        <w:rPr>
          <w:rFonts w:cs="Arial"/>
          <w:i/>
          <w:szCs w:val="22"/>
        </w:rPr>
        <w:sectPr w:rsidR="000B33A8" w:rsidSect="000B33A8">
          <w:headerReference w:type="default" r:id="rId363"/>
          <w:footerReference w:type="even" r:id="rId364"/>
          <w:footerReference w:type="default" r:id="rId365"/>
          <w:pgSz w:w="11906" w:h="16838" w:code="9"/>
          <w:pgMar w:top="1985" w:right="1985" w:bottom="1985" w:left="1985" w:header="1134" w:footer="1134" w:gutter="0"/>
          <w:cols w:space="720"/>
          <w:formProt w:val="0"/>
        </w:sectPr>
      </w:pPr>
    </w:p>
    <w:p w:rsidR="000B33A8" w:rsidRPr="005C7D5A" w:rsidRDefault="000B33A8" w:rsidP="000B33A8">
      <w:pPr>
        <w:ind w:firstLine="0"/>
        <w:rPr>
          <w:rFonts w:cs="Arial"/>
          <w:i/>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0017</w:t>
            </w:r>
          </w:p>
        </w:tc>
        <w:tc>
          <w:tcPr>
            <w:tcW w:w="750" w:type="pct"/>
            <w:shd w:val="clear" w:color="auto" w:fill="auto"/>
          </w:tcPr>
          <w:p w:rsidR="000B33A8" w:rsidRPr="00B26E1F" w:rsidRDefault="000B33A8" w:rsidP="000B33A8">
            <w:pPr>
              <w:pStyle w:val="Collegamento"/>
              <w:rPr>
                <w:rFonts w:cs="Arial"/>
              </w:rPr>
            </w:pPr>
            <w:r w:rsidRPr="00B26E1F">
              <w:rPr>
                <w:rFonts w:cs="Arial"/>
              </w:rPr>
              <w:t>3210</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66" w:history="1">
              <w:r w:rsidR="000B33A8" w:rsidRPr="00B26E1F">
                <w:rPr>
                  <w:rStyle w:val="Collegamentoipertestuale"/>
                  <w:rFonts w:cs="Arial"/>
                </w:rPr>
                <w:t>DL 92/2015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Rifiuti e ILVA</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67" w:anchor="data.20150715.com48.bollettino.sede00010.tit00010" w:history="1">
              <w:r w:rsidR="000B33A8" w:rsidRPr="00975C41">
                <w:rPr>
                  <w:rStyle w:val="Collegamentoipertestuale"/>
                </w:rPr>
                <w:t>15/07/2015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497" w:name="premessa17"/>
            <w:r w:rsidRPr="00B26E1F">
              <w:rPr>
                <w:rFonts w:cs="Arial"/>
                <w:b/>
                <w:color w:val="0000FF"/>
                <w:sz w:val="24"/>
                <w:szCs w:val="24"/>
              </w:rPr>
              <w:t>Premessa</w:t>
            </w:r>
            <w:bookmarkEnd w:id="497"/>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1 Condizione, 1 Osservazione</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7a01" w:history="1">
              <w:r w:rsidR="000B33A8" w:rsidRPr="00D40FBA">
                <w:rPr>
                  <w:rStyle w:val="Collegamentoipertestuale"/>
                </w:rPr>
                <w:t>1</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7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7a02" w:history="1">
              <w:r w:rsidR="000B33A8" w:rsidRPr="00812559">
                <w:rPr>
                  <w:rStyle w:val="Collegamentoipertestuale"/>
                </w:rPr>
                <w:t>2</w:t>
              </w:r>
            </w:hyperlink>
            <w:r w:rsidR="000B33A8" w:rsidRPr="00B26E1F">
              <w:rPr>
                <w:rFonts w:cs="Arial"/>
              </w:rPr>
              <w:t xml:space="preserve"> – </w:t>
            </w:r>
            <w:r w:rsidR="000B33A8" w:rsidRPr="007F5C83">
              <w:t>Coordinamento con le fonti normative vigenti:</w:t>
            </w:r>
            <w:r w:rsidR="000B33A8">
              <w:t xml:space="preserve"> stratificazione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7a03" w:history="1">
              <w:r w:rsidR="000B33A8" w:rsidRPr="00812559">
                <w:rPr>
                  <w:rStyle w:val="Collegamentoipertestuale"/>
                </w:rPr>
                <w:t>3</w:t>
              </w:r>
            </w:hyperlink>
            <w:r w:rsidR="000B33A8" w:rsidRPr="00B26E1F">
              <w:rPr>
                <w:rFonts w:cs="Arial"/>
              </w:rPr>
              <w:t xml:space="preserve"> – </w:t>
            </w:r>
            <w:r w:rsidR="000B33A8" w:rsidRPr="007F5C83">
              <w:t>Coordinamento con le fonti normative vigenti:</w:t>
            </w:r>
            <w:r w:rsidR="000B33A8">
              <w:t xml:space="preserve"> modifiche non testuali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Richiamo alla circolare sulla formulazione dei testi normativi.</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7a04" w:history="1">
              <w:r w:rsidR="000B33A8" w:rsidRPr="006533B3">
                <w:rPr>
                  <w:rStyle w:val="Collegamentoipertestuale"/>
                </w:rPr>
                <w:t>4</w:t>
              </w:r>
            </w:hyperlink>
            <w:r w:rsidR="000B33A8">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7a05" w:history="1">
              <w:r w:rsidR="000B33A8" w:rsidRPr="006533B3">
                <w:rPr>
                  <w:rStyle w:val="Collegamentoipertestuale"/>
                </w:rPr>
                <w:t>5</w:t>
              </w:r>
            </w:hyperlink>
            <w:r w:rsidR="000B33A8">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Assenti. Manca il riferimento all’eventuale esenzione dall’AIR. Richiamo all’articolo 9 del DPCM n. 170/2008.</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140" w:type="pct"/>
        <w:tblLook w:val="01E0" w:firstRow="1" w:lastRow="1" w:firstColumn="1" w:lastColumn="1" w:noHBand="0" w:noVBand="0"/>
      </w:tblPr>
      <w:tblGrid>
        <w:gridCol w:w="4190"/>
        <w:gridCol w:w="3962"/>
        <w:gridCol w:w="228"/>
      </w:tblGrid>
      <w:tr w:rsidR="000B33A8" w:rsidRPr="00A33B28" w:rsidTr="0041678A">
        <w:trPr>
          <w:gridAfter w:val="1"/>
          <w:wAfter w:w="136" w:type="pct"/>
        </w:trPr>
        <w:tc>
          <w:tcPr>
            <w:tcW w:w="4864"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3A04FD" w:rsidTr="0041678A">
        <w:trPr>
          <w:trHeight w:val="423"/>
        </w:trPr>
        <w:tc>
          <w:tcPr>
            <w:tcW w:w="2500" w:type="pct"/>
            <w:tcBorders>
              <w:top w:val="nil"/>
              <w:left w:val="nil"/>
              <w:bottom w:val="nil"/>
              <w:right w:val="nil"/>
            </w:tcBorders>
            <w:shd w:val="clear" w:color="auto" w:fill="auto"/>
          </w:tcPr>
          <w:p w:rsidR="000B33A8" w:rsidRDefault="00EB0878" w:rsidP="0041678A">
            <w:pPr>
              <w:keepNext/>
              <w:spacing w:before="100" w:beforeAutospacing="1" w:after="100" w:afterAutospacing="1"/>
              <w:ind w:firstLine="0"/>
              <w:jc w:val="left"/>
            </w:pPr>
            <w:hyperlink w:anchor="S17C" w:history="1">
              <w:r w:rsidR="000B33A8" w:rsidRPr="00DF4FA4">
                <w:rPr>
                  <w:rStyle w:val="Collegamentoipertestuale"/>
                </w:rPr>
                <w:t>C</w:t>
              </w:r>
            </w:hyperlink>
            <w:r w:rsidR="000B33A8">
              <w:t xml:space="preserve"> - Condizioni</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r w:rsidR="000B33A8" w:rsidRPr="003A04FD" w:rsidTr="0041678A">
        <w:trPr>
          <w:trHeight w:val="423"/>
        </w:trPr>
        <w:tc>
          <w:tcPr>
            <w:tcW w:w="2500" w:type="pct"/>
            <w:tcBorders>
              <w:top w:val="nil"/>
              <w:left w:val="nil"/>
              <w:bottom w:val="nil"/>
              <w:right w:val="nil"/>
            </w:tcBorders>
            <w:shd w:val="clear" w:color="auto" w:fill="auto"/>
          </w:tcPr>
          <w:p w:rsidR="000B33A8" w:rsidRPr="003A04FD" w:rsidRDefault="00EB0878" w:rsidP="000B33A8">
            <w:pPr>
              <w:keepNext/>
              <w:spacing w:before="100" w:beforeAutospacing="1" w:after="100" w:afterAutospacing="1"/>
              <w:ind w:firstLine="0"/>
              <w:jc w:val="left"/>
              <w:rPr>
                <w:rFonts w:cs="Arial"/>
              </w:rPr>
            </w:pPr>
            <w:hyperlink w:anchor="S17O" w:history="1">
              <w:r w:rsidR="000B33A8" w:rsidRPr="00852C73">
                <w:rPr>
                  <w:rStyle w:val="Collegamentoipertestuale"/>
                  <w:rFonts w:cs="Arial"/>
                </w:rPr>
                <w:t>O</w:t>
              </w:r>
            </w:hyperlink>
            <w:r w:rsidR="000B33A8" w:rsidRPr="003A04FD">
              <w:rPr>
                <w:rFonts w:cs="Arial"/>
              </w:rPr>
              <w:t xml:space="preserve"> - Osservazioni</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lastRenderedPageBreak/>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Articolo 9 del DPCM n. 170/2008; circolare sulla formulazione dei testi normativi.</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spacing w:after="120"/>
        <w:rPr>
          <w:rFonts w:cs="Arial"/>
          <w:szCs w:val="22"/>
        </w:rPr>
      </w:pPr>
      <w:bookmarkStart w:id="498" w:name="S17a01"/>
      <w:r w:rsidRPr="00B91F58">
        <w:rPr>
          <w:rFonts w:cs="Arial"/>
          <w:szCs w:val="22"/>
        </w:rPr>
        <w:t>1 –</w:t>
      </w:r>
      <w:bookmarkEnd w:id="498"/>
      <w:r w:rsidRPr="00B91F58">
        <w:rPr>
          <w:rFonts w:cs="Arial"/>
          <w:szCs w:val="22"/>
        </w:rPr>
        <w:t xml:space="preserve"> </w:t>
      </w:r>
      <w:hyperlink w:anchor="premessa17" w:history="1">
        <w:r w:rsidRPr="00B91F58">
          <w:rPr>
            <w:rStyle w:val="Collegamentoipertestuale"/>
            <w:rFonts w:cs="Arial"/>
            <w:b/>
            <w:szCs w:val="22"/>
          </w:rPr>
          <w:t>Premessa</w:t>
        </w:r>
        <w:r w:rsidRPr="00B91F58">
          <w:rPr>
            <w:rStyle w:val="Collegamentoipertestuale"/>
            <w:rFonts w:cs="Arial"/>
            <w:szCs w:val="22"/>
          </w:rPr>
          <w:t>:</w:t>
        </w:r>
      </w:hyperlink>
      <w:r w:rsidRPr="00092B75">
        <w:rPr>
          <w:rStyle w:val="Collegamentoipertestuale"/>
          <w:rFonts w:cs="Arial"/>
          <w:szCs w:val="22"/>
        </w:rPr>
        <w:t xml:space="preserve"> </w:t>
      </w:r>
      <w:r w:rsidRPr="00B91F58">
        <w:rPr>
          <w:rFonts w:cs="Arial"/>
          <w:szCs w:val="22"/>
        </w:rPr>
        <w:t>«</w:t>
      </w:r>
      <w:r w:rsidRPr="000F7755">
        <w:rPr>
          <w:rFonts w:cs="Arial"/>
          <w:szCs w:val="22"/>
        </w:rPr>
        <w:t xml:space="preserve">il decreto-legge si compone di quattro articoli e reca un </w:t>
      </w:r>
      <w:r w:rsidRPr="000F7755">
        <w:rPr>
          <w:rFonts w:cs="Arial"/>
          <w:b/>
          <w:szCs w:val="22"/>
        </w:rPr>
        <w:t>contenuto omogeneo</w:t>
      </w:r>
      <w:r w:rsidRPr="000F7755">
        <w:rPr>
          <w:rFonts w:cs="Arial"/>
          <w:szCs w:val="22"/>
        </w:rPr>
        <w:t xml:space="preserve"> volto a garantire la prosecuzione dell'attività di impresa attraverso l'uniforme applicazione delle definizioni di produttore, di raccolta e di deposito temporaneo di rifiuti e della disciplina in materia di autorizzazione integrata ambientale, nonché, per gli stabilimenti di interesse strategico nazionale interessati da provvedimenti giudiziari di sequestro di beni, attraverso l'adozione di un piano a salvaguardia della sicurezza sul luogo di lavoro</w:t>
      </w:r>
      <w:r w:rsidRPr="00B91F58">
        <w:rPr>
          <w:rFonts w:cs="Arial"/>
          <w:szCs w:val="22"/>
        </w:rPr>
        <w:t>»;</w:t>
      </w:r>
      <w:r>
        <w:rPr>
          <w:rFonts w:cs="Arial"/>
          <w:szCs w:val="22"/>
        </w:rPr>
        <w:t xml:space="preserve"> </w:t>
      </w:r>
    </w:p>
    <w:p w:rsidR="000B33A8" w:rsidRPr="00B91F58" w:rsidRDefault="000B33A8" w:rsidP="000B33A8">
      <w:pPr>
        <w:spacing w:after="120"/>
        <w:rPr>
          <w:rFonts w:cs="Arial"/>
          <w:szCs w:val="22"/>
        </w:rPr>
      </w:pPr>
    </w:p>
    <w:p w:rsidR="000B33A8" w:rsidRPr="00B91F58" w:rsidRDefault="000B33A8" w:rsidP="000B33A8">
      <w:pPr>
        <w:spacing w:after="120"/>
        <w:rPr>
          <w:rFonts w:cs="Arial"/>
          <w:szCs w:val="22"/>
        </w:rPr>
      </w:pPr>
    </w:p>
    <w:p w:rsidR="000B33A8" w:rsidRPr="00B91F58" w:rsidRDefault="000B33A8" w:rsidP="000B33A8">
      <w:pPr>
        <w:rPr>
          <w:rFonts w:cs="Arial"/>
          <w:szCs w:val="22"/>
        </w:rPr>
      </w:pPr>
      <w:bookmarkStart w:id="499" w:name="S17a02"/>
      <w:r w:rsidRPr="00B91F58">
        <w:rPr>
          <w:rFonts w:cs="Arial"/>
          <w:szCs w:val="22"/>
        </w:rPr>
        <w:t>2 –</w:t>
      </w:r>
      <w:bookmarkEnd w:id="499"/>
      <w:r w:rsidRPr="00B91F58">
        <w:rPr>
          <w:rFonts w:cs="Arial"/>
          <w:szCs w:val="22"/>
        </w:rPr>
        <w:t xml:space="preserve"> </w:t>
      </w:r>
      <w:hyperlink w:anchor="premessa17"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0F7755">
        <w:t>il provvedimento interviene in una materia oggetto di una notevole stratificazione normativa, con un potenziale effetto di precarietà sulla certezza dei rapporti giuridici; in particolare, l'articolo 1 novella in più punti l'articolo 183 del decreto legislativo n.</w:t>
      </w:r>
      <w:r>
        <w:t xml:space="preserve"> </w:t>
      </w:r>
      <w:r w:rsidRPr="000F7755">
        <w:t>152/2006 (cd. codice ambientale), il quale, nel corso dei nove anni di vigenza, è stato integralmente sostituito prima dall'articolo 2, comma 20, del decreto legislativo n.</w:t>
      </w:r>
      <w:r>
        <w:t xml:space="preserve"> </w:t>
      </w:r>
      <w:r w:rsidRPr="000F7755">
        <w:t>4/2008 e poi dall'articolo 10, comma 1, del decreto legislativo n.</w:t>
      </w:r>
      <w:r>
        <w:t xml:space="preserve"> </w:t>
      </w:r>
      <w:r w:rsidRPr="000F7755">
        <w:t xml:space="preserve">205/2010; inoltre, al comma 1 di tale articolo la lettera </w:t>
      </w:r>
      <w:r w:rsidRPr="000F7755">
        <w:rPr>
          <w:i/>
        </w:rPr>
        <w:t>f)</w:t>
      </w:r>
      <w:r w:rsidRPr="000F7755">
        <w:t xml:space="preserve"> è stata già modificata dall'articolo 11, comma 12, del decreto-legge n.</w:t>
      </w:r>
      <w:r>
        <w:t xml:space="preserve"> </w:t>
      </w:r>
      <w:r w:rsidRPr="000F7755">
        <w:t xml:space="preserve">101/2013 e la lettera </w:t>
      </w:r>
      <w:r w:rsidRPr="000F7755">
        <w:rPr>
          <w:i/>
        </w:rPr>
        <w:t>bb)</w:t>
      </w:r>
      <w:r w:rsidRPr="000F7755">
        <w:t xml:space="preserve"> è stata già modificata dall'articolo 28, comma 2, del decreto-legge n.</w:t>
      </w:r>
      <w:r>
        <w:t xml:space="preserve"> </w:t>
      </w:r>
      <w:r w:rsidRPr="000F7755">
        <w:t>5 del 2012 e dall'articolo 52, comma 2-</w:t>
      </w:r>
      <w:r w:rsidRPr="000F7755">
        <w:rPr>
          <w:i/>
        </w:rPr>
        <w:t>ter</w:t>
      </w:r>
      <w:r w:rsidRPr="000F7755">
        <w:t xml:space="preserve">, lettera </w:t>
      </w:r>
      <w:r w:rsidRPr="000F7755">
        <w:rPr>
          <w:i/>
        </w:rPr>
        <w:t>a)</w:t>
      </w:r>
      <w:r w:rsidRPr="000F7755">
        <w:t xml:space="preserve"> del decreto-legge n.</w:t>
      </w:r>
      <w:r>
        <w:t xml:space="preserve"> </w:t>
      </w:r>
      <w:r w:rsidRPr="000F7755">
        <w:t>83/2012</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500" w:name="S17a03"/>
      <w:r w:rsidRPr="00B91F58">
        <w:rPr>
          <w:rFonts w:cs="Arial"/>
          <w:szCs w:val="22"/>
        </w:rPr>
        <w:t>3 –</w:t>
      </w:r>
      <w:bookmarkEnd w:id="500"/>
      <w:r w:rsidRPr="00B91F58">
        <w:rPr>
          <w:rFonts w:cs="Arial"/>
          <w:szCs w:val="22"/>
        </w:rPr>
        <w:t xml:space="preserve"> </w:t>
      </w:r>
      <w:hyperlink w:anchor="premessa17"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0F7755">
        <w:rPr>
          <w:rFonts w:cs="Arial"/>
          <w:szCs w:val="22"/>
        </w:rPr>
        <w:t>il comma 1 dell'articolo 3 opera una modifica non testuale di quanto previsto dall'articolo 1, comma 4, del decreto-legge n.</w:t>
      </w:r>
      <w:r>
        <w:rPr>
          <w:rFonts w:cs="Arial"/>
          <w:szCs w:val="22"/>
        </w:rPr>
        <w:t xml:space="preserve"> </w:t>
      </w:r>
      <w:r w:rsidRPr="000F7755">
        <w:rPr>
          <w:rFonts w:cs="Arial"/>
          <w:szCs w:val="22"/>
        </w:rPr>
        <w:t>207/2012, integrando le circostanze nelle quali l'esercizio dell'attività di impresa in stabilimenti di interesse strategico nazionale non è impedito da provvedimenti di sequestro disposti dall'autorità giudiziaria (infatti il decreto-legge n.</w:t>
      </w:r>
      <w:r>
        <w:rPr>
          <w:rFonts w:cs="Arial"/>
          <w:szCs w:val="22"/>
        </w:rPr>
        <w:t xml:space="preserve"> </w:t>
      </w:r>
      <w:r w:rsidRPr="000F7755">
        <w:rPr>
          <w:rFonts w:cs="Arial"/>
          <w:szCs w:val="22"/>
        </w:rPr>
        <w:t xml:space="preserve">207/2012 consente, a determinate condizioni, la prosecuzione dell'attività produttiva degli stabilimenti di interesse strategico nazionale in presenza di provvedimenti di sequestro connessi all'autorizzazione integrata ambientale mentre la disposizione in commento estende tale possibilità a provvedimenti di sequestro riguardanti “ipotesi di reato inerenti alla sicurezza dei lavoratori”); occorre </w:t>
      </w:r>
      <w:r w:rsidRPr="000F7755">
        <w:rPr>
          <w:rFonts w:cs="Arial"/>
          <w:szCs w:val="22"/>
        </w:rPr>
        <w:lastRenderedPageBreak/>
        <w:t>pertanto procedere ad una riformulazione della disposizione in termini di modifica testuale del citato articolo 1, comma 4, in coerenza con quanto richiesto dalla circolare sulla formulazione dei testi normativi del 2001</w:t>
      </w:r>
      <w:r w:rsidRPr="00B91F58">
        <w:rPr>
          <w:rFonts w:cs="Arial"/>
          <w:szCs w:val="22"/>
        </w:rPr>
        <w:t>»</w:t>
      </w:r>
      <w:r>
        <w:rPr>
          <w:rFonts w:cs="Arial"/>
          <w:szCs w:val="22"/>
        </w:rPr>
        <w:t xml:space="preserve"> (</w:t>
      </w:r>
      <w:hyperlink w:anchor="S17c01" w:history="1">
        <w:r>
          <w:rPr>
            <w:rStyle w:val="Collegamentoipertestuale"/>
            <w:rFonts w:cs="Arial"/>
            <w:b/>
            <w:szCs w:val="22"/>
          </w:rPr>
          <w:t>conseguente condizione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501" w:name="S17a04"/>
      <w:r>
        <w:rPr>
          <w:rFonts w:cs="Arial"/>
          <w:szCs w:val="22"/>
        </w:rPr>
        <w:t>4</w:t>
      </w:r>
      <w:r w:rsidRPr="00B91F58">
        <w:rPr>
          <w:rFonts w:cs="Arial"/>
          <w:szCs w:val="22"/>
        </w:rPr>
        <w:t xml:space="preserve"> –</w:t>
      </w:r>
      <w:bookmarkEnd w:id="501"/>
      <w:r w:rsidRPr="00B91F58">
        <w:rPr>
          <w:rFonts w:cs="Arial"/>
          <w:szCs w:val="22"/>
        </w:rPr>
        <w:t xml:space="preserve"> </w:t>
      </w:r>
      <w:hyperlink w:anchor="premessa17"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0F7755">
        <w:rPr>
          <w:rFonts w:cs="Arial"/>
          <w:szCs w:val="22"/>
        </w:rPr>
        <w:t>i commi 3 e 4 dell'articolo 3 non appaiono di univoca interpretazione con riferimento agli effetti della predisposizione, nel termine perentorio di trenta giorni, da parte dell'impresa proprietaria di stabilimenti di interesse strategico nazionale oggetto di sequestro da parte dell'autorità giudiziaria, del piano di misure e attività aggiuntive per la tutela della sicurezza dei luoghi di lavoro; in particolare, al comma 3, non risulta chiaro se la semplice comunicazione del piano all'autorità giudiziaria (per la quale peraltro non è invece previsto alcun termine) sia sufficiente per ottenere il dissequestro dell'impianto, come pure sembrerebbe desumersi dal tenore letterale della disposizione, ovvero sia necessario un successivo provvedimento dell'autorità giudiziaria; al comma 4 non risulta chiaro se sia prevista o meno una qualche forma di approvazione del piano da parte delle autorità chiamate a monitorarne l'attuazione (comando provinciale dei vigili del fuoco e uffici ASL e INAIL competenti per territorio), poiché la disposizione prevede solamente che il piano sia «trasmesso» a tali autorità</w:t>
      </w:r>
      <w:r w:rsidRPr="00B91F58">
        <w:rPr>
          <w:rFonts w:cs="Arial"/>
          <w:szCs w:val="22"/>
        </w:rPr>
        <w:t>»</w:t>
      </w:r>
      <w:r>
        <w:rPr>
          <w:rFonts w:cs="Arial"/>
          <w:szCs w:val="22"/>
        </w:rPr>
        <w:t xml:space="preserve"> (</w:t>
      </w:r>
      <w:hyperlink w:anchor="S17o01" w:history="1">
        <w:r w:rsidRPr="006649D0">
          <w:rPr>
            <w:rStyle w:val="Collegamentoipertestuale"/>
            <w:rFonts w:cs="Arial"/>
            <w:b/>
            <w:szCs w:val="22"/>
          </w:rPr>
          <w:t>conseguente osservazione</w:t>
        </w:r>
      </w:hyperlink>
      <w:r>
        <w:rPr>
          <w:rFonts w:cs="Arial"/>
          <w:szCs w:val="22"/>
        </w:rPr>
        <w:t>);</w:t>
      </w:r>
    </w:p>
    <w:p w:rsidR="000B33A8" w:rsidRDefault="000B33A8" w:rsidP="000B33A8">
      <w:pPr>
        <w:spacing w:after="120"/>
        <w:rPr>
          <w:rFonts w:cs="Arial"/>
          <w:szCs w:val="22"/>
        </w:rPr>
      </w:pPr>
    </w:p>
    <w:p w:rsidR="000B33A8" w:rsidRDefault="000B33A8" w:rsidP="000B33A8">
      <w:pPr>
        <w:spacing w:after="120"/>
        <w:rPr>
          <w:rFonts w:cs="Arial"/>
          <w:szCs w:val="22"/>
        </w:rPr>
      </w:pPr>
    </w:p>
    <w:p w:rsidR="000B33A8" w:rsidRPr="00B91F58" w:rsidRDefault="000B33A8" w:rsidP="000B33A8">
      <w:pPr>
        <w:spacing w:after="120"/>
        <w:rPr>
          <w:rFonts w:cs="Arial"/>
          <w:szCs w:val="22"/>
        </w:rPr>
      </w:pPr>
      <w:bookmarkStart w:id="502" w:name="S17a05"/>
      <w:r>
        <w:rPr>
          <w:rFonts w:cs="Arial"/>
          <w:szCs w:val="22"/>
        </w:rPr>
        <w:t>5 -</w:t>
      </w:r>
      <w:bookmarkEnd w:id="502"/>
      <w:r w:rsidRPr="00B91F58">
        <w:rPr>
          <w:rFonts w:cs="Arial"/>
          <w:szCs w:val="22"/>
        </w:rPr>
        <w:t xml:space="preserve"> </w:t>
      </w:r>
      <w:hyperlink w:anchor="premessa17"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733B99">
        <w:rPr>
          <w:rFonts w:cs="Arial"/>
          <w:szCs w:val="22"/>
        </w:rPr>
        <w:t>il disegno di legge di conversione non è corredato né dell’analisi tecnico-normativa (</w:t>
      </w:r>
      <w:r w:rsidRPr="00733B99">
        <w:rPr>
          <w:rFonts w:cs="Arial"/>
          <w:b/>
          <w:szCs w:val="22"/>
        </w:rPr>
        <w:t>ATN</w:t>
      </w:r>
      <w:r w:rsidRPr="00733B99">
        <w:rPr>
          <w:rFonts w:cs="Arial"/>
          <w:szCs w:val="22"/>
        </w:rPr>
        <w:t>) né dell’analisi sull’impatto della regolamentazione (</w:t>
      </w:r>
      <w:r w:rsidRPr="00733B99">
        <w:rPr>
          <w:rFonts w:cs="Arial"/>
          <w:b/>
          <w:szCs w:val="22"/>
        </w:rPr>
        <w:t>AIR</w:t>
      </w:r>
      <w:r w:rsidRPr="00733B99">
        <w:rPr>
          <w:rFonts w:cs="Arial"/>
          <w:szCs w:val="22"/>
        </w:rPr>
        <w:t>), senza che nella relazione illustrativa si riferisca in merito all’eventuale esenzione dall’obbligo di redigerla, in difformità dunque da quanto statuito dall’articolo 9 del DPCM n. 170/2008</w:t>
      </w:r>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Pr="00CC2FFB" w:rsidRDefault="000B33A8" w:rsidP="000B33A8">
      <w:pPr>
        <w:keepNext/>
        <w:ind w:firstLine="0"/>
        <w:rPr>
          <w:rFonts w:cs="Arial"/>
          <w:b/>
          <w:szCs w:val="22"/>
        </w:rPr>
      </w:pPr>
      <w:bookmarkStart w:id="503" w:name="S17C"/>
      <w:r>
        <w:rPr>
          <w:rFonts w:cs="Arial"/>
          <w:b/>
          <w:szCs w:val="22"/>
        </w:rPr>
        <w:t>Condi</w:t>
      </w:r>
      <w:r w:rsidRPr="00CC2FFB">
        <w:rPr>
          <w:rFonts w:cs="Arial"/>
          <w:b/>
          <w:szCs w:val="22"/>
        </w:rPr>
        <w:t>zioni:</w:t>
      </w:r>
    </w:p>
    <w:bookmarkEnd w:id="503"/>
    <w:p w:rsidR="000B33A8" w:rsidRPr="00261390" w:rsidRDefault="000B33A8" w:rsidP="000B33A8">
      <w:pPr>
        <w:ind w:firstLine="0"/>
        <w:rPr>
          <w:rFonts w:cs="Arial"/>
          <w:i/>
          <w:szCs w:val="22"/>
        </w:rPr>
      </w:pPr>
      <w:r>
        <w:rPr>
          <w:rFonts w:cs="Arial"/>
          <w:i/>
          <w:szCs w:val="22"/>
        </w:rPr>
        <w:t>sotto il profilo dell’efficacia del testo per la semplificazione e il riordinamento della legislazione vigente:</w:t>
      </w:r>
    </w:p>
    <w:p w:rsidR="000B33A8" w:rsidRDefault="000B33A8" w:rsidP="00B26E1F">
      <w:pPr>
        <w:pStyle w:val="Paragrafoelenco"/>
        <w:numPr>
          <w:ilvl w:val="0"/>
          <w:numId w:val="50"/>
        </w:numPr>
        <w:ind w:left="567" w:hanging="283"/>
        <w:rPr>
          <w:rFonts w:cs="Arial"/>
          <w:szCs w:val="22"/>
        </w:rPr>
      </w:pPr>
      <w:bookmarkStart w:id="504" w:name="S17c01"/>
      <w:r w:rsidRPr="009C30AB">
        <w:rPr>
          <w:rFonts w:cs="Arial"/>
          <w:szCs w:val="22"/>
        </w:rPr>
        <w:t xml:space="preserve">si provveda </w:t>
      </w:r>
      <w:bookmarkEnd w:id="504"/>
      <w:r w:rsidRPr="009C30AB">
        <w:rPr>
          <w:rFonts w:cs="Arial"/>
          <w:szCs w:val="22"/>
        </w:rPr>
        <w:t>ad una riformulazione del comma 1 dell'articolo 3 nei termini di una modifica esplicita, e non implicita come nel testo attuale, dell'articolo 1, comma 4, del decreto-legge n.</w:t>
      </w:r>
      <w:r>
        <w:rPr>
          <w:rFonts w:cs="Arial"/>
          <w:szCs w:val="22"/>
        </w:rPr>
        <w:t xml:space="preserve"> </w:t>
      </w:r>
      <w:r w:rsidRPr="009C30AB">
        <w:rPr>
          <w:rFonts w:cs="Arial"/>
          <w:szCs w:val="22"/>
        </w:rPr>
        <w:t>207/2012.</w:t>
      </w:r>
      <w:r w:rsidRPr="00261390">
        <w:rPr>
          <w:rFonts w:cs="Arial"/>
          <w:szCs w:val="22"/>
        </w:rPr>
        <w:t>;</w:t>
      </w:r>
      <w:r>
        <w:rPr>
          <w:rFonts w:cs="Arial"/>
          <w:szCs w:val="22"/>
        </w:rPr>
        <w:t xml:space="preserve"> [</w:t>
      </w:r>
      <w:hyperlink w:anchor="premessa17" w:history="1">
        <w:r w:rsidRPr="00261390">
          <w:rPr>
            <w:rStyle w:val="Collegamentoipertestuale"/>
            <w:rFonts w:cs="Arial"/>
            <w:szCs w:val="22"/>
          </w:rPr>
          <w:t>torna su</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Pr="00CC2FFB" w:rsidRDefault="000B33A8" w:rsidP="0041678A">
      <w:pPr>
        <w:keepNext/>
        <w:ind w:firstLine="0"/>
        <w:rPr>
          <w:rFonts w:cs="Arial"/>
          <w:b/>
          <w:szCs w:val="22"/>
        </w:rPr>
      </w:pPr>
      <w:bookmarkStart w:id="505" w:name="S17O"/>
      <w:r w:rsidRPr="00CC2FFB">
        <w:rPr>
          <w:rFonts w:cs="Arial"/>
          <w:b/>
          <w:szCs w:val="22"/>
        </w:rPr>
        <w:lastRenderedPageBreak/>
        <w:t>Osservazioni:</w:t>
      </w:r>
    </w:p>
    <w:bookmarkEnd w:id="505"/>
    <w:p w:rsidR="000B33A8" w:rsidRPr="00261390" w:rsidRDefault="000B33A8" w:rsidP="0041678A">
      <w:pPr>
        <w:keepNext/>
        <w:ind w:firstLine="0"/>
        <w:rPr>
          <w:rFonts w:cs="Arial"/>
          <w:i/>
          <w:szCs w:val="22"/>
        </w:rPr>
      </w:pPr>
      <w:r w:rsidRPr="00261390">
        <w:rPr>
          <w:rFonts w:cs="Arial"/>
          <w:i/>
          <w:szCs w:val="22"/>
        </w:rPr>
        <w:t>sotto il profilo della chiarezza e della proprietà della fo</w:t>
      </w:r>
      <w:r>
        <w:rPr>
          <w:rFonts w:cs="Arial"/>
          <w:i/>
          <w:szCs w:val="22"/>
        </w:rPr>
        <w:t>rmulazione:</w:t>
      </w:r>
    </w:p>
    <w:p w:rsidR="000B33A8" w:rsidRDefault="000B33A8" w:rsidP="00B26E1F">
      <w:pPr>
        <w:pStyle w:val="Paragrafoelenco"/>
        <w:numPr>
          <w:ilvl w:val="0"/>
          <w:numId w:val="51"/>
        </w:numPr>
        <w:ind w:left="567" w:hanging="283"/>
        <w:rPr>
          <w:rFonts w:cs="Arial"/>
          <w:szCs w:val="22"/>
        </w:rPr>
      </w:pPr>
      <w:bookmarkStart w:id="506" w:name="S17o01"/>
      <w:r w:rsidRPr="009C30AB">
        <w:rPr>
          <w:rFonts w:cs="Arial"/>
          <w:szCs w:val="22"/>
        </w:rPr>
        <w:t xml:space="preserve">valutino le Commissioni </w:t>
      </w:r>
      <w:bookmarkEnd w:id="506"/>
      <w:r w:rsidRPr="009C30AB">
        <w:rPr>
          <w:rFonts w:cs="Arial"/>
          <w:szCs w:val="22"/>
        </w:rPr>
        <w:t>di merito l'opportunità di una riformulazione dei commi 3 e 4 dell'articolo 3 al fine di precisare, con riferimento agli aspetti richiamati in premessa, gli effetti della predisposizione, da parte dell'impresa proprietaria di stabilimenti di interesse strategico nazionale oggetto di sequestro da parte dell'autorità giudiziaria, del piano di misure e attività aggiuntive per la tutela della sicurezza dei luoghi di lavoro</w:t>
      </w:r>
      <w:r>
        <w:rPr>
          <w:rFonts w:cs="Arial"/>
          <w:szCs w:val="22"/>
        </w:rPr>
        <w:t>. [</w:t>
      </w:r>
      <w:hyperlink w:anchor="premessa17" w:history="1">
        <w:r w:rsidRPr="00261390">
          <w:rPr>
            <w:rStyle w:val="Collegamentoipertestuale"/>
            <w:rFonts w:cs="Arial"/>
            <w:szCs w:val="22"/>
          </w:rPr>
          <w:t>torna su</w:t>
        </w:r>
      </w:hyperlink>
      <w:r>
        <w:rPr>
          <w:rFonts w:cs="Arial"/>
          <w:szCs w:val="22"/>
        </w:rPr>
        <w:t xml:space="preserve">] </w:t>
      </w:r>
    </w:p>
    <w:p w:rsidR="000B33A8" w:rsidRDefault="000B33A8" w:rsidP="000B33A8">
      <w:pPr>
        <w:pStyle w:val="Paragrafoelenco"/>
        <w:ind w:firstLine="0"/>
        <w:rPr>
          <w:rFonts w:cs="Arial"/>
          <w:szCs w:val="22"/>
        </w:rPr>
      </w:pPr>
    </w:p>
    <w:p w:rsidR="000B33A8" w:rsidRPr="004325F3" w:rsidRDefault="000B33A8" w:rsidP="000B33A8">
      <w:pPr>
        <w:pStyle w:val="Paragrafoelenco"/>
        <w:ind w:firstLine="0"/>
        <w:rPr>
          <w:rFonts w:cs="Arial"/>
          <w:szCs w:val="22"/>
        </w:rPr>
      </w:pPr>
      <w:r>
        <w:rPr>
          <w:rFonts w:cs="Arial"/>
          <w:szCs w:val="22"/>
        </w:rPr>
        <w:t xml:space="preserve"> </w:t>
      </w:r>
    </w:p>
    <w:p w:rsidR="000B33A8" w:rsidRDefault="000B33A8" w:rsidP="000B33A8">
      <w:pPr>
        <w:ind w:firstLine="0"/>
        <w:rPr>
          <w:rFonts w:cs="Arial"/>
          <w:i/>
          <w:szCs w:val="22"/>
        </w:rPr>
        <w:sectPr w:rsidR="000B33A8" w:rsidSect="000B33A8">
          <w:headerReference w:type="default" r:id="rId368"/>
          <w:footerReference w:type="even" r:id="rId369"/>
          <w:footerReference w:type="default" r:id="rId370"/>
          <w:pgSz w:w="11906" w:h="16838" w:code="9"/>
          <w:pgMar w:top="1985" w:right="1985" w:bottom="1985" w:left="1985" w:header="1134" w:footer="1134" w:gutter="0"/>
          <w:cols w:space="720"/>
          <w:formProt w:val="0"/>
        </w:sectPr>
      </w:pPr>
    </w:p>
    <w:p w:rsidR="000B33A8" w:rsidRPr="005C7D5A" w:rsidRDefault="000B33A8" w:rsidP="000B33A8">
      <w:pPr>
        <w:ind w:firstLine="0"/>
        <w:rPr>
          <w:rFonts w:cs="Arial"/>
          <w:i/>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0018</w:t>
            </w:r>
          </w:p>
        </w:tc>
        <w:tc>
          <w:tcPr>
            <w:tcW w:w="750" w:type="pct"/>
            <w:shd w:val="clear" w:color="auto" w:fill="auto"/>
          </w:tcPr>
          <w:p w:rsidR="000B33A8" w:rsidRPr="00B26E1F" w:rsidRDefault="000B33A8" w:rsidP="000B33A8">
            <w:pPr>
              <w:pStyle w:val="Collegamento"/>
              <w:rPr>
                <w:rFonts w:cs="Arial"/>
              </w:rPr>
            </w:pPr>
            <w:r w:rsidRPr="00B26E1F">
              <w:rPr>
                <w:rFonts w:cs="Arial"/>
              </w:rPr>
              <w:t>TU 2607</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71" w:history="1">
              <w:r w:rsidR="000B33A8" w:rsidRPr="00B26E1F">
                <w:rPr>
                  <w:rStyle w:val="Collegamentoipertestuale"/>
                  <w:rFonts w:cs="Arial"/>
                </w:rPr>
                <w:t>pdl</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Delega protezione civile</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72" w:anchor="data.20150715.com48.bollettino.sede00020.tit00010" w:history="1">
              <w:r w:rsidR="000B33A8" w:rsidRPr="00975C41">
                <w:rPr>
                  <w:rStyle w:val="Collegamentoipertestuale"/>
                </w:rPr>
                <w:t>15/07/2015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6-</w:t>
            </w:r>
            <w:r w:rsidRPr="00B26E1F">
              <w:rPr>
                <w:rFonts w:cs="Arial"/>
                <w:b/>
                <w:bCs/>
                <w:i/>
                <w:sz w:val="24"/>
              </w:rPr>
              <w:t>BIS</w:t>
            </w:r>
            <w:r w:rsidRPr="00B26E1F">
              <w:rPr>
                <w:rFonts w:cs="Arial"/>
                <w:b/>
                <w:bCs/>
                <w:sz w:val="24"/>
              </w:rPr>
              <w:t>,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507" w:name="premessa18"/>
            <w:r w:rsidRPr="00B26E1F">
              <w:rPr>
                <w:rFonts w:cs="Arial"/>
                <w:b/>
                <w:color w:val="0000FF"/>
                <w:sz w:val="24"/>
                <w:szCs w:val="24"/>
              </w:rPr>
              <w:t>Premessa</w:t>
            </w:r>
            <w:bookmarkEnd w:id="507"/>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2 Condizioni, 2 Osservazioni</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8a01" w:history="1">
              <w:r w:rsidR="000B33A8" w:rsidRPr="00D40FBA">
                <w:rPr>
                  <w:rStyle w:val="Collegamentoipertestuale"/>
                </w:rPr>
                <w:t>1</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7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8a02" w:history="1">
              <w:r w:rsidR="000B33A8" w:rsidRPr="00812559">
                <w:rPr>
                  <w:rStyle w:val="Collegamentoipertestuale"/>
                </w:rPr>
                <w:t>2</w:t>
              </w:r>
            </w:hyperlink>
            <w:r w:rsidR="000B33A8" w:rsidRPr="00B26E1F">
              <w:rPr>
                <w:rFonts w:cs="Arial"/>
              </w:rPr>
              <w:t xml:space="preserve"> – </w:t>
            </w:r>
            <w:r w:rsidR="000B33A8">
              <w:t>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Sovrapposizione tra oggetto della delega e principi e criteri direttivi.</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8a03" w:history="1">
              <w:r w:rsidR="000B33A8" w:rsidRPr="00812559">
                <w:rPr>
                  <w:rStyle w:val="Collegamentoipertestuale"/>
                </w:rPr>
                <w:t>3</w:t>
              </w:r>
            </w:hyperlink>
            <w:r w:rsidR="000B33A8" w:rsidRPr="00B26E1F">
              <w:rPr>
                <w:rFonts w:cs="Arial"/>
              </w:rPr>
              <w:t xml:space="preserve"> – </w:t>
            </w:r>
            <w:r w:rsidR="000B33A8">
              <w:t>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Principi e criteri direttivi formulati con espressioni che fanno riferimento a mere eventualità o ad opzioni alternative selezionabili dal Governo delegato. Richiamo alle sentenze n. 68/1991 e n. 340/2007 della Corte costituzionale.</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41678A">
        <w:trPr>
          <w:trHeight w:val="41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8a04" w:history="1">
              <w:r w:rsidR="000B33A8" w:rsidRPr="006533B3">
                <w:rPr>
                  <w:rStyle w:val="Collegamentoipertestuale"/>
                </w:rPr>
                <w:t>4</w:t>
              </w:r>
            </w:hyperlink>
            <w:r w:rsidR="000B33A8">
              <w:t xml:space="preserve"> – Coerente utilizzo delle fonti normative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Si rimette ad una fonte di rango primario l’individuazione dei criteri per l’adozione di ricognizione, modifica ed integrazione dei provvedimenti di attuazione, che sono fonti di rango secondario. Si affida ai decreti legislativi e non alla legge di delega l’individuazione dei criteri di riordino di un ambito normativo, sia pure di rango secondario.</w:t>
            </w:r>
          </w:p>
          <w:p w:rsidR="000B33A8" w:rsidRPr="00B26E1F" w:rsidRDefault="000B33A8" w:rsidP="00B26E1F">
            <w:pPr>
              <w:spacing w:before="100" w:beforeAutospacing="1" w:after="100" w:afterAutospacing="1"/>
              <w:ind w:firstLine="0"/>
              <w:rPr>
                <w:rFonts w:cs="Arial"/>
              </w:rPr>
            </w:pPr>
            <w:r w:rsidRPr="00B26E1F">
              <w:rPr>
                <w:rFonts w:cs="Arial"/>
              </w:rPr>
              <w:lastRenderedPageBreak/>
              <w:t>Condizione 2</w:t>
            </w:r>
          </w:p>
        </w:tc>
      </w:tr>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8a05" w:history="1">
              <w:r w:rsidR="000B33A8" w:rsidRPr="006533B3">
                <w:rPr>
                  <w:rStyle w:val="Collegamentoipertestuale"/>
                </w:rPr>
                <w:t>5</w:t>
              </w:r>
            </w:hyperlink>
            <w:r w:rsidR="000B33A8">
              <w:t xml:space="preserve"> – Procedure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Previsione dell’obbligo di presentare una relazione motivata alle Camere per procedere all’adozione di decreti legislativi integrativi o correttivi.</w:t>
            </w:r>
          </w:p>
          <w:p w:rsidR="000B33A8" w:rsidRPr="00B26E1F" w:rsidRDefault="000B33A8" w:rsidP="00B26E1F">
            <w:pPr>
              <w:spacing w:before="100" w:beforeAutospacing="1" w:after="100" w:afterAutospacing="1"/>
              <w:ind w:firstLine="0"/>
              <w:rPr>
                <w:rFonts w:cs="Arial"/>
              </w:rPr>
            </w:pPr>
            <w:r w:rsidRPr="00B26E1F">
              <w:rPr>
                <w:rFonts w:cs="Arial"/>
              </w:rPr>
              <w:t>Osservazione 2</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140" w:type="pct"/>
        <w:tblLook w:val="01E0" w:firstRow="1" w:lastRow="1" w:firstColumn="1" w:lastColumn="1" w:noHBand="0" w:noVBand="0"/>
      </w:tblPr>
      <w:tblGrid>
        <w:gridCol w:w="4190"/>
        <w:gridCol w:w="3962"/>
        <w:gridCol w:w="228"/>
      </w:tblGrid>
      <w:tr w:rsidR="000B33A8" w:rsidRPr="00A33B28" w:rsidTr="0041678A">
        <w:trPr>
          <w:gridAfter w:val="1"/>
          <w:wAfter w:w="136" w:type="pct"/>
        </w:trPr>
        <w:tc>
          <w:tcPr>
            <w:tcW w:w="4864"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3A04FD" w:rsidTr="0041678A">
        <w:trPr>
          <w:trHeight w:val="423"/>
        </w:trPr>
        <w:tc>
          <w:tcPr>
            <w:tcW w:w="2500" w:type="pct"/>
            <w:tcBorders>
              <w:top w:val="nil"/>
              <w:left w:val="nil"/>
              <w:bottom w:val="nil"/>
              <w:right w:val="nil"/>
            </w:tcBorders>
            <w:shd w:val="clear" w:color="auto" w:fill="auto"/>
          </w:tcPr>
          <w:p w:rsidR="000B33A8" w:rsidRDefault="00EB0878" w:rsidP="0041678A">
            <w:pPr>
              <w:keepNext/>
              <w:spacing w:before="100" w:beforeAutospacing="1" w:after="100" w:afterAutospacing="1"/>
              <w:ind w:firstLine="0"/>
              <w:jc w:val="left"/>
            </w:pPr>
            <w:hyperlink w:anchor="S18C" w:history="1">
              <w:r w:rsidR="000B33A8" w:rsidRPr="00DF4FA4">
                <w:rPr>
                  <w:rStyle w:val="Collegamentoipertestuale"/>
                </w:rPr>
                <w:t>C</w:t>
              </w:r>
            </w:hyperlink>
            <w:r w:rsidR="000B33A8">
              <w:t xml:space="preserve"> - Condizioni</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r w:rsidR="000B33A8" w:rsidRPr="003A04FD" w:rsidTr="0041678A">
        <w:trPr>
          <w:trHeight w:val="423"/>
        </w:trPr>
        <w:tc>
          <w:tcPr>
            <w:tcW w:w="2500" w:type="pct"/>
            <w:tcBorders>
              <w:top w:val="nil"/>
              <w:left w:val="nil"/>
              <w:bottom w:val="nil"/>
              <w:right w:val="nil"/>
            </w:tcBorders>
            <w:shd w:val="clear" w:color="auto" w:fill="auto"/>
          </w:tcPr>
          <w:p w:rsidR="000B33A8" w:rsidRPr="003A04FD" w:rsidRDefault="00EB0878" w:rsidP="000B33A8">
            <w:pPr>
              <w:keepNext/>
              <w:spacing w:before="100" w:beforeAutospacing="1" w:after="100" w:afterAutospacing="1"/>
              <w:ind w:firstLine="0"/>
              <w:jc w:val="left"/>
              <w:rPr>
                <w:rFonts w:cs="Arial"/>
              </w:rPr>
            </w:pPr>
            <w:hyperlink w:anchor="S18O" w:history="1">
              <w:r w:rsidR="000B33A8" w:rsidRPr="00852C73">
                <w:rPr>
                  <w:rStyle w:val="Collegamentoipertestuale"/>
                  <w:rFonts w:cs="Arial"/>
                </w:rPr>
                <w:t>O</w:t>
              </w:r>
            </w:hyperlink>
            <w:r w:rsidR="000B33A8" w:rsidRPr="003A04FD">
              <w:rPr>
                <w:rFonts w:cs="Arial"/>
              </w:rPr>
              <w:t xml:space="preserve"> - Osservazioni</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nessuno.</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spacing w:after="120"/>
        <w:rPr>
          <w:rFonts w:cs="Arial"/>
          <w:szCs w:val="22"/>
        </w:rPr>
      </w:pPr>
      <w:bookmarkStart w:id="508" w:name="S18a01"/>
      <w:r w:rsidRPr="00B91F58">
        <w:rPr>
          <w:rFonts w:cs="Arial"/>
          <w:szCs w:val="22"/>
        </w:rPr>
        <w:t>1 –</w:t>
      </w:r>
      <w:bookmarkEnd w:id="508"/>
      <w:r w:rsidRPr="00B91F58">
        <w:rPr>
          <w:rFonts w:cs="Arial"/>
          <w:szCs w:val="22"/>
        </w:rPr>
        <w:t xml:space="preserve"> </w:t>
      </w:r>
      <w:hyperlink w:anchor="premessa18" w:history="1">
        <w:r w:rsidRPr="00B91F58">
          <w:rPr>
            <w:rStyle w:val="Collegamentoipertestuale"/>
            <w:rFonts w:cs="Arial"/>
            <w:b/>
            <w:szCs w:val="22"/>
          </w:rPr>
          <w:t>Premessa</w:t>
        </w:r>
        <w:r w:rsidRPr="00B91F58">
          <w:rPr>
            <w:rStyle w:val="Collegamentoipertestuale"/>
            <w:rFonts w:cs="Arial"/>
            <w:szCs w:val="22"/>
          </w:rPr>
          <w:t>:</w:t>
        </w:r>
      </w:hyperlink>
      <w:r w:rsidRPr="00957CE2">
        <w:rPr>
          <w:rStyle w:val="Collegamentoipertestuale"/>
          <w:rFonts w:cs="Arial"/>
          <w:szCs w:val="22"/>
        </w:rPr>
        <w:t xml:space="preserve"> </w:t>
      </w:r>
      <w:r w:rsidRPr="00B91F58">
        <w:rPr>
          <w:rFonts w:cs="Arial"/>
          <w:szCs w:val="22"/>
        </w:rPr>
        <w:t>«</w:t>
      </w:r>
      <w:r w:rsidRPr="00A6520F">
        <w:rPr>
          <w:rFonts w:cs="Arial"/>
          <w:szCs w:val="22"/>
        </w:rPr>
        <w:t xml:space="preserve">il provvedimento è </w:t>
      </w:r>
      <w:r w:rsidRPr="00A6520F">
        <w:rPr>
          <w:rFonts w:cs="Arial"/>
          <w:b/>
          <w:szCs w:val="22"/>
        </w:rPr>
        <w:t>omogeneo</w:t>
      </w:r>
      <w:r w:rsidRPr="00A6520F">
        <w:rPr>
          <w:rFonts w:cs="Arial"/>
          <w:szCs w:val="22"/>
        </w:rPr>
        <w:t>, concernendo il riordino del sistema nazionale della protezione civile</w:t>
      </w:r>
      <w:r w:rsidRPr="00B91F58">
        <w:rPr>
          <w:rFonts w:cs="Arial"/>
          <w:szCs w:val="22"/>
        </w:rPr>
        <w:t>»;</w:t>
      </w:r>
      <w:r>
        <w:rPr>
          <w:rFonts w:cs="Arial"/>
          <w:szCs w:val="22"/>
        </w:rPr>
        <w:t xml:space="preserve"> </w:t>
      </w:r>
    </w:p>
    <w:p w:rsidR="000B33A8" w:rsidRPr="00B91F58" w:rsidRDefault="000B33A8" w:rsidP="000B33A8">
      <w:pPr>
        <w:spacing w:after="120"/>
        <w:rPr>
          <w:rFonts w:cs="Arial"/>
          <w:szCs w:val="22"/>
        </w:rPr>
      </w:pPr>
    </w:p>
    <w:p w:rsidR="000B33A8" w:rsidRPr="00B91F58" w:rsidRDefault="000B33A8" w:rsidP="000B33A8">
      <w:pPr>
        <w:spacing w:after="120"/>
        <w:rPr>
          <w:rFonts w:cs="Arial"/>
          <w:szCs w:val="22"/>
        </w:rPr>
      </w:pPr>
    </w:p>
    <w:p w:rsidR="000B33A8" w:rsidRPr="00B91F58" w:rsidRDefault="000B33A8" w:rsidP="000B33A8">
      <w:pPr>
        <w:rPr>
          <w:rFonts w:cs="Arial"/>
          <w:szCs w:val="22"/>
        </w:rPr>
      </w:pPr>
      <w:bookmarkStart w:id="509" w:name="S18a02"/>
      <w:r w:rsidRPr="00B91F58">
        <w:rPr>
          <w:rFonts w:cs="Arial"/>
          <w:szCs w:val="22"/>
        </w:rPr>
        <w:t>2 –</w:t>
      </w:r>
      <w:bookmarkEnd w:id="509"/>
      <w:r w:rsidRPr="00B91F58">
        <w:rPr>
          <w:rFonts w:cs="Arial"/>
          <w:szCs w:val="22"/>
        </w:rPr>
        <w:t xml:space="preserve"> </w:t>
      </w:r>
      <w:hyperlink w:anchor="premessa18"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A6520F">
        <w:t xml:space="preserve">ai commi 2 e 3 dell'articolo 1 alcuni </w:t>
      </w:r>
      <w:r w:rsidRPr="00A6520F">
        <w:rPr>
          <w:b/>
        </w:rPr>
        <w:t>princìpi e criteri direttivi</w:t>
      </w:r>
      <w:r w:rsidRPr="00A6520F">
        <w:t xml:space="preserve"> di delega finiscono, di fatto, per costituire </w:t>
      </w:r>
      <w:r w:rsidRPr="00A6520F">
        <w:rPr>
          <w:b/>
        </w:rPr>
        <w:t>ulteriori oggetti di delega</w:t>
      </w:r>
      <w:r w:rsidRPr="00A6520F">
        <w:t>; ciò si riscontra, in particolare, alle lettere a), b), e), g) del comma 2 e alle lettere b), c), d) del comma 3; inoltre la lettera d) del comma 3, che prevede l’“adeguamento alla giurisprudenza costituzionale, dell'Unione europea e delle giurisdizioni superiori” appare di incerta portata applicativa, dal momento che gli indirizzi giurisprudenziali richiamati potrebbero risultare non univoci</w:t>
      </w:r>
      <w:r w:rsidRPr="00B91F58">
        <w:rPr>
          <w:rFonts w:cs="Arial"/>
          <w:szCs w:val="22"/>
        </w:rPr>
        <w:t>»</w:t>
      </w:r>
      <w:r>
        <w:rPr>
          <w:rFonts w:cs="Arial"/>
          <w:szCs w:val="22"/>
        </w:rPr>
        <w:t xml:space="preserve"> (</w:t>
      </w:r>
      <w:hyperlink w:anchor="S18o01" w:history="1">
        <w:r w:rsidRPr="006649D0">
          <w:rPr>
            <w:rStyle w:val="Collegamentoipertestuale"/>
            <w:rFonts w:cs="Arial"/>
            <w:b/>
            <w:szCs w:val="22"/>
          </w:rPr>
          <w:t>conseguente osservazione</w:t>
        </w:r>
      </w:hyperlink>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510" w:name="S18a03"/>
      <w:r w:rsidRPr="00B91F58">
        <w:rPr>
          <w:rFonts w:cs="Arial"/>
          <w:szCs w:val="22"/>
        </w:rPr>
        <w:lastRenderedPageBreak/>
        <w:t>3 –</w:t>
      </w:r>
      <w:bookmarkEnd w:id="510"/>
      <w:r w:rsidRPr="00B91F58">
        <w:rPr>
          <w:rFonts w:cs="Arial"/>
          <w:szCs w:val="22"/>
        </w:rPr>
        <w:t xml:space="preserve"> </w:t>
      </w:r>
      <w:hyperlink w:anchor="premessa18"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A6520F">
        <w:rPr>
          <w:rFonts w:cs="Arial"/>
          <w:szCs w:val="22"/>
        </w:rPr>
        <w:t xml:space="preserve">la lettera a) del comma 3 attribuisce una </w:t>
      </w:r>
      <w:r w:rsidRPr="008D2BD2">
        <w:rPr>
          <w:rFonts w:cs="Arial"/>
          <w:b/>
          <w:szCs w:val="22"/>
        </w:rPr>
        <w:t>facoltà di opzione al legislatore delegato</w:t>
      </w:r>
      <w:r w:rsidRPr="00A6520F">
        <w:rPr>
          <w:rFonts w:cs="Arial"/>
          <w:szCs w:val="22"/>
        </w:rPr>
        <w:t xml:space="preserve">, consentendogli, a fini di semplificazione normativa, di seguire uno specifico metodo di redazione dei decreti legislativi, indicato nella lettera medesima, “o, in alternativa o in aggiunta” rispetto a tale metodo, di elaborare una tavola di raffronto; al riguardo si segnala che in un </w:t>
      </w:r>
      <w:r w:rsidRPr="008D2BD2">
        <w:rPr>
          <w:rFonts w:cs="Arial"/>
          <w:i/>
          <w:szCs w:val="22"/>
        </w:rPr>
        <w:t>obiter dictum</w:t>
      </w:r>
      <w:r w:rsidRPr="00A6520F">
        <w:rPr>
          <w:rFonts w:cs="Arial"/>
          <w:szCs w:val="22"/>
        </w:rPr>
        <w:t xml:space="preserve"> la </w:t>
      </w:r>
      <w:r w:rsidRPr="008D2BD2">
        <w:rPr>
          <w:rFonts w:cs="Arial"/>
          <w:b/>
          <w:szCs w:val="22"/>
        </w:rPr>
        <w:t>Corte costituzionale</w:t>
      </w:r>
      <w:r w:rsidRPr="00A6520F">
        <w:rPr>
          <w:rFonts w:cs="Arial"/>
          <w:szCs w:val="22"/>
        </w:rPr>
        <w:t xml:space="preserve"> ha rilevato che: “il libero apprezzamento del legislatore delegato non può mai assurgere a principio od a criterio direttivo, in quanto agli antipodi di una legislazione vincolata, quale è, per definizione, la legislazione su delega” (</w:t>
      </w:r>
      <w:r w:rsidRPr="008D2BD2">
        <w:rPr>
          <w:rFonts w:cs="Arial"/>
          <w:b/>
          <w:szCs w:val="22"/>
        </w:rPr>
        <w:t>sentenze n. 68 del 1991 e n. 340 del 2007</w:t>
      </w:r>
      <w:r w:rsidRPr="00A6520F">
        <w:rPr>
          <w:rFonts w:cs="Arial"/>
          <w:szCs w:val="22"/>
        </w:rPr>
        <w:t>);</w:t>
      </w:r>
      <w:r w:rsidRPr="00B91F58">
        <w:rPr>
          <w:rFonts w:cs="Arial"/>
          <w:szCs w:val="22"/>
        </w:rPr>
        <w:t>»</w:t>
      </w:r>
      <w:r>
        <w:rPr>
          <w:rFonts w:cs="Arial"/>
          <w:szCs w:val="22"/>
        </w:rPr>
        <w:t xml:space="preserve"> (</w:t>
      </w:r>
      <w:hyperlink w:anchor="S18c01" w:history="1">
        <w:r>
          <w:rPr>
            <w:rStyle w:val="Collegamentoipertestuale"/>
            <w:rFonts w:cs="Arial"/>
            <w:b/>
            <w:szCs w:val="22"/>
          </w:rPr>
          <w:t>conseguente condizione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511" w:name="S18a04"/>
      <w:r>
        <w:rPr>
          <w:rFonts w:cs="Arial"/>
          <w:szCs w:val="22"/>
        </w:rPr>
        <w:t>4</w:t>
      </w:r>
      <w:r w:rsidRPr="00B91F58">
        <w:rPr>
          <w:rFonts w:cs="Arial"/>
          <w:szCs w:val="22"/>
        </w:rPr>
        <w:t xml:space="preserve"> –</w:t>
      </w:r>
      <w:bookmarkEnd w:id="511"/>
      <w:r w:rsidRPr="00B91F58">
        <w:rPr>
          <w:rFonts w:cs="Arial"/>
          <w:szCs w:val="22"/>
        </w:rPr>
        <w:t xml:space="preserve"> </w:t>
      </w:r>
      <w:hyperlink w:anchor="premessa18"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906EEC">
        <w:rPr>
          <w:rFonts w:cs="Arial"/>
          <w:szCs w:val="22"/>
        </w:rPr>
        <w:t xml:space="preserve">appare di non chiara </w:t>
      </w:r>
      <w:r w:rsidRPr="00906EEC">
        <w:rPr>
          <w:rFonts w:cs="Arial"/>
          <w:b/>
          <w:szCs w:val="22"/>
        </w:rPr>
        <w:t>portata normativa</w:t>
      </w:r>
      <w:r w:rsidRPr="00906EEC">
        <w:rPr>
          <w:rFonts w:cs="Arial"/>
          <w:szCs w:val="22"/>
        </w:rPr>
        <w:t xml:space="preserve"> la disposizione di cui al comma 4 dell'articolo 1 che rimette a decreti legislativi di attuazione della delega (e quindi ad una </w:t>
      </w:r>
      <w:r w:rsidRPr="00906EEC">
        <w:rPr>
          <w:rFonts w:cs="Arial"/>
          <w:b/>
          <w:szCs w:val="22"/>
        </w:rPr>
        <w:t>fonte di rango primario</w:t>
      </w:r>
      <w:r w:rsidRPr="00906EEC">
        <w:rPr>
          <w:rFonts w:cs="Arial"/>
          <w:szCs w:val="22"/>
        </w:rPr>
        <w:t xml:space="preserve">) l'individuazione dei criteri per l'adozione di iniziative di ricognizione, modifica e integrazione dei provvedimenti di attuazione (e quindi di </w:t>
      </w:r>
      <w:r w:rsidRPr="00906EEC">
        <w:rPr>
          <w:rFonts w:cs="Arial"/>
          <w:b/>
          <w:szCs w:val="22"/>
        </w:rPr>
        <w:t>fonti di rango secondario</w:t>
      </w:r>
      <w:r w:rsidRPr="00906EEC">
        <w:rPr>
          <w:rFonts w:cs="Arial"/>
          <w:szCs w:val="22"/>
        </w:rPr>
        <w:t>) in materia di protezione civile “con particolare riferimento alle direttive del Presidente del Consiglio dei ministri” chiamate a definire gli indirizzi operativi dei programmi di previsione e prevenzione dei rischi, nonché i programmi nazionali di soccorso e i piani per l'attuazione delle conseguenti misure di emergenza, ai sensi dell'articolo 5, comma 2, del decreto-legge n.</w:t>
      </w:r>
      <w:r>
        <w:rPr>
          <w:rFonts w:cs="Arial"/>
          <w:szCs w:val="22"/>
        </w:rPr>
        <w:t xml:space="preserve"> </w:t>
      </w:r>
      <w:r w:rsidRPr="00906EEC">
        <w:rPr>
          <w:rFonts w:cs="Arial"/>
          <w:szCs w:val="22"/>
        </w:rPr>
        <w:t>343/2001; appare peraltro in contraddizione con la natura della delega legislativa l'affidamento dell'individuazione di criteri di riordino di un ambito normativo – sia pure, come si è detto, di rango secondario – ai decreti legislativi, e non alla legge di delega</w:t>
      </w:r>
      <w:r w:rsidRPr="00B91F58">
        <w:rPr>
          <w:rFonts w:cs="Arial"/>
          <w:szCs w:val="22"/>
        </w:rPr>
        <w:t>»</w:t>
      </w:r>
      <w:r>
        <w:rPr>
          <w:rFonts w:cs="Arial"/>
          <w:szCs w:val="22"/>
        </w:rPr>
        <w:t xml:space="preserve"> (</w:t>
      </w:r>
      <w:hyperlink w:anchor="S18c02" w:history="1">
        <w:r>
          <w:rPr>
            <w:rStyle w:val="Collegamentoipertestuale"/>
            <w:rFonts w:cs="Arial"/>
            <w:b/>
            <w:szCs w:val="22"/>
          </w:rPr>
          <w:t>conseguente condizione</w:t>
        </w:r>
      </w:hyperlink>
      <w:r>
        <w:rPr>
          <w:rFonts w:cs="Arial"/>
          <w:szCs w:val="22"/>
        </w:rPr>
        <w:t>);</w:t>
      </w:r>
    </w:p>
    <w:p w:rsidR="000B33A8" w:rsidRDefault="000B33A8" w:rsidP="000B33A8">
      <w:pPr>
        <w:spacing w:after="120"/>
        <w:rPr>
          <w:rFonts w:cs="Arial"/>
          <w:szCs w:val="22"/>
        </w:rPr>
      </w:pPr>
    </w:p>
    <w:p w:rsidR="000B33A8" w:rsidRDefault="000B33A8" w:rsidP="000B33A8">
      <w:pPr>
        <w:spacing w:after="120"/>
        <w:rPr>
          <w:rFonts w:cs="Arial"/>
          <w:szCs w:val="22"/>
        </w:rPr>
      </w:pPr>
    </w:p>
    <w:p w:rsidR="000B33A8" w:rsidRPr="00B91F58" w:rsidRDefault="000B33A8" w:rsidP="000B33A8">
      <w:pPr>
        <w:spacing w:after="120"/>
        <w:rPr>
          <w:rFonts w:cs="Arial"/>
          <w:szCs w:val="22"/>
        </w:rPr>
      </w:pPr>
      <w:bookmarkStart w:id="512" w:name="S18a05"/>
      <w:r>
        <w:rPr>
          <w:rFonts w:cs="Arial"/>
          <w:szCs w:val="22"/>
        </w:rPr>
        <w:t>5 -</w:t>
      </w:r>
      <w:r w:rsidRPr="00B91F58">
        <w:rPr>
          <w:rFonts w:cs="Arial"/>
          <w:szCs w:val="22"/>
        </w:rPr>
        <w:t xml:space="preserve"> </w:t>
      </w:r>
      <w:bookmarkEnd w:id="512"/>
      <w:r>
        <w:fldChar w:fldCharType="begin"/>
      </w:r>
      <w:r>
        <w:instrText>HYPERLINK  \l "premessa18"</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906EEC">
        <w:rPr>
          <w:rFonts w:cs="Arial"/>
          <w:szCs w:val="22"/>
        </w:rPr>
        <w:t xml:space="preserve">al comma 6 dell'articolo 1 andrebbe approfondita, in assenza di precedenti in tal senso, la </w:t>
      </w:r>
      <w:r w:rsidRPr="00906EEC">
        <w:rPr>
          <w:rFonts w:cs="Arial"/>
          <w:i/>
          <w:szCs w:val="22"/>
        </w:rPr>
        <w:t>ratio</w:t>
      </w:r>
      <w:r w:rsidRPr="00906EEC">
        <w:rPr>
          <w:rFonts w:cs="Arial"/>
          <w:szCs w:val="22"/>
        </w:rPr>
        <w:t xml:space="preserve"> della previsione dell'obbligo di presentare una </w:t>
      </w:r>
      <w:r w:rsidRPr="00906EEC">
        <w:rPr>
          <w:rFonts w:cs="Arial"/>
          <w:b/>
          <w:szCs w:val="22"/>
        </w:rPr>
        <w:t>relazione motivata alle Camere per procedere all'adozione di decreti legislativi integrativi o correttivi</w:t>
      </w:r>
      <w:r w:rsidRPr="00906EEC">
        <w:rPr>
          <w:rFonts w:cs="Arial"/>
          <w:szCs w:val="22"/>
        </w:rPr>
        <w:t>; appare inoltre ultronea, perché riferita ad aspetti endoprocedimentali, la previsione che la relazione sia presentata dal Presidente del Consiglio dei ministri su proposta del capo del Dipartimento della protezione civile</w:t>
      </w:r>
      <w:r w:rsidRPr="00B91F58">
        <w:rPr>
          <w:rFonts w:cs="Arial"/>
          <w:szCs w:val="22"/>
        </w:rPr>
        <w:t>»</w:t>
      </w:r>
      <w:r>
        <w:rPr>
          <w:rFonts w:cs="Arial"/>
          <w:szCs w:val="22"/>
        </w:rPr>
        <w:t xml:space="preserve"> (</w:t>
      </w:r>
      <w:hyperlink w:anchor="S18o02" w:history="1">
        <w:r w:rsidRPr="006649D0">
          <w:rPr>
            <w:rStyle w:val="Collegamentoipertestuale"/>
            <w:rFonts w:cs="Arial"/>
            <w:b/>
            <w:szCs w:val="22"/>
          </w:rPr>
          <w:t>conseguente osservazione</w:t>
        </w:r>
      </w:hyperlink>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Pr="00CC2FFB" w:rsidRDefault="000B33A8" w:rsidP="00A87AE9">
      <w:pPr>
        <w:keepNext/>
        <w:ind w:firstLine="0"/>
        <w:rPr>
          <w:rFonts w:cs="Arial"/>
          <w:b/>
          <w:szCs w:val="22"/>
        </w:rPr>
      </w:pPr>
      <w:bookmarkStart w:id="513" w:name="S18C"/>
      <w:r>
        <w:rPr>
          <w:rFonts w:cs="Arial"/>
          <w:b/>
          <w:szCs w:val="22"/>
        </w:rPr>
        <w:lastRenderedPageBreak/>
        <w:t>Condi</w:t>
      </w:r>
      <w:r w:rsidRPr="00CC2FFB">
        <w:rPr>
          <w:rFonts w:cs="Arial"/>
          <w:b/>
          <w:szCs w:val="22"/>
        </w:rPr>
        <w:t>zioni:</w:t>
      </w:r>
    </w:p>
    <w:bookmarkEnd w:id="513"/>
    <w:p w:rsidR="000B33A8" w:rsidRPr="00261390" w:rsidRDefault="000B33A8" w:rsidP="00A87AE9">
      <w:pPr>
        <w:keepNext/>
        <w:ind w:firstLine="0"/>
        <w:rPr>
          <w:rFonts w:cs="Arial"/>
          <w:i/>
          <w:szCs w:val="22"/>
        </w:rPr>
      </w:pPr>
      <w:r w:rsidRPr="00261390">
        <w:rPr>
          <w:rFonts w:cs="Arial"/>
          <w:i/>
          <w:szCs w:val="22"/>
        </w:rPr>
        <w:t>sotto il profilo della chiarezza e della proprietà della fo</w:t>
      </w:r>
      <w:r>
        <w:rPr>
          <w:rFonts w:cs="Arial"/>
          <w:i/>
          <w:szCs w:val="22"/>
        </w:rPr>
        <w:t>rmulazione:</w:t>
      </w:r>
    </w:p>
    <w:p w:rsidR="000B33A8" w:rsidRDefault="000B33A8" w:rsidP="00B26E1F">
      <w:pPr>
        <w:pStyle w:val="Paragrafoelenco"/>
        <w:numPr>
          <w:ilvl w:val="0"/>
          <w:numId w:val="52"/>
        </w:numPr>
        <w:ind w:left="567" w:hanging="283"/>
        <w:rPr>
          <w:rFonts w:cs="Arial"/>
          <w:szCs w:val="22"/>
        </w:rPr>
      </w:pPr>
      <w:bookmarkStart w:id="514" w:name="S18c01"/>
      <w:r w:rsidRPr="00A6520F">
        <w:rPr>
          <w:rFonts w:cs="Arial"/>
          <w:szCs w:val="22"/>
        </w:rPr>
        <w:t xml:space="preserve">si provveda ad </w:t>
      </w:r>
      <w:bookmarkEnd w:id="514"/>
      <w:r w:rsidRPr="00A6520F">
        <w:rPr>
          <w:rFonts w:cs="Arial"/>
          <w:szCs w:val="22"/>
        </w:rPr>
        <w:t>una riformulazione della lettera a) del comma 3 dell'articolo 1, facendo venire meno la facoltà di opzione attualmente attribuita al legislatore delegato</w:t>
      </w:r>
      <w:r w:rsidRPr="00261390">
        <w:rPr>
          <w:rFonts w:cs="Arial"/>
          <w:szCs w:val="22"/>
        </w:rPr>
        <w:t>;</w:t>
      </w:r>
      <w:r>
        <w:rPr>
          <w:rFonts w:cs="Arial"/>
          <w:szCs w:val="22"/>
        </w:rPr>
        <w:t xml:space="preserve"> [</w:t>
      </w:r>
      <w:hyperlink w:anchor="premessa18"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52"/>
        </w:numPr>
        <w:ind w:left="567" w:hanging="283"/>
        <w:rPr>
          <w:rFonts w:cs="Arial"/>
          <w:szCs w:val="22"/>
        </w:rPr>
      </w:pPr>
      <w:bookmarkStart w:id="515" w:name="S18c02"/>
      <w:r w:rsidRPr="00A6520F">
        <w:rPr>
          <w:rFonts w:cs="Arial"/>
          <w:szCs w:val="22"/>
        </w:rPr>
        <w:t xml:space="preserve">si provveda </w:t>
      </w:r>
      <w:bookmarkEnd w:id="515"/>
      <w:r w:rsidRPr="00A6520F">
        <w:rPr>
          <w:rFonts w:cs="Arial"/>
          <w:szCs w:val="22"/>
        </w:rPr>
        <w:t>ad una riformulazione del comma 4 dell'articolo 1 al fine di chiarirne, con riferimento agli aspetti segnalati in premessa, la portata normativa</w:t>
      </w:r>
      <w:r w:rsidRPr="00261390">
        <w:rPr>
          <w:rFonts w:cs="Arial"/>
          <w:szCs w:val="22"/>
        </w:rPr>
        <w:t>;</w:t>
      </w:r>
      <w:r>
        <w:rPr>
          <w:rFonts w:cs="Arial"/>
          <w:szCs w:val="22"/>
        </w:rPr>
        <w:t xml:space="preserve"> [</w:t>
      </w:r>
      <w:hyperlink w:anchor="premessa18" w:history="1">
        <w:r w:rsidRPr="00261390">
          <w:rPr>
            <w:rStyle w:val="Collegamentoipertestuale"/>
            <w:rFonts w:cs="Arial"/>
            <w:szCs w:val="22"/>
          </w:rPr>
          <w:t>torna su</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b/>
          <w:szCs w:val="22"/>
        </w:rPr>
      </w:pPr>
      <w:bookmarkStart w:id="516" w:name="S18O"/>
      <w:r w:rsidRPr="00CC2FFB">
        <w:rPr>
          <w:rFonts w:cs="Arial"/>
          <w:b/>
          <w:szCs w:val="22"/>
        </w:rPr>
        <w:t>Osservazioni:</w:t>
      </w:r>
    </w:p>
    <w:bookmarkEnd w:id="516"/>
    <w:p w:rsidR="000B33A8" w:rsidRPr="00261390" w:rsidRDefault="000B33A8" w:rsidP="000B33A8">
      <w:pPr>
        <w:keepNext/>
        <w:ind w:firstLine="0"/>
        <w:rPr>
          <w:rFonts w:cs="Arial"/>
          <w:i/>
          <w:szCs w:val="22"/>
        </w:rPr>
      </w:pPr>
      <w:r>
        <w:rPr>
          <w:rFonts w:cs="Arial"/>
          <w:i/>
          <w:szCs w:val="22"/>
        </w:rPr>
        <w:t>sotto il profilo dell’efficacia del testo per la semplificazione e il riordinamento della legislazione vigente:</w:t>
      </w:r>
    </w:p>
    <w:p w:rsidR="000B33A8" w:rsidRDefault="000B33A8" w:rsidP="00B26E1F">
      <w:pPr>
        <w:pStyle w:val="Paragrafoelenco"/>
        <w:numPr>
          <w:ilvl w:val="0"/>
          <w:numId w:val="53"/>
        </w:numPr>
        <w:ind w:left="567" w:hanging="283"/>
        <w:rPr>
          <w:rFonts w:cs="Arial"/>
          <w:szCs w:val="22"/>
        </w:rPr>
      </w:pPr>
      <w:bookmarkStart w:id="517" w:name="S18o01"/>
      <w:r w:rsidRPr="00A6520F">
        <w:rPr>
          <w:rFonts w:cs="Arial"/>
          <w:szCs w:val="22"/>
        </w:rPr>
        <w:t xml:space="preserve">valuti la Commissione </w:t>
      </w:r>
      <w:bookmarkEnd w:id="517"/>
      <w:r w:rsidRPr="00A6520F">
        <w:rPr>
          <w:rFonts w:cs="Arial"/>
          <w:szCs w:val="22"/>
        </w:rPr>
        <w:t>di merito l'opportunità di riformulare i princìpi e criteri direttivi richiamati in premessa che, di fatto, costituiscono ulteriori oggetti di delega, avendo cura di distinguere chiaramente oggetti e princìpi di delega</w:t>
      </w:r>
      <w:r>
        <w:rPr>
          <w:rFonts w:cs="Arial"/>
          <w:szCs w:val="22"/>
        </w:rPr>
        <w:t xml:space="preserve"> [</w:t>
      </w:r>
      <w:hyperlink w:anchor="premessa18" w:history="1">
        <w:r w:rsidRPr="00261390">
          <w:rPr>
            <w:rStyle w:val="Collegamentoipertestuale"/>
            <w:rFonts w:cs="Arial"/>
            <w:szCs w:val="22"/>
          </w:rPr>
          <w:t>torna su</w:t>
        </w:r>
      </w:hyperlink>
      <w:r>
        <w:rPr>
          <w:rFonts w:cs="Arial"/>
          <w:szCs w:val="22"/>
        </w:rPr>
        <w:t xml:space="preserve">] </w:t>
      </w:r>
    </w:p>
    <w:p w:rsidR="000B33A8" w:rsidRPr="00CC2FFB" w:rsidRDefault="000B33A8" w:rsidP="000B33A8">
      <w:pPr>
        <w:keepNext/>
        <w:ind w:left="567" w:hanging="283"/>
        <w:rPr>
          <w:rFonts w:cs="Arial"/>
          <w:b/>
          <w:szCs w:val="22"/>
        </w:rPr>
      </w:pPr>
    </w:p>
    <w:p w:rsidR="000B33A8" w:rsidRPr="00261390" w:rsidRDefault="000B33A8" w:rsidP="000B33A8">
      <w:pPr>
        <w:keepNext/>
        <w:ind w:left="567" w:hanging="283"/>
        <w:rPr>
          <w:rFonts w:cs="Arial"/>
          <w:i/>
          <w:szCs w:val="22"/>
        </w:rPr>
      </w:pPr>
      <w:r w:rsidRPr="00261390">
        <w:rPr>
          <w:rFonts w:cs="Arial"/>
          <w:i/>
          <w:szCs w:val="22"/>
        </w:rPr>
        <w:t>sotto il profilo della chiarezza e della proprietà della fo</w:t>
      </w:r>
      <w:r>
        <w:rPr>
          <w:rFonts w:cs="Arial"/>
          <w:i/>
          <w:szCs w:val="22"/>
        </w:rPr>
        <w:t>rmulazione:</w:t>
      </w:r>
    </w:p>
    <w:p w:rsidR="000B33A8" w:rsidRDefault="000B33A8" w:rsidP="00B26E1F">
      <w:pPr>
        <w:pStyle w:val="Paragrafoelenco"/>
        <w:numPr>
          <w:ilvl w:val="0"/>
          <w:numId w:val="53"/>
        </w:numPr>
        <w:ind w:left="567" w:hanging="283"/>
        <w:rPr>
          <w:rFonts w:cs="Arial"/>
          <w:szCs w:val="22"/>
        </w:rPr>
      </w:pPr>
      <w:bookmarkStart w:id="518" w:name="S18o02"/>
      <w:r w:rsidRPr="00A6520F">
        <w:rPr>
          <w:rFonts w:cs="Arial"/>
          <w:szCs w:val="22"/>
        </w:rPr>
        <w:t xml:space="preserve">valuti la Commissione </w:t>
      </w:r>
      <w:bookmarkEnd w:id="518"/>
      <w:r w:rsidRPr="00A6520F">
        <w:rPr>
          <w:rFonts w:cs="Arial"/>
          <w:szCs w:val="22"/>
        </w:rPr>
        <w:t>di merito l'opportunità di riformulare, per le motivazioni espresse in premessa, il comma 6 dell'articolo 1</w:t>
      </w:r>
      <w:r>
        <w:rPr>
          <w:rFonts w:cs="Arial"/>
          <w:szCs w:val="22"/>
        </w:rPr>
        <w:t>. [</w:t>
      </w:r>
      <w:hyperlink w:anchor="premessa18" w:history="1">
        <w:r w:rsidRPr="00261390">
          <w:rPr>
            <w:rStyle w:val="Collegamentoipertestuale"/>
            <w:rFonts w:cs="Arial"/>
            <w:szCs w:val="22"/>
          </w:rPr>
          <w:t>torna su</w:t>
        </w:r>
      </w:hyperlink>
      <w:r>
        <w:rPr>
          <w:rFonts w:cs="Arial"/>
          <w:szCs w:val="22"/>
        </w:rPr>
        <w:t xml:space="preserve">] </w:t>
      </w:r>
    </w:p>
    <w:p w:rsidR="000B33A8" w:rsidRDefault="000B33A8" w:rsidP="000B33A8">
      <w:pPr>
        <w:pStyle w:val="Paragrafoelenco"/>
        <w:ind w:left="567" w:hanging="283"/>
        <w:rPr>
          <w:rFonts w:cs="Arial"/>
          <w:szCs w:val="22"/>
        </w:rPr>
      </w:pPr>
    </w:p>
    <w:p w:rsidR="000B33A8" w:rsidRDefault="000B33A8" w:rsidP="000B33A8">
      <w:pPr>
        <w:pStyle w:val="Paragrafoelenco"/>
        <w:ind w:firstLine="0"/>
        <w:rPr>
          <w:rFonts w:cs="Arial"/>
          <w:szCs w:val="22"/>
        </w:rPr>
      </w:pPr>
    </w:p>
    <w:p w:rsidR="000B33A8" w:rsidRPr="004325F3" w:rsidRDefault="000B33A8" w:rsidP="000B33A8">
      <w:pPr>
        <w:pStyle w:val="Paragrafoelenco"/>
        <w:ind w:firstLine="0"/>
        <w:rPr>
          <w:rFonts w:cs="Arial"/>
          <w:szCs w:val="22"/>
        </w:rPr>
      </w:pPr>
      <w:r>
        <w:rPr>
          <w:rFonts w:cs="Arial"/>
          <w:szCs w:val="22"/>
        </w:rPr>
        <w:t xml:space="preserve"> </w:t>
      </w:r>
    </w:p>
    <w:p w:rsidR="000B33A8" w:rsidRDefault="000B33A8" w:rsidP="000B33A8">
      <w:pPr>
        <w:ind w:firstLine="0"/>
        <w:rPr>
          <w:rFonts w:cs="Arial"/>
          <w:i/>
          <w:szCs w:val="22"/>
        </w:rPr>
        <w:sectPr w:rsidR="000B33A8" w:rsidSect="000B33A8">
          <w:headerReference w:type="default" r:id="rId373"/>
          <w:footerReference w:type="even" r:id="rId374"/>
          <w:footerReference w:type="default" r:id="rId375"/>
          <w:pgSz w:w="11906" w:h="16838" w:code="9"/>
          <w:pgMar w:top="1985" w:right="1985" w:bottom="1985" w:left="1985" w:header="1134" w:footer="1134" w:gutter="0"/>
          <w:cols w:space="720"/>
          <w:formProt w:val="0"/>
        </w:sectPr>
      </w:pPr>
    </w:p>
    <w:p w:rsidR="000B33A8" w:rsidRPr="005C7D5A" w:rsidRDefault="000B33A8" w:rsidP="000B33A8">
      <w:pPr>
        <w:ind w:firstLine="0"/>
        <w:rPr>
          <w:rFonts w:cs="Arial"/>
          <w:i/>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0019</w:t>
            </w:r>
          </w:p>
        </w:tc>
        <w:tc>
          <w:tcPr>
            <w:tcW w:w="750" w:type="pct"/>
            <w:shd w:val="clear" w:color="auto" w:fill="auto"/>
          </w:tcPr>
          <w:p w:rsidR="000B33A8" w:rsidRPr="00B26E1F" w:rsidRDefault="000B33A8" w:rsidP="000B33A8">
            <w:pPr>
              <w:pStyle w:val="Collegamento"/>
              <w:rPr>
                <w:rFonts w:cs="Arial"/>
              </w:rPr>
            </w:pPr>
            <w:r w:rsidRPr="00B26E1F">
              <w:rPr>
                <w:rFonts w:cs="Arial"/>
              </w:rPr>
              <w:t>3249</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76" w:history="1">
              <w:r w:rsidR="000B33A8" w:rsidRPr="00B26E1F">
                <w:rPr>
                  <w:rStyle w:val="Collegamentoipertestuale"/>
                  <w:rFonts w:cs="Arial"/>
                </w:rPr>
                <w:t>DL 99/2015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Missione EUNAVFOR MED</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77" w:anchor="data.20150729.com48.bollettino.sede00010.tit00010" w:history="1">
              <w:r w:rsidR="000B33A8">
                <w:rPr>
                  <w:rStyle w:val="Collegamentoipertestuale"/>
                </w:rPr>
                <w:t>29/07/2015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519" w:name="premessa19"/>
            <w:r w:rsidRPr="00B26E1F">
              <w:rPr>
                <w:rFonts w:cs="Arial"/>
                <w:b/>
                <w:color w:val="0000FF"/>
                <w:sz w:val="24"/>
                <w:szCs w:val="24"/>
              </w:rPr>
              <w:t>Premessa</w:t>
            </w:r>
            <w:bookmarkEnd w:id="519"/>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nessuno</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9a01" w:history="1">
              <w:r w:rsidR="000B33A8" w:rsidRPr="00D40FBA">
                <w:rPr>
                  <w:rStyle w:val="Collegamentoipertestuale"/>
                </w:rPr>
                <w:t>1</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2555"/>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19a02" w:history="1">
              <w:r w:rsidR="000B33A8" w:rsidRPr="00812559">
                <w:rPr>
                  <w:rStyle w:val="Collegamentoipertestuale"/>
                </w:rPr>
                <w:t>2</w:t>
              </w:r>
            </w:hyperlink>
            <w:r w:rsidR="000B33A8" w:rsidRPr="00B26E1F">
              <w:rPr>
                <w:rFonts w:cs="Arial"/>
              </w:rPr>
              <w:t xml:space="preserve"> – </w:t>
            </w:r>
            <w:r w:rsidR="000B33A8" w:rsidRPr="007F5C83">
              <w:t>Coordinamento con le fonti normative vigenti:</w:t>
            </w:r>
            <w:r w:rsidR="000B33A8">
              <w:t xml:space="preserve"> stratificazione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Rinvii alla normativa vigente in mancanza di una disciplina unitaria della materia trattata, ovvero le missioni militari. Lunga e complessa catena di rinvii normativi, con richiami a disposizioni ormai confluite nel codice dell’ordinamento militare, che sono state abrogate nella fonte originaria.</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9a03" w:history="1">
              <w:r w:rsidR="000B33A8" w:rsidRPr="00812559">
                <w:rPr>
                  <w:rStyle w:val="Collegamentoipertestuale"/>
                </w:rPr>
                <w:t>3</w:t>
              </w:r>
            </w:hyperlink>
            <w:r w:rsidR="000B33A8" w:rsidRPr="00B26E1F">
              <w:rPr>
                <w:rFonts w:cs="Arial"/>
              </w:rPr>
              <w:t xml:space="preserve"> – </w:t>
            </w:r>
            <w:r w:rsidR="000B33A8">
              <w:t>Efficacia retroattiva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Il provvedimento autorizza la partecipazione italiana alla missione in oggetto dal 27 giugno al 30 settembre 2015, retroagendo rispetto alla propria entrata in vigore.</w:t>
            </w:r>
          </w:p>
        </w:tc>
      </w:tr>
      <w:tr w:rsidR="000B33A8" w:rsidRPr="008B2DCE" w:rsidTr="00B26E1F">
        <w:trPr>
          <w:trHeight w:val="81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19a04" w:history="1">
              <w:r w:rsidR="000B33A8" w:rsidRPr="006533B3">
                <w:rPr>
                  <w:rStyle w:val="Collegamentoipertestuale"/>
                </w:rPr>
                <w:t>4</w:t>
              </w:r>
            </w:hyperlink>
            <w:r w:rsidR="000B33A8">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Assenti. Manca il riferimento all’eventuale esenzione dall’AIR. </w:t>
            </w:r>
          </w:p>
        </w:tc>
      </w:tr>
    </w:tbl>
    <w:p w:rsidR="000B33A8" w:rsidRDefault="000B33A8" w:rsidP="00F47FF1"/>
    <w:p w:rsidR="000B33A8" w:rsidRPr="008B2DCE" w:rsidRDefault="000B33A8" w:rsidP="00F47FF1">
      <w:pPr>
        <w:spacing w:before="100" w:beforeAutospacing="1" w:after="100" w:afterAutospacing="1" w:line="240" w:lineRule="auto"/>
        <w:ind w:firstLine="0"/>
        <w:rPr>
          <w:rFonts w:cs="Arial"/>
          <w:sz w:val="24"/>
          <w:szCs w:val="24"/>
        </w:rPr>
      </w:pPr>
    </w:p>
    <w:tbl>
      <w:tblPr>
        <w:tblW w:w="5140" w:type="pct"/>
        <w:tblLook w:val="01E0" w:firstRow="1" w:lastRow="1" w:firstColumn="1" w:lastColumn="1" w:noHBand="0" w:noVBand="0"/>
      </w:tblPr>
      <w:tblGrid>
        <w:gridCol w:w="4190"/>
        <w:gridCol w:w="3962"/>
        <w:gridCol w:w="228"/>
      </w:tblGrid>
      <w:tr w:rsidR="000B33A8" w:rsidRPr="00A33B28" w:rsidTr="0041678A">
        <w:trPr>
          <w:gridAfter w:val="1"/>
          <w:wAfter w:w="136" w:type="pct"/>
        </w:trPr>
        <w:tc>
          <w:tcPr>
            <w:tcW w:w="4864"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3A04FD" w:rsidTr="0041678A">
        <w:trPr>
          <w:trHeight w:val="423"/>
        </w:trPr>
        <w:tc>
          <w:tcPr>
            <w:tcW w:w="2500" w:type="pct"/>
            <w:tcBorders>
              <w:top w:val="nil"/>
              <w:left w:val="nil"/>
              <w:bottom w:val="nil"/>
              <w:right w:val="nil"/>
            </w:tcBorders>
            <w:shd w:val="clear" w:color="auto" w:fill="auto"/>
          </w:tcPr>
          <w:p w:rsidR="000B33A8" w:rsidRDefault="000B33A8" w:rsidP="0041678A">
            <w:pPr>
              <w:keepNext/>
              <w:spacing w:before="100" w:beforeAutospacing="1" w:after="100" w:afterAutospacing="1"/>
              <w:ind w:firstLine="0"/>
              <w:jc w:val="left"/>
            </w:pPr>
            <w:r>
              <w:t>nessun rilievo.</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lastRenderedPageBreak/>
              <w:t>Riferimenti</w:t>
            </w:r>
          </w:p>
        </w:tc>
      </w:tr>
      <w:tr w:rsidR="000B33A8" w:rsidRPr="008B2DCE" w:rsidTr="00B26E1F">
        <w:trPr>
          <w:trHeight w:val="468"/>
        </w:trPr>
        <w:tc>
          <w:tcPr>
            <w:tcW w:w="5000" w:type="pct"/>
            <w:shd w:val="clear" w:color="auto" w:fill="auto"/>
          </w:tcPr>
          <w:p w:rsidR="000B33A8" w:rsidRPr="00B26E1F" w:rsidRDefault="00A87AE9" w:rsidP="00B26E1F">
            <w:pPr>
              <w:keepNext/>
              <w:spacing w:before="100" w:beforeAutospacing="1" w:after="100" w:afterAutospacing="1"/>
              <w:ind w:firstLine="0"/>
              <w:jc w:val="left"/>
              <w:rPr>
                <w:rFonts w:cs="Arial"/>
                <w:i/>
                <w:sz w:val="24"/>
              </w:rPr>
            </w:pPr>
            <w:r>
              <w:rPr>
                <w:rFonts w:cs="Arial"/>
                <w:i/>
                <w:sz w:val="24"/>
              </w:rPr>
              <w:t>nessun riferimento.</w:t>
            </w:r>
          </w:p>
        </w:tc>
      </w:tr>
    </w:tbl>
    <w:p w:rsidR="000B33A8" w:rsidRDefault="000B33A8" w:rsidP="0041678A">
      <w:pPr>
        <w:spacing w:before="100" w:beforeAutospacing="1" w:after="100" w:afterAutospacing="1" w:line="240" w:lineRule="auto"/>
        <w:ind w:firstLine="0"/>
        <w:jc w:val="left"/>
        <w:rPr>
          <w:rFonts w:cs="Arial"/>
          <w:sz w:val="24"/>
          <w:szCs w:val="24"/>
        </w:rPr>
      </w:pPr>
    </w:p>
    <w:p w:rsidR="0041678A" w:rsidRPr="008B2DCE" w:rsidRDefault="0041678A" w:rsidP="0041678A">
      <w:pPr>
        <w:spacing w:before="100" w:beforeAutospacing="1" w:after="100" w:afterAutospacing="1" w:line="240" w:lineRule="auto"/>
        <w:ind w:firstLine="0"/>
        <w:jc w:val="left"/>
        <w:rPr>
          <w:rFonts w:cs="Arial"/>
          <w:sz w:val="24"/>
          <w:szCs w:val="24"/>
        </w:rPr>
      </w:pPr>
    </w:p>
    <w:p w:rsidR="000B33A8" w:rsidRPr="00B91F58" w:rsidRDefault="000B33A8" w:rsidP="000B33A8">
      <w:pPr>
        <w:spacing w:after="120"/>
        <w:rPr>
          <w:rFonts w:cs="Arial"/>
          <w:szCs w:val="22"/>
        </w:rPr>
      </w:pPr>
      <w:bookmarkStart w:id="520" w:name="S19a01"/>
      <w:r w:rsidRPr="00B91F58">
        <w:rPr>
          <w:rFonts w:cs="Arial"/>
          <w:szCs w:val="22"/>
        </w:rPr>
        <w:t xml:space="preserve">1 – </w:t>
      </w:r>
      <w:bookmarkEnd w:id="520"/>
      <w:r>
        <w:fldChar w:fldCharType="begin"/>
      </w:r>
      <w:r>
        <w:instrText>HYPERLINK  \l "premessa19"</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C76DFE">
        <w:rPr>
          <w:rStyle w:val="Collegamentoipertestuale"/>
          <w:rFonts w:cs="Arial"/>
          <w:szCs w:val="22"/>
        </w:rPr>
        <w:t xml:space="preserve"> </w:t>
      </w:r>
      <w:r w:rsidRPr="00B91F58">
        <w:rPr>
          <w:rFonts w:cs="Arial"/>
          <w:szCs w:val="22"/>
        </w:rPr>
        <w:t>«</w:t>
      </w:r>
      <w:r>
        <w:rPr>
          <w:rFonts w:cs="Arial"/>
          <w:szCs w:val="22"/>
        </w:rPr>
        <w:t xml:space="preserve">[il provvedimento] </w:t>
      </w:r>
      <w:r w:rsidRPr="00BE6718">
        <w:rPr>
          <w:rFonts w:cs="Arial"/>
          <w:szCs w:val="22"/>
        </w:rPr>
        <w:t xml:space="preserve">reca un </w:t>
      </w:r>
      <w:r w:rsidRPr="00BE6718">
        <w:rPr>
          <w:rFonts w:cs="Arial"/>
          <w:b/>
          <w:szCs w:val="22"/>
        </w:rPr>
        <w:t>contenuto omogeneo</w:t>
      </w:r>
      <w:r w:rsidRPr="00BE6718">
        <w:rPr>
          <w:rFonts w:cs="Arial"/>
          <w:szCs w:val="22"/>
        </w:rPr>
        <w:t>, essendo volto ad autorizzare la spesa per la partecipazione di personale militare all'operazione militare dell'Unione europea nel Mediterraneo centromeridionale denominata EUNAVFOR MED, prevedendo, per specifici aspetti (quali il trattamento giuridico, economico e previdenziale, la disciplina contabile e penale), una normativa strumentale al suo svolgimento individuata essenzialmente mediante un rinvio all'ordinamento vigente</w:t>
      </w:r>
      <w:r w:rsidRPr="00B91F58">
        <w:rPr>
          <w:rFonts w:cs="Arial"/>
          <w:szCs w:val="22"/>
        </w:rPr>
        <w:t>»;</w:t>
      </w:r>
      <w:r>
        <w:rPr>
          <w:rFonts w:cs="Arial"/>
          <w:szCs w:val="22"/>
        </w:rPr>
        <w:t xml:space="preserve"> </w:t>
      </w:r>
    </w:p>
    <w:p w:rsidR="000B33A8" w:rsidRPr="00B91F58" w:rsidRDefault="000B33A8" w:rsidP="000B33A8">
      <w:pPr>
        <w:spacing w:after="120"/>
        <w:rPr>
          <w:rFonts w:cs="Arial"/>
          <w:szCs w:val="22"/>
        </w:rPr>
      </w:pPr>
    </w:p>
    <w:p w:rsidR="000B33A8" w:rsidRPr="00B91F58" w:rsidRDefault="000B33A8" w:rsidP="000B33A8">
      <w:pPr>
        <w:spacing w:after="120"/>
        <w:rPr>
          <w:rFonts w:cs="Arial"/>
          <w:szCs w:val="22"/>
        </w:rPr>
      </w:pPr>
    </w:p>
    <w:p w:rsidR="000B33A8" w:rsidRPr="00B91F58" w:rsidRDefault="000B33A8" w:rsidP="000B33A8">
      <w:pPr>
        <w:rPr>
          <w:rFonts w:cs="Arial"/>
          <w:szCs w:val="22"/>
        </w:rPr>
      </w:pPr>
      <w:bookmarkStart w:id="521" w:name="S19a02"/>
      <w:r w:rsidRPr="00B91F58">
        <w:rPr>
          <w:rFonts w:cs="Arial"/>
          <w:szCs w:val="22"/>
        </w:rPr>
        <w:t xml:space="preserve">2 – </w:t>
      </w:r>
      <w:bookmarkEnd w:id="521"/>
      <w:r>
        <w:fldChar w:fldCharType="begin"/>
      </w:r>
      <w:r>
        <w:instrText>HYPERLINK  \l "premessa19"</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BE6718">
        <w:t xml:space="preserve">secondo un procedimento consueto nei decreti-legge che regolano la partecipazione italiana alle missioni internazionali, il provvedimento – reiterando una modalità di produzione normativa i cui aspetti problematici sono stati più volte segnalati dal Comitato ed in attesa dell'approvazione in via definitiva del disegno di legge S. 1917, recante </w:t>
      </w:r>
      <w:r w:rsidRPr="00BE6718">
        <w:rPr>
          <w:i/>
        </w:rPr>
        <w:t>Disposizioni concernenti la partecipazione dell'Italia alle missioni internazionali</w:t>
      </w:r>
      <w:r w:rsidRPr="00BE6718">
        <w:t xml:space="preserve">, approvato dalla Camera dei deputati il 13 maggio 2015 ed in avanzato stato di esame presso il Senato, – effettua </w:t>
      </w:r>
      <w:r w:rsidRPr="00BE6718">
        <w:rPr>
          <w:b/>
        </w:rPr>
        <w:t>rinvii alla normativa esistente senza potersi però rapportare ad una disciplina unitaria</w:t>
      </w:r>
      <w:r w:rsidRPr="00BE6718">
        <w:t xml:space="preserve"> che regolamenti stabilmente i profili giuridico-economici delle missioni stesse. Ad esempio, per la disciplina in materia penale, il provvedimento perpetua </w:t>
      </w:r>
      <w:r w:rsidRPr="00BE6718">
        <w:rPr>
          <w:b/>
        </w:rPr>
        <w:t>una lunga e complessa catena di rinvii normativi</w:t>
      </w:r>
      <w:r w:rsidRPr="00BE6718">
        <w:t xml:space="preserve"> al decreto-legge n.</w:t>
      </w:r>
      <w:r>
        <w:t xml:space="preserve"> </w:t>
      </w:r>
      <w:r w:rsidRPr="00BE6718">
        <w:t>152 del 2009 e al decreto-legge n.</w:t>
      </w:r>
      <w:r>
        <w:t xml:space="preserve"> </w:t>
      </w:r>
      <w:r w:rsidRPr="00BE6718">
        <w:t>209 del 2008, senza al contempo aggiornare – in termini di rinvii alle disposizioni e agli istituti disciplinati dal Codice dell'ordinamento militare, di cui al decreto legislativo 15 marzo 2010, n.</w:t>
      </w:r>
      <w:r>
        <w:t xml:space="preserve"> </w:t>
      </w:r>
      <w:r w:rsidRPr="00BE6718">
        <w:t xml:space="preserve">66 – i richiami a quelle disposizioni che, in quanto confluite nel Codice in questione, sono state </w:t>
      </w:r>
      <w:r w:rsidRPr="00BE6718">
        <w:rPr>
          <w:b/>
        </w:rPr>
        <w:t>abrogate nella fonte originaria</w:t>
      </w:r>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Default="000B33A8" w:rsidP="000B33A8">
      <w:pPr>
        <w:rPr>
          <w:rFonts w:cs="Arial"/>
          <w:szCs w:val="22"/>
        </w:rPr>
      </w:pPr>
      <w:bookmarkStart w:id="522" w:name="S19a03"/>
      <w:r w:rsidRPr="00B91F58">
        <w:rPr>
          <w:rFonts w:cs="Arial"/>
          <w:szCs w:val="22"/>
        </w:rPr>
        <w:t xml:space="preserve">3 – </w:t>
      </w:r>
      <w:bookmarkEnd w:id="522"/>
      <w:r>
        <w:fldChar w:fldCharType="begin"/>
      </w:r>
      <w:r>
        <w:instrText>HYPERLINK  \l "premessa19"</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BE6718">
        <w:rPr>
          <w:rFonts w:cs="Arial"/>
          <w:szCs w:val="22"/>
        </w:rPr>
        <w:t xml:space="preserve">il decreto-legge interviene ad autorizzare la partecipazione del personale militare italiano all'operazione militare in oggetto a decorrere dal 27 giugno sino al 30 settembre 2015, </w:t>
      </w:r>
      <w:r w:rsidRPr="00BE6718">
        <w:rPr>
          <w:rFonts w:cs="Arial"/>
          <w:b/>
          <w:szCs w:val="22"/>
        </w:rPr>
        <w:t>retroagendo dunque rispetto alla sua entrata in vigore</w:t>
      </w:r>
      <w:r w:rsidRPr="00BE6718">
        <w:rPr>
          <w:rFonts w:cs="Arial"/>
          <w:szCs w:val="22"/>
        </w:rPr>
        <w:t xml:space="preserve">, avvenuta, ai sensi dell'articolo 2, comma 1, in data 8 luglio 2015 (giorno della sua pubblicazione in Gazzetta Ufficiale) e dando così </w:t>
      </w:r>
      <w:r w:rsidRPr="00BE6718">
        <w:rPr>
          <w:rFonts w:cs="Arial"/>
          <w:szCs w:val="22"/>
        </w:rPr>
        <w:lastRenderedPageBreak/>
        <w:t>copertura normativa all'impegno dell'Italia nell'operazione militare EUNAVFOR MED dal 27 giugno all'8 luglio 2015, circostanza non coerente con le esigenze di stabilità, certezza e semplificazione della legislazione, anche ove si consideri che il decreto contiene, tra l'altro, disposizioni in materia penale</w:t>
      </w:r>
      <w:r w:rsidRPr="00B91F58">
        <w:rPr>
          <w:rFonts w:cs="Arial"/>
          <w:szCs w:val="22"/>
        </w:rPr>
        <w:t>»</w:t>
      </w:r>
      <w:r>
        <w:rPr>
          <w:rFonts w:cs="Arial"/>
          <w:szCs w:val="22"/>
        </w:rPr>
        <w:t xml:space="preserve">; </w:t>
      </w:r>
    </w:p>
    <w:p w:rsidR="000B33A8" w:rsidRDefault="000B33A8" w:rsidP="000B33A8">
      <w:pPr>
        <w:rPr>
          <w:rFonts w:cs="Arial"/>
          <w:szCs w:val="22"/>
        </w:rPr>
      </w:pPr>
    </w:p>
    <w:p w:rsidR="000B33A8" w:rsidRPr="00B91F58" w:rsidRDefault="000B33A8" w:rsidP="000B33A8">
      <w:pPr>
        <w:spacing w:after="120"/>
        <w:rPr>
          <w:rFonts w:cs="Arial"/>
          <w:szCs w:val="22"/>
        </w:rPr>
      </w:pPr>
      <w:bookmarkStart w:id="523" w:name="S19a04"/>
      <w:r>
        <w:rPr>
          <w:rFonts w:cs="Arial"/>
          <w:szCs w:val="22"/>
        </w:rPr>
        <w:t>4</w:t>
      </w:r>
      <w:r w:rsidRPr="00B91F58">
        <w:rPr>
          <w:rFonts w:cs="Arial"/>
          <w:szCs w:val="22"/>
        </w:rPr>
        <w:t xml:space="preserve"> –</w:t>
      </w:r>
      <w:bookmarkEnd w:id="523"/>
      <w:r w:rsidRPr="00B91F58">
        <w:rPr>
          <w:rFonts w:cs="Arial"/>
          <w:szCs w:val="22"/>
        </w:rPr>
        <w:t xml:space="preserve"> </w:t>
      </w:r>
      <w:hyperlink w:anchor="premessa19"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BE6718">
        <w:rPr>
          <w:rFonts w:cs="Arial"/>
          <w:szCs w:val="22"/>
        </w:rPr>
        <w:t>il disegno di legge di conversione nel testo presentato al Senato non reca né l'analisi tecnico-normativa (</w:t>
      </w:r>
      <w:r w:rsidRPr="00BE6718">
        <w:rPr>
          <w:rFonts w:cs="Arial"/>
          <w:b/>
          <w:szCs w:val="22"/>
        </w:rPr>
        <w:t>ATN</w:t>
      </w:r>
      <w:r w:rsidRPr="00BE6718">
        <w:rPr>
          <w:rFonts w:cs="Arial"/>
          <w:szCs w:val="22"/>
        </w:rPr>
        <w:t>) né l'analisi di impatto della regolamentazione (</w:t>
      </w:r>
      <w:r w:rsidRPr="00BE6718">
        <w:rPr>
          <w:rFonts w:cs="Arial"/>
          <w:b/>
          <w:szCs w:val="22"/>
        </w:rPr>
        <w:t>AIR</w:t>
      </w:r>
      <w:r w:rsidRPr="00BE6718">
        <w:rPr>
          <w:rFonts w:cs="Arial"/>
          <w:szCs w:val="22"/>
        </w:rPr>
        <w:t>)</w:t>
      </w:r>
      <w:r w:rsidRPr="00B91F58">
        <w:rPr>
          <w:rFonts w:cs="Arial"/>
          <w:szCs w:val="22"/>
        </w:rPr>
        <w:t>»</w:t>
      </w:r>
      <w:r>
        <w:rPr>
          <w:rFonts w:cs="Arial"/>
          <w:szCs w:val="22"/>
        </w:rPr>
        <w:t>.</w:t>
      </w:r>
    </w:p>
    <w:p w:rsidR="000B33A8" w:rsidRDefault="000B33A8" w:rsidP="000B33A8">
      <w:pPr>
        <w:spacing w:after="120"/>
        <w:rPr>
          <w:rFonts w:cs="Arial"/>
          <w:szCs w:val="22"/>
        </w:rPr>
      </w:pPr>
    </w:p>
    <w:p w:rsidR="000B33A8" w:rsidRDefault="000B33A8" w:rsidP="000B33A8">
      <w:pPr>
        <w:spacing w:after="120"/>
        <w:rPr>
          <w:rFonts w:cs="Arial"/>
          <w:szCs w:val="22"/>
        </w:rPr>
      </w:pPr>
    </w:p>
    <w:p w:rsidR="000B33A8" w:rsidRDefault="000B33A8" w:rsidP="000B33A8">
      <w:pPr>
        <w:ind w:firstLine="0"/>
        <w:rPr>
          <w:rFonts w:cs="Arial"/>
          <w:i/>
          <w:szCs w:val="22"/>
        </w:rPr>
        <w:sectPr w:rsidR="000B33A8" w:rsidSect="000B33A8">
          <w:headerReference w:type="default" r:id="rId378"/>
          <w:footerReference w:type="even" r:id="rId379"/>
          <w:footerReference w:type="default" r:id="rId380"/>
          <w:pgSz w:w="11906" w:h="16838" w:code="9"/>
          <w:pgMar w:top="1985" w:right="1985" w:bottom="1985" w:left="1985" w:header="1134" w:footer="1134" w:gutter="0"/>
          <w:cols w:space="720"/>
          <w:formProt w:val="0"/>
        </w:sectPr>
      </w:pPr>
    </w:p>
    <w:p w:rsidR="000B33A8" w:rsidRPr="005C7D5A" w:rsidRDefault="000B33A8" w:rsidP="000B33A8">
      <w:pPr>
        <w:ind w:firstLine="0"/>
        <w:rPr>
          <w:rFonts w:cs="Arial"/>
          <w:i/>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0020</w:t>
            </w:r>
          </w:p>
        </w:tc>
        <w:tc>
          <w:tcPr>
            <w:tcW w:w="750" w:type="pct"/>
            <w:shd w:val="clear" w:color="auto" w:fill="auto"/>
          </w:tcPr>
          <w:p w:rsidR="000B33A8" w:rsidRPr="00B26E1F" w:rsidRDefault="000B33A8" w:rsidP="000B33A8">
            <w:pPr>
              <w:pStyle w:val="Collegamento"/>
              <w:rPr>
                <w:rFonts w:cs="Arial"/>
              </w:rPr>
            </w:pPr>
            <w:r w:rsidRPr="00B26E1F">
              <w:rPr>
                <w:rFonts w:cs="Arial"/>
              </w:rPr>
              <w:t>3262</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81" w:history="1">
              <w:r w:rsidR="000B33A8" w:rsidRPr="00B26E1F">
                <w:rPr>
                  <w:rStyle w:val="Collegamentoipertestuale"/>
                  <w:rFonts w:cs="Arial"/>
                </w:rPr>
                <w:t>DL 78/2015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Enti territoriali</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82" w:anchor="data.20150730.com48.bollettino.sede00010.tit00010" w:history="1">
              <w:r w:rsidR="000B33A8">
                <w:rPr>
                  <w:rStyle w:val="Collegamentoipertestuale"/>
                </w:rPr>
                <w:t>30/07/2015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857CEF">
            <w:pPr>
              <w:spacing w:before="100" w:beforeAutospacing="1" w:after="100" w:afterAutospacing="1"/>
              <w:ind w:firstLine="0"/>
              <w:jc w:val="left"/>
              <w:rPr>
                <w:rFonts w:cs="Arial"/>
                <w:b/>
                <w:i/>
                <w:color w:val="0000FF"/>
                <w:sz w:val="24"/>
              </w:rPr>
            </w:pPr>
            <w:bookmarkStart w:id="524" w:name="premessa20"/>
            <w:r w:rsidRPr="00B26E1F">
              <w:rPr>
                <w:rFonts w:cs="Arial"/>
                <w:b/>
                <w:color w:val="0000FF"/>
                <w:sz w:val="24"/>
                <w:szCs w:val="24"/>
              </w:rPr>
              <w:t>Premessa</w:t>
            </w:r>
            <w:bookmarkEnd w:id="524"/>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3 Condizioni, 5 Osservazioni, 1 Raccomandazione</w:t>
            </w:r>
          </w:p>
        </w:tc>
      </w:tr>
      <w:tr w:rsidR="000B33A8" w:rsidRPr="008B2DCE" w:rsidTr="00B26E1F">
        <w:trPr>
          <w:trHeight w:val="112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0a01" w:history="1">
              <w:r w:rsidR="000B33A8" w:rsidRPr="00D40FBA">
                <w:rPr>
                  <w:rStyle w:val="Collegamentoipertestuale"/>
                </w:rPr>
                <w:t>1</w:t>
              </w:r>
            </w:hyperlink>
            <w:r w:rsidR="000B33A8" w:rsidRPr="00B26E1F">
              <w:rPr>
                <w:rFonts w:cs="Arial"/>
              </w:rPr>
              <w:t xml:space="preserve"> – Contenuto estremamente complesso e articolato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Alcune disposizioni introdotte al Senato non appaiono riconducibili agli ambiti materiali definiti nel preambolo del provvedimento. </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141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0a01a" w:history="1">
              <w:r w:rsidR="000B33A8">
                <w:rPr>
                  <w:rStyle w:val="Collegamentoipertestuale"/>
                </w:rPr>
                <w:t>1a</w:t>
              </w:r>
            </w:hyperlink>
            <w:r w:rsidR="000B33A8" w:rsidRPr="00B26E1F">
              <w:rPr>
                <w:rFonts w:cs="Arial"/>
              </w:rPr>
              <w:t xml:space="preserve"> – Contenuto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Alcune disposizioni introdotte al Senato non appaiono riconducibili ai singoli oggetti di disciplina del provvedimento, come definiti nel preambolo. Richiamo alle sentenze n. 22/2012, n. 171/2007, n. 128/2008, n. 32/2014, n. 154/2015 della Corte costituzionale.</w:t>
            </w:r>
          </w:p>
          <w:p w:rsidR="000B33A8" w:rsidRPr="00B26E1F" w:rsidRDefault="000B33A8" w:rsidP="00B26E1F">
            <w:pPr>
              <w:spacing w:before="100" w:beforeAutospacing="1" w:after="100" w:afterAutospacing="1"/>
              <w:ind w:firstLine="0"/>
              <w:rPr>
                <w:rFonts w:cs="Arial"/>
              </w:rPr>
            </w:pPr>
            <w:r w:rsidRPr="00B26E1F">
              <w:rPr>
                <w:rFonts w:cs="Arial"/>
              </w:rPr>
              <w:t>Condizione 2</w:t>
            </w:r>
          </w:p>
        </w:tc>
      </w:tr>
      <w:tr w:rsidR="000B33A8" w:rsidRPr="008B2DCE" w:rsidTr="00B26E1F">
        <w:trPr>
          <w:trHeight w:val="141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0a02" w:history="1">
              <w:r w:rsidR="000B33A8">
                <w:rPr>
                  <w:rStyle w:val="Collegamentoipertestuale"/>
                </w:rPr>
                <w:t>2</w:t>
              </w:r>
            </w:hyperlink>
            <w:r w:rsidR="000B33A8" w:rsidRPr="00B26E1F">
              <w:rPr>
                <w:rFonts w:cs="Arial"/>
              </w:rPr>
              <w:t xml:space="preserve"> – Confluenza di decreti-legge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Nel testo sono riprodotti i contenuti del decreto-legge n. 85/2015, all’esame del Senato, e parte dei contenuti del decreto-legge n. 92/2015, all’esame della Camera.</w:t>
            </w:r>
          </w:p>
          <w:p w:rsidR="000B33A8" w:rsidRPr="00B26E1F" w:rsidRDefault="000B33A8" w:rsidP="00B26E1F">
            <w:pPr>
              <w:spacing w:before="100" w:beforeAutospacing="1" w:after="100" w:afterAutospacing="1"/>
              <w:ind w:firstLine="0"/>
              <w:rPr>
                <w:rFonts w:cs="Arial"/>
              </w:rPr>
            </w:pPr>
            <w:r w:rsidRPr="00B26E1F">
              <w:rPr>
                <w:rFonts w:cs="Arial"/>
              </w:rPr>
              <w:t>Raccomandazione 1</w:t>
            </w:r>
          </w:p>
        </w:tc>
      </w:tr>
      <w:tr w:rsidR="000B33A8" w:rsidRPr="008B2DCE" w:rsidTr="0041678A">
        <w:trPr>
          <w:trHeight w:val="41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0a03" w:history="1">
              <w:r w:rsidR="000B33A8">
                <w:rPr>
                  <w:rStyle w:val="Collegamentoipertestuale"/>
                </w:rPr>
                <w:t>3</w:t>
              </w:r>
            </w:hyperlink>
            <w:r w:rsidR="000B33A8" w:rsidRPr="00B26E1F">
              <w:rPr>
                <w:rFonts w:cs="Arial"/>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Modifiche non testuali, misure di carattere organico decontestualizzate e disposizioni che fanno sistema con altre già in vigore.</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bl>
    <w:p w:rsidR="0041678A" w:rsidRDefault="0041678A"/>
    <w:tbl>
      <w:tblPr>
        <w:tblW w:w="5000" w:type="pct"/>
        <w:jc w:val="center"/>
        <w:tblLook w:val="01E0" w:firstRow="1" w:lastRow="1" w:firstColumn="1" w:lastColumn="1" w:noHBand="0" w:noVBand="0"/>
      </w:tblPr>
      <w:tblGrid>
        <w:gridCol w:w="4076"/>
        <w:gridCol w:w="4076"/>
      </w:tblGrid>
      <w:tr w:rsidR="000B33A8" w:rsidRPr="008B2DCE" w:rsidTr="00B26E1F">
        <w:trPr>
          <w:trHeight w:val="84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0E6748" w:rsidRDefault="00EB0878" w:rsidP="00B26E1F">
            <w:pPr>
              <w:spacing w:before="100" w:beforeAutospacing="1" w:after="100" w:afterAutospacing="1"/>
              <w:ind w:firstLine="0"/>
            </w:pPr>
            <w:hyperlink w:anchor="S20a04" w:history="1">
              <w:r w:rsidR="000B33A8" w:rsidRPr="000E6748">
                <w:rPr>
                  <w:rStyle w:val="Collegamentoipertestuale"/>
                </w:rPr>
                <w:t>4</w:t>
              </w:r>
            </w:hyperlink>
            <w:r w:rsidR="000B33A8" w:rsidRPr="000E6748">
              <w:t xml:space="preserve"> - </w:t>
            </w:r>
            <w:r w:rsidR="000B33A8" w:rsidRPr="00B26E1F">
              <w:rPr>
                <w:rFonts w:cs="Arial"/>
              </w:rPr>
              <w:t>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Modifiche di norme di recentissima approvazione.</w:t>
            </w:r>
          </w:p>
        </w:tc>
      </w:tr>
      <w:tr w:rsidR="000B33A8" w:rsidRPr="008B2DCE" w:rsidTr="00B26E1F">
        <w:trPr>
          <w:trHeight w:val="70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812559" w:rsidRDefault="00EB0878" w:rsidP="00B26E1F">
            <w:pPr>
              <w:spacing w:before="100" w:beforeAutospacing="1" w:after="100" w:afterAutospacing="1"/>
              <w:ind w:firstLine="0"/>
            </w:pPr>
            <w:hyperlink w:anchor="S20a05" w:history="1">
              <w:r w:rsidR="000B33A8">
                <w:rPr>
                  <w:rStyle w:val="Collegamentoipertestuale"/>
                </w:rPr>
                <w:t>5</w:t>
              </w:r>
            </w:hyperlink>
            <w:r w:rsidR="000B33A8" w:rsidRPr="00B26E1F">
              <w:rPr>
                <w:rFonts w:cs="Arial"/>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Condizione 3</w:t>
            </w:r>
          </w:p>
        </w:tc>
      </w:tr>
      <w:tr w:rsidR="000B33A8" w:rsidRPr="008B2DCE" w:rsidTr="00B26E1F">
        <w:trPr>
          <w:trHeight w:val="98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41678A">
            <w:pPr>
              <w:spacing w:before="100" w:beforeAutospacing="1" w:after="100" w:afterAutospacing="1"/>
              <w:ind w:firstLine="0"/>
              <w:rPr>
                <w:rFonts w:cs="Arial"/>
              </w:rPr>
            </w:pPr>
            <w:hyperlink w:anchor="S20a06" w:history="1">
              <w:r w:rsidR="000B33A8">
                <w:rPr>
                  <w:rStyle w:val="Collegamentoipertestuale"/>
                </w:rPr>
                <w:t>6</w:t>
              </w:r>
            </w:hyperlink>
            <w:r w:rsidR="000B33A8" w:rsidRPr="00B26E1F">
              <w:rPr>
                <w:rFonts w:cs="Arial"/>
              </w:rPr>
              <w:t xml:space="preserve"> – Immediata applicazione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Richiamo all’articolo 15, c. 3, della L. n. 400/1988.</w:t>
            </w:r>
          </w:p>
        </w:tc>
      </w:tr>
      <w:tr w:rsidR="000B33A8" w:rsidRPr="008B2DCE" w:rsidTr="00B26E1F">
        <w:trPr>
          <w:trHeight w:val="969"/>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0a07" w:history="1">
              <w:r w:rsidR="000B33A8" w:rsidRPr="00B26E1F">
                <w:rPr>
                  <w:rStyle w:val="Collegamentoipertestuale"/>
                  <w:rFonts w:cs="Arial"/>
                </w:rPr>
                <w:t>7</w:t>
              </w:r>
            </w:hyperlink>
            <w:r w:rsidR="000B33A8" w:rsidRPr="00B26E1F">
              <w:rPr>
                <w:rFonts w:cs="Arial"/>
              </w:rPr>
              <w:t xml:space="preserve"> – Efficacia temporale: interpretazione autentica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Richiamo alla circolare sulla formulazione tecnica dei testi legislativi.</w:t>
            </w:r>
          </w:p>
        </w:tc>
      </w:tr>
      <w:tr w:rsidR="000B33A8" w:rsidRPr="008B2DCE" w:rsidTr="00B26E1F">
        <w:trPr>
          <w:trHeight w:val="85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0a08" w:history="1">
              <w:r w:rsidR="000B33A8" w:rsidRPr="00B26E1F">
                <w:rPr>
                  <w:rStyle w:val="Collegamentoipertestuale"/>
                  <w:rFonts w:cs="Arial"/>
                </w:rPr>
                <w:t>8</w:t>
              </w:r>
            </w:hyperlink>
            <w:r w:rsidR="000B33A8" w:rsidRPr="00B26E1F">
              <w:rPr>
                <w:rStyle w:val="Collegamentoipertestuale"/>
                <w:rFonts w:cs="Arial"/>
              </w:rPr>
              <w:t xml:space="preserve"> </w:t>
            </w:r>
            <w:r w:rsidR="000B33A8">
              <w:t xml:space="preserve">– </w:t>
            </w:r>
            <w:r w:rsidR="000B33A8" w:rsidRPr="00B26E1F">
              <w:rPr>
                <w:rFonts w:cs="Arial"/>
              </w:rPr>
              <w:t>Disposizioni transitorie e derogatorie della normativa vigente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Deroghe implicite ed esplicite.</w:t>
            </w:r>
          </w:p>
        </w:tc>
      </w:tr>
      <w:tr w:rsidR="000B33A8" w:rsidRPr="008B2DCE" w:rsidTr="00B26E1F">
        <w:trPr>
          <w:trHeight w:val="852"/>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0a08a" w:history="1">
              <w:r w:rsidR="000B33A8" w:rsidRPr="00B26E1F">
                <w:rPr>
                  <w:rStyle w:val="Collegamentoipertestuale"/>
                  <w:rFonts w:cs="Arial"/>
                </w:rPr>
                <w:t>8a</w:t>
              </w:r>
            </w:hyperlink>
            <w:r w:rsidR="000B33A8" w:rsidRPr="00B26E1F">
              <w:rPr>
                <w:rFonts w:cs="Arial"/>
              </w:rPr>
              <w:t xml:space="preserve"> - Disposizioni derogatorie della normativa vigente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Deroga implicita al codice civile.</w:t>
            </w:r>
          </w:p>
          <w:p w:rsidR="000B33A8" w:rsidRDefault="000B33A8" w:rsidP="00B26E1F">
            <w:pPr>
              <w:spacing w:before="100" w:beforeAutospacing="1" w:after="100" w:afterAutospacing="1"/>
              <w:ind w:firstLine="0"/>
            </w:pPr>
            <w:r>
              <w:t>Osservazione 3</w:t>
            </w:r>
          </w:p>
        </w:tc>
      </w:tr>
      <w:tr w:rsidR="000B33A8" w:rsidRPr="008B2DCE" w:rsidTr="00B26E1F">
        <w:trPr>
          <w:trHeight w:val="1248"/>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0a08b" w:history="1">
              <w:r w:rsidR="000B33A8" w:rsidRPr="00B26E1F">
                <w:rPr>
                  <w:rStyle w:val="Collegamentoipertestuale"/>
                  <w:rFonts w:cs="Arial"/>
                </w:rPr>
                <w:t>8b</w:t>
              </w:r>
            </w:hyperlink>
            <w:r w:rsidR="000B33A8" w:rsidRPr="00B26E1F">
              <w:rPr>
                <w:rFonts w:cs="Arial"/>
              </w:rPr>
              <w:t xml:space="preserve"> - Disposizioni derogatorie della normativa vigente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Deroga implicita all’articolo 11, comma 2, della legge n. 400/1988, riguardante i commissari straordinari del Governo.</w:t>
            </w:r>
          </w:p>
          <w:p w:rsidR="000B33A8" w:rsidRDefault="000B33A8" w:rsidP="00B26E1F">
            <w:pPr>
              <w:spacing w:before="100" w:beforeAutospacing="1" w:after="100" w:afterAutospacing="1"/>
              <w:ind w:firstLine="0"/>
            </w:pPr>
            <w:r>
              <w:t>Osservazione 4</w:t>
            </w:r>
          </w:p>
        </w:tc>
      </w:tr>
      <w:tr w:rsidR="000B33A8" w:rsidRPr="008B2DCE" w:rsidTr="00B26E1F">
        <w:trPr>
          <w:trHeight w:val="1124"/>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0a09" w:history="1">
              <w:r w:rsidR="000B33A8" w:rsidRPr="00B26E1F">
                <w:rPr>
                  <w:rStyle w:val="Collegamentoipertestuale"/>
                  <w:rFonts w:cs="Arial"/>
                </w:rPr>
                <w:t>9</w:t>
              </w:r>
            </w:hyperlink>
            <w:r w:rsidR="000B33A8" w:rsidRPr="00B26E1F">
              <w:rPr>
                <w:rFonts w:cs="Arial"/>
              </w:rPr>
              <w:t xml:space="preserve"> – Adempimenti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0B33A8" w:rsidP="00B26E1F">
            <w:pPr>
              <w:spacing w:before="100" w:beforeAutospacing="1" w:after="100" w:afterAutospacing="1"/>
              <w:ind w:firstLine="0"/>
            </w:pPr>
            <w:r>
              <w:t>Previsione di adempimenti in termini assai brevi e che risultano già scaduti.</w:t>
            </w:r>
          </w:p>
          <w:p w:rsidR="000B33A8" w:rsidRDefault="000B33A8" w:rsidP="00B26E1F">
            <w:pPr>
              <w:spacing w:before="100" w:beforeAutospacing="1" w:after="100" w:afterAutospacing="1"/>
              <w:ind w:firstLine="0"/>
            </w:pPr>
            <w:r>
              <w:t>Osservazione 2</w:t>
            </w:r>
          </w:p>
        </w:tc>
      </w:tr>
      <w:tr w:rsidR="000B33A8" w:rsidRPr="008B2DCE" w:rsidTr="00B26E1F">
        <w:trPr>
          <w:trHeight w:val="85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0a10" w:history="1">
              <w:r w:rsidR="000B33A8" w:rsidRPr="00B26E1F">
                <w:rPr>
                  <w:rStyle w:val="Collegamentoipertestuale"/>
                  <w:rFonts w:cs="Arial"/>
                </w:rPr>
                <w:t>10</w:t>
              </w:r>
            </w:hyperlink>
            <w:r w:rsidR="000B33A8" w:rsidRPr="00B26E1F">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Presenti (non rilevato nel parere: trasmesse successivamente al Senato e pubblicate con errata corrige).</w:t>
            </w:r>
          </w:p>
        </w:tc>
      </w:tr>
    </w:tbl>
    <w:p w:rsidR="0041678A" w:rsidRDefault="0041678A"/>
    <w:p w:rsidR="0041678A" w:rsidRDefault="0041678A"/>
    <w:tbl>
      <w:tblPr>
        <w:tblW w:w="5000" w:type="pct"/>
        <w:tblLook w:val="04A0" w:firstRow="1" w:lastRow="0" w:firstColumn="1" w:lastColumn="0" w:noHBand="0" w:noVBand="1"/>
      </w:tblPr>
      <w:tblGrid>
        <w:gridCol w:w="4076"/>
        <w:gridCol w:w="4076"/>
      </w:tblGrid>
      <w:tr w:rsidR="000B33A8" w:rsidRPr="00A33B28" w:rsidTr="002479C8">
        <w:trPr>
          <w:trHeight w:val="423"/>
        </w:trPr>
        <w:tc>
          <w:tcPr>
            <w:tcW w:w="5000" w:type="pct"/>
            <w:gridSpan w:val="2"/>
            <w:shd w:val="clear" w:color="auto" w:fill="auto"/>
          </w:tcPr>
          <w:p w:rsidR="000B33A8" w:rsidRPr="00B26E1F" w:rsidRDefault="000B33A8" w:rsidP="00B26E1F">
            <w:pPr>
              <w:keepNext/>
              <w:spacing w:before="100" w:beforeAutospacing="1" w:after="100" w:afterAutospacing="1"/>
              <w:ind w:firstLine="0"/>
              <w:rPr>
                <w:rFonts w:cs="Arial"/>
              </w:rPr>
            </w:pPr>
            <w:r w:rsidRPr="00B26E1F">
              <w:rPr>
                <w:rFonts w:cs="Arial"/>
                <w:b/>
                <w:color w:val="0000FF"/>
              </w:rPr>
              <w:t>Rilievi non in Premessa</w:t>
            </w:r>
          </w:p>
        </w:tc>
      </w:tr>
      <w:tr w:rsidR="000B33A8" w:rsidRPr="00A33B28" w:rsidTr="002479C8">
        <w:trPr>
          <w:trHeight w:val="423"/>
        </w:trPr>
        <w:tc>
          <w:tcPr>
            <w:tcW w:w="2500" w:type="pct"/>
            <w:shd w:val="clear" w:color="auto" w:fill="auto"/>
          </w:tcPr>
          <w:p w:rsidR="000B33A8" w:rsidRPr="00E811F4" w:rsidRDefault="00EB0878" w:rsidP="00B26E1F">
            <w:pPr>
              <w:keepNext/>
              <w:spacing w:before="100" w:beforeAutospacing="1" w:after="100" w:afterAutospacing="1"/>
              <w:ind w:firstLine="0"/>
            </w:pPr>
            <w:hyperlink w:anchor="S20o05" w:history="1">
              <w:r w:rsidR="000B33A8" w:rsidRPr="00E811F4">
                <w:rPr>
                  <w:rStyle w:val="Collegamentoipertestuale"/>
                </w:rPr>
                <w:t>Osservazione 5</w:t>
              </w:r>
            </w:hyperlink>
          </w:p>
        </w:tc>
        <w:tc>
          <w:tcPr>
            <w:tcW w:w="2500" w:type="pct"/>
            <w:shd w:val="clear" w:color="auto" w:fill="auto"/>
          </w:tcPr>
          <w:p w:rsidR="000B33A8" w:rsidRPr="00B26E1F" w:rsidRDefault="000B33A8" w:rsidP="00B26E1F">
            <w:pPr>
              <w:keepNext/>
              <w:spacing w:before="100" w:beforeAutospacing="1" w:after="100" w:afterAutospacing="1"/>
              <w:ind w:firstLine="0"/>
              <w:rPr>
                <w:rFonts w:cs="Arial"/>
              </w:rPr>
            </w:pPr>
            <w:r w:rsidRPr="00B26E1F">
              <w:rPr>
                <w:rFonts w:cs="Arial"/>
              </w:rPr>
              <w:t>Riferimento normativo generico.</w:t>
            </w:r>
          </w:p>
        </w:tc>
      </w:tr>
    </w:tbl>
    <w:p w:rsidR="000B33A8" w:rsidRDefault="000B33A8" w:rsidP="00F47FF1"/>
    <w:p w:rsidR="000B33A8" w:rsidRPr="008B2DCE" w:rsidRDefault="000B33A8" w:rsidP="00F47FF1">
      <w:pPr>
        <w:spacing w:before="100" w:beforeAutospacing="1" w:after="100" w:afterAutospacing="1" w:line="240" w:lineRule="auto"/>
        <w:ind w:firstLine="0"/>
        <w:rPr>
          <w:rFonts w:cs="Arial"/>
          <w:sz w:val="24"/>
          <w:szCs w:val="24"/>
        </w:rPr>
      </w:pPr>
    </w:p>
    <w:tbl>
      <w:tblPr>
        <w:tblW w:w="5000" w:type="pct"/>
        <w:tblLook w:val="01E0" w:firstRow="1" w:lastRow="1" w:firstColumn="1" w:lastColumn="1" w:noHBand="0" w:noVBand="0"/>
      </w:tblPr>
      <w:tblGrid>
        <w:gridCol w:w="4076"/>
        <w:gridCol w:w="4076"/>
      </w:tblGrid>
      <w:tr w:rsidR="000B33A8" w:rsidRPr="00A33B28" w:rsidTr="00B26E1F">
        <w:tc>
          <w:tcPr>
            <w:tcW w:w="5000" w:type="pct"/>
            <w:gridSpan w:val="2"/>
            <w:shd w:val="clear" w:color="auto" w:fill="auto"/>
          </w:tcPr>
          <w:p w:rsidR="000B33A8" w:rsidRPr="00B26E1F" w:rsidRDefault="000B33A8" w:rsidP="00B26E1F">
            <w:pPr>
              <w:keepNext/>
              <w:spacing w:before="100" w:beforeAutospacing="1" w:after="100" w:afterAutospacing="1"/>
              <w:ind w:firstLine="0"/>
              <w:rPr>
                <w:rFonts w:cs="Arial"/>
              </w:rPr>
            </w:pPr>
            <w:r w:rsidRPr="00B26E1F">
              <w:rPr>
                <w:rFonts w:cs="Arial"/>
                <w:b/>
                <w:color w:val="0000FF"/>
              </w:rPr>
              <w:lastRenderedPageBreak/>
              <w:t>Rilievi</w:t>
            </w:r>
          </w:p>
        </w:tc>
      </w:tr>
      <w:tr w:rsidR="000B33A8" w:rsidRPr="00A33B28" w:rsidTr="00B26E1F">
        <w:trPr>
          <w:trHeight w:val="376"/>
        </w:trPr>
        <w:tc>
          <w:tcPr>
            <w:tcW w:w="2500" w:type="pct"/>
            <w:shd w:val="clear" w:color="auto" w:fill="auto"/>
          </w:tcPr>
          <w:p w:rsidR="000B33A8" w:rsidRPr="00B26E1F" w:rsidRDefault="00EB0878" w:rsidP="00B26E1F">
            <w:pPr>
              <w:keepNext/>
              <w:spacing w:before="100" w:beforeAutospacing="1" w:after="100" w:afterAutospacing="1"/>
              <w:ind w:firstLine="0"/>
              <w:rPr>
                <w:rFonts w:cs="Arial"/>
              </w:rPr>
            </w:pPr>
            <w:hyperlink w:anchor="S20C" w:history="1">
              <w:r w:rsidR="000B33A8" w:rsidRPr="00EC35F0">
                <w:rPr>
                  <w:rStyle w:val="Collegamentoipertestuale"/>
                </w:rPr>
                <w:t>C</w:t>
              </w:r>
            </w:hyperlink>
            <w:r w:rsidR="000B33A8" w:rsidRPr="00B26E1F">
              <w:rPr>
                <w:rFonts w:cs="Arial"/>
              </w:rPr>
              <w:t xml:space="preserve"> - Condizioni</w:t>
            </w:r>
          </w:p>
        </w:tc>
        <w:tc>
          <w:tcPr>
            <w:tcW w:w="2500" w:type="pct"/>
            <w:shd w:val="clear" w:color="auto" w:fill="auto"/>
          </w:tcPr>
          <w:p w:rsidR="000B33A8" w:rsidRPr="00B26E1F" w:rsidRDefault="000B33A8" w:rsidP="00B26E1F">
            <w:pPr>
              <w:keepNext/>
              <w:spacing w:before="100" w:beforeAutospacing="1" w:after="100" w:afterAutospacing="1"/>
              <w:ind w:firstLine="0"/>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Pr="00B26E1F" w:rsidRDefault="00EB0878" w:rsidP="00B26E1F">
            <w:pPr>
              <w:keepNext/>
              <w:spacing w:before="100" w:beforeAutospacing="1" w:after="100" w:afterAutospacing="1"/>
              <w:ind w:firstLine="0"/>
              <w:rPr>
                <w:rFonts w:cs="Arial"/>
              </w:rPr>
            </w:pPr>
            <w:hyperlink w:anchor="S20O" w:history="1">
              <w:r w:rsidR="000B33A8" w:rsidRPr="00B26E1F">
                <w:rPr>
                  <w:rStyle w:val="Collegamentoipertestuale"/>
                  <w:rFonts w:cs="Arial"/>
                </w:rPr>
                <w:t>O</w:t>
              </w:r>
            </w:hyperlink>
            <w:r w:rsidR="000B33A8" w:rsidRPr="00B26E1F">
              <w:rPr>
                <w:rFonts w:cs="Arial"/>
              </w:rPr>
              <w:t xml:space="preserve"> - Osservazioni</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rPr>
                <w:rFonts w:cs="Arial"/>
              </w:rPr>
            </w:pPr>
          </w:p>
        </w:tc>
      </w:tr>
      <w:tr w:rsidR="000B33A8" w:rsidRPr="00A33B28" w:rsidTr="00B26E1F">
        <w:trPr>
          <w:trHeight w:val="423"/>
        </w:trPr>
        <w:tc>
          <w:tcPr>
            <w:tcW w:w="2500" w:type="pct"/>
            <w:tcBorders>
              <w:top w:val="nil"/>
              <w:left w:val="nil"/>
              <w:bottom w:val="nil"/>
              <w:right w:val="nil"/>
            </w:tcBorders>
            <w:shd w:val="clear" w:color="auto" w:fill="auto"/>
          </w:tcPr>
          <w:p w:rsidR="000B33A8" w:rsidRDefault="00EB0878" w:rsidP="00B26E1F">
            <w:pPr>
              <w:keepNext/>
              <w:spacing w:before="100" w:beforeAutospacing="1" w:after="100" w:afterAutospacing="1"/>
              <w:ind w:firstLine="0"/>
            </w:pPr>
            <w:hyperlink w:anchor="S20R" w:history="1">
              <w:r w:rsidR="000B33A8" w:rsidRPr="00633328">
                <w:rPr>
                  <w:rStyle w:val="Collegamentoipertestuale"/>
                </w:rPr>
                <w:t>R</w:t>
              </w:r>
            </w:hyperlink>
            <w:r w:rsidR="000B33A8">
              <w:t xml:space="preserve"> - Raccomandazione</w:t>
            </w:r>
          </w:p>
        </w:tc>
        <w:tc>
          <w:tcPr>
            <w:tcW w:w="2500" w:type="pct"/>
            <w:tcBorders>
              <w:top w:val="nil"/>
              <w:left w:val="nil"/>
              <w:bottom w:val="nil"/>
              <w:right w:val="nil"/>
            </w:tcBorders>
            <w:shd w:val="clear" w:color="auto" w:fill="auto"/>
          </w:tcPr>
          <w:p w:rsidR="000B33A8" w:rsidRPr="00B26E1F" w:rsidRDefault="000B33A8" w:rsidP="00B26E1F">
            <w:pPr>
              <w:keepNext/>
              <w:spacing w:before="100" w:beforeAutospacing="1" w:after="100" w:afterAutospacing="1"/>
              <w:ind w:firstLine="0"/>
              <w:rPr>
                <w:rFonts w:cs="Arial"/>
              </w:rPr>
            </w:pPr>
            <w:r w:rsidRPr="00B26E1F">
              <w:rPr>
                <w:rFonts w:cs="Arial"/>
              </w:rPr>
              <w:t>\</w:t>
            </w:r>
          </w:p>
        </w:tc>
      </w:tr>
    </w:tbl>
    <w:p w:rsidR="000B33A8" w:rsidRDefault="000B33A8" w:rsidP="000B33A8">
      <w:pPr>
        <w:ind w:firstLine="0"/>
      </w:pPr>
    </w:p>
    <w:p w:rsidR="000B33A8" w:rsidRDefault="000B33A8" w:rsidP="000B33A8">
      <w:pPr>
        <w:ind w:firstLine="0"/>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rPr>
                <w:rFonts w:cs="Arial"/>
                <w:i/>
                <w:sz w:val="24"/>
              </w:rPr>
            </w:pPr>
            <w:r w:rsidRPr="00B26E1F">
              <w:rPr>
                <w:rFonts w:cs="Arial"/>
                <w:i/>
              </w:rPr>
              <w:t>Articolo 11, co. 2, della legge n. 400/1988; sentenze della Corte costituzionale n. 22/2012, n. 171/2007, n. 128/2008, n. 32/2014, n. 154/2015; circolare sulla formulazione dei testi normativi.</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41678A">
      <w:pPr>
        <w:spacing w:before="100" w:beforeAutospacing="1" w:after="100" w:afterAutospacing="1" w:line="240" w:lineRule="auto"/>
        <w:ind w:firstLine="0"/>
        <w:jc w:val="left"/>
        <w:rPr>
          <w:rFonts w:cs="Arial"/>
          <w:sz w:val="24"/>
          <w:szCs w:val="24"/>
        </w:rPr>
      </w:pPr>
    </w:p>
    <w:p w:rsidR="000B33A8" w:rsidRPr="00B91F58" w:rsidRDefault="000B33A8" w:rsidP="000B33A8">
      <w:pPr>
        <w:rPr>
          <w:rFonts w:cs="Arial"/>
          <w:szCs w:val="22"/>
        </w:rPr>
      </w:pPr>
      <w:bookmarkStart w:id="525" w:name="S20a01"/>
      <w:r w:rsidRPr="00B91F58">
        <w:rPr>
          <w:rFonts w:cs="Arial"/>
          <w:szCs w:val="22"/>
        </w:rPr>
        <w:t xml:space="preserve">1 – </w:t>
      </w:r>
      <w:bookmarkEnd w:id="525"/>
      <w:r>
        <w:fldChar w:fldCharType="begin"/>
      </w:r>
      <w:r>
        <w:instrText>HYPERLINK  \l "premessa20"</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6B16DD">
        <w:rPr>
          <w:rFonts w:cs="Arial"/>
          <w:szCs w:val="22"/>
        </w:rPr>
        <w:t xml:space="preserve">il decreto-legge, che si compone di 18 articoli, cui si aggiungono i ben 26 articoli, i 66 commi e le due Tabelle inseriti in occasione del suo esame presso il Senato, presenta un </w:t>
      </w:r>
      <w:r w:rsidRPr="006B16DD">
        <w:rPr>
          <w:rFonts w:cs="Arial"/>
          <w:b/>
          <w:szCs w:val="22"/>
        </w:rPr>
        <w:t>contenuto estremamente complesso e articolato</w:t>
      </w:r>
      <w:r w:rsidRPr="006B16DD">
        <w:rPr>
          <w:rFonts w:cs="Arial"/>
          <w:szCs w:val="22"/>
        </w:rPr>
        <w:t>; il preambolo fornisce puntuale indicazione dell'originario nucleo di disposizioni (incidenti sulla funzionalità degli enti territoriali mediante interventi riguardanti la materia finanziaria, quella sanitaria, il personale dipendente e l'erogazione dei servizi di competenza, nonché mediante specifiche misure in favore dei territori colpiti da calamità naturali) e reca l'indicazione della necessità e dell'urgenza del provvedere in ordine a tutti gli interventi in questione, fatta eccezione per quelli in materia di policlinici universitari gestiti da università non statali contenuti all'articolo 9, commi 10 e 11; a tale complesso di disposizioni, si aggiungono, nel testo all'esame della Camera, ulteriori norme che, in alcuni casi, afferiscono ad ambiti materiali diversi rispetto a quelli indicati nel titolo del decreto-legge e specificati nel preambolo e, in altri casi, seppur riconducibili alla materia indicata nel titolo del decreto-legge, risultano estranei rispetto agli oggetti dell'intervento d'urgenza così come definiti nel preambolo; in particolare, agli ambiti materiali prima indicati e alle complessive finalità perseguite dal provvedimento, non sembrano</w:t>
      </w:r>
      <w:r>
        <w:rPr>
          <w:rFonts w:cs="Arial"/>
          <w:szCs w:val="22"/>
        </w:rPr>
        <w:t xml:space="preserve"> </w:t>
      </w:r>
      <w:r w:rsidRPr="006B16DD">
        <w:rPr>
          <w:rFonts w:cs="Arial"/>
          <w:szCs w:val="22"/>
        </w:rPr>
        <w:t>riconducibili le disposizioni di cui agli articoli: 4-</w:t>
      </w:r>
      <w:r w:rsidRPr="006B16DD">
        <w:rPr>
          <w:rFonts w:cs="Arial"/>
          <w:i/>
          <w:iCs/>
          <w:szCs w:val="22"/>
        </w:rPr>
        <w:t>bis</w:t>
      </w:r>
      <w:r w:rsidRPr="006B16DD">
        <w:rPr>
          <w:rFonts w:cs="Arial"/>
          <w:szCs w:val="22"/>
        </w:rPr>
        <w:t>, che interviene in materia di procedure concorsuali presso le Agenzie fiscali; 5-</w:t>
      </w:r>
      <w:r w:rsidRPr="006B16DD">
        <w:rPr>
          <w:rFonts w:cs="Arial"/>
          <w:i/>
          <w:iCs/>
          <w:szCs w:val="22"/>
        </w:rPr>
        <w:t>bis</w:t>
      </w:r>
      <w:r w:rsidRPr="006B16DD">
        <w:rPr>
          <w:rFonts w:cs="Arial"/>
          <w:szCs w:val="22"/>
        </w:rPr>
        <w:t>, recante proroga dell'impiego del personale militare delle Forze armate per esigenze di sicurezza e di prevenzione e contrasto del terrorismo; 7, comma 9-</w:t>
      </w:r>
      <w:r w:rsidRPr="006B16DD">
        <w:rPr>
          <w:rFonts w:cs="Arial"/>
          <w:i/>
          <w:iCs/>
          <w:szCs w:val="22"/>
        </w:rPr>
        <w:t>ter</w:t>
      </w:r>
      <w:r w:rsidRPr="006B16DD">
        <w:rPr>
          <w:rFonts w:cs="Arial"/>
          <w:szCs w:val="22"/>
        </w:rPr>
        <w:t>, in materia di classificazione dei rifiuti pericolosi; 7, commi da 9-</w:t>
      </w:r>
      <w:r w:rsidRPr="006B16DD">
        <w:rPr>
          <w:rFonts w:cs="Arial"/>
          <w:i/>
          <w:iCs/>
          <w:szCs w:val="22"/>
        </w:rPr>
        <w:t>septies</w:t>
      </w:r>
      <w:r w:rsidRPr="006B16DD">
        <w:rPr>
          <w:rFonts w:cs="Arial"/>
          <w:szCs w:val="22"/>
        </w:rPr>
        <w:t xml:space="preserve"> a 9-</w:t>
      </w:r>
      <w:r w:rsidRPr="006B16DD">
        <w:rPr>
          <w:rFonts w:cs="Arial"/>
          <w:i/>
          <w:iCs/>
          <w:szCs w:val="22"/>
        </w:rPr>
        <w:t>quiquiesdecies,</w:t>
      </w:r>
      <w:r w:rsidRPr="006B16DD">
        <w:rPr>
          <w:rFonts w:cs="Arial"/>
          <w:szCs w:val="22"/>
        </w:rPr>
        <w:t xml:space="preserve"> che intervengono (in via non testuale) a sopprimere il Fondo Gas di cui alla legge n.</w:t>
      </w:r>
      <w:r>
        <w:rPr>
          <w:rFonts w:cs="Arial"/>
          <w:szCs w:val="22"/>
        </w:rPr>
        <w:t xml:space="preserve"> </w:t>
      </w:r>
      <w:r w:rsidRPr="006B16DD">
        <w:rPr>
          <w:rFonts w:cs="Arial"/>
          <w:szCs w:val="22"/>
        </w:rPr>
        <w:t>1084 del 1971 e ad istituire una Gestione ad esaurimento di tale Fondo presso l'INPS; 7, commi 9-</w:t>
      </w:r>
      <w:r w:rsidRPr="006B16DD">
        <w:rPr>
          <w:rFonts w:cs="Arial"/>
          <w:i/>
          <w:iCs/>
          <w:szCs w:val="22"/>
        </w:rPr>
        <w:t>septiesdecies</w:t>
      </w:r>
      <w:r w:rsidRPr="006B16DD">
        <w:rPr>
          <w:rFonts w:cs="Arial"/>
          <w:szCs w:val="22"/>
        </w:rPr>
        <w:t xml:space="preserve"> e </w:t>
      </w:r>
      <w:r w:rsidRPr="006B16DD">
        <w:rPr>
          <w:rFonts w:cs="Arial"/>
          <w:i/>
          <w:iCs/>
          <w:szCs w:val="22"/>
        </w:rPr>
        <w:t>duodevicies,</w:t>
      </w:r>
      <w:r w:rsidRPr="006B16DD">
        <w:rPr>
          <w:rFonts w:cs="Arial"/>
          <w:szCs w:val="22"/>
        </w:rPr>
        <w:t xml:space="preserve"> recanti interventi in materia di concessioni demaniali marittime; 7, comma 9-</w:t>
      </w:r>
      <w:r w:rsidRPr="006B16DD">
        <w:rPr>
          <w:rFonts w:cs="Arial"/>
          <w:i/>
          <w:iCs/>
          <w:szCs w:val="22"/>
        </w:rPr>
        <w:t>sexies</w:t>
      </w:r>
      <w:r w:rsidRPr="006B16DD">
        <w:rPr>
          <w:rFonts w:cs="Arial"/>
          <w:szCs w:val="22"/>
        </w:rPr>
        <w:t xml:space="preserve">, che interviene a finanziare gli sgravi contributivi previsti dai commi 118 e 121 </w:t>
      </w:r>
      <w:r w:rsidRPr="006B16DD">
        <w:rPr>
          <w:rFonts w:cs="Arial"/>
          <w:szCs w:val="22"/>
        </w:rPr>
        <w:lastRenderedPageBreak/>
        <w:t>dell'articolo 1 della legge di stabilità per il 2015 (legge n.</w:t>
      </w:r>
      <w:r>
        <w:rPr>
          <w:rFonts w:cs="Arial"/>
          <w:szCs w:val="22"/>
        </w:rPr>
        <w:t xml:space="preserve"> </w:t>
      </w:r>
      <w:r w:rsidRPr="006B16DD">
        <w:rPr>
          <w:rFonts w:cs="Arial"/>
          <w:szCs w:val="22"/>
        </w:rPr>
        <w:t>190 del 2014) di cui beneficiano i datori di lavoro alle condizioni previste dal comma 122 del medesimo articolo; 8, commi da 4-</w:t>
      </w:r>
      <w:r w:rsidRPr="006B16DD">
        <w:rPr>
          <w:rFonts w:cs="Arial"/>
          <w:i/>
          <w:iCs/>
          <w:szCs w:val="22"/>
        </w:rPr>
        <w:t>bis</w:t>
      </w:r>
      <w:r w:rsidRPr="006B16DD">
        <w:rPr>
          <w:rFonts w:cs="Arial"/>
          <w:szCs w:val="22"/>
        </w:rPr>
        <w:t xml:space="preserve"> a 4-</w:t>
      </w:r>
      <w:r w:rsidRPr="006B16DD">
        <w:rPr>
          <w:rFonts w:cs="Arial"/>
          <w:i/>
          <w:iCs/>
          <w:szCs w:val="22"/>
        </w:rPr>
        <w:t>quater,</w:t>
      </w:r>
      <w:r w:rsidRPr="006B16DD">
        <w:rPr>
          <w:rFonts w:cs="Arial"/>
          <w:szCs w:val="22"/>
        </w:rPr>
        <w:t xml:space="preserve"> che intervengono a disciplinare il pagamento, da parte del Consiglio per la ricerca in agricoltura e l'analisi dell'economia agraria, dei debiti dallo stesso assunti a seguito dell'incorporazione dell'Istituto nazionale di economia agraria; 9, commi da 9-</w:t>
      </w:r>
      <w:r w:rsidRPr="006B16DD">
        <w:rPr>
          <w:rFonts w:cs="Arial"/>
          <w:i/>
          <w:iCs/>
          <w:szCs w:val="22"/>
        </w:rPr>
        <w:t>bis</w:t>
      </w:r>
      <w:r w:rsidRPr="006B16DD">
        <w:rPr>
          <w:rFonts w:cs="Arial"/>
          <w:szCs w:val="22"/>
        </w:rPr>
        <w:t xml:space="preserve"> a 9-</w:t>
      </w:r>
      <w:r w:rsidRPr="006B16DD">
        <w:rPr>
          <w:rFonts w:cs="Arial"/>
          <w:i/>
          <w:iCs/>
          <w:szCs w:val="22"/>
        </w:rPr>
        <w:t>quater,</w:t>
      </w:r>
      <w:r w:rsidRPr="006B16DD">
        <w:rPr>
          <w:rFonts w:cs="Arial"/>
          <w:szCs w:val="22"/>
        </w:rPr>
        <w:t xml:space="preserve"> che intervengono, con norma di interpretazione autentica, su profili fiscali della locazione finanziaria; 9, commi da 11-</w:t>
      </w:r>
      <w:r w:rsidRPr="006B16DD">
        <w:rPr>
          <w:rFonts w:cs="Arial"/>
          <w:i/>
          <w:iCs/>
          <w:szCs w:val="22"/>
        </w:rPr>
        <w:t>bis</w:t>
      </w:r>
      <w:r w:rsidRPr="006B16DD">
        <w:rPr>
          <w:rFonts w:cs="Arial"/>
          <w:szCs w:val="22"/>
        </w:rPr>
        <w:t xml:space="preserve"> a 11-</w:t>
      </w:r>
      <w:r w:rsidRPr="006B16DD">
        <w:rPr>
          <w:rFonts w:cs="Arial"/>
          <w:i/>
          <w:iCs/>
          <w:szCs w:val="22"/>
        </w:rPr>
        <w:t>quater,</w:t>
      </w:r>
      <w:r w:rsidRPr="006B16DD">
        <w:rPr>
          <w:rFonts w:cs="Arial"/>
          <w:szCs w:val="22"/>
        </w:rPr>
        <w:t xml:space="preserve"> che intervengono sul Consorzio interuniversitario (CINECA); 11, commi 16-</w:t>
      </w:r>
      <w:r w:rsidRPr="006B16DD">
        <w:rPr>
          <w:rFonts w:cs="Arial"/>
          <w:i/>
          <w:iCs/>
          <w:szCs w:val="22"/>
        </w:rPr>
        <w:t>bis</w:t>
      </w:r>
      <w:r w:rsidRPr="006B16DD">
        <w:rPr>
          <w:rFonts w:cs="Arial"/>
          <w:szCs w:val="22"/>
        </w:rPr>
        <w:t xml:space="preserve"> e 16-</w:t>
      </w:r>
      <w:r w:rsidRPr="006B16DD">
        <w:rPr>
          <w:rFonts w:cs="Arial"/>
          <w:i/>
          <w:iCs/>
          <w:szCs w:val="22"/>
        </w:rPr>
        <w:t>ter</w:t>
      </w:r>
      <w:r w:rsidRPr="006B16DD">
        <w:rPr>
          <w:rFonts w:cs="Arial"/>
          <w:szCs w:val="22"/>
        </w:rPr>
        <w:t>, recanti disposizioni in materia di gestione dei rifiuti e procedimenti per il rilascio o l'adeguamento dell'autorizzazione integrata ambientale (AIA); 11, comma 16-</w:t>
      </w:r>
      <w:r w:rsidRPr="006B16DD">
        <w:rPr>
          <w:rFonts w:cs="Arial"/>
          <w:i/>
          <w:iCs/>
          <w:szCs w:val="22"/>
        </w:rPr>
        <w:t>quater</w:t>
      </w:r>
      <w:r w:rsidRPr="006B16DD">
        <w:rPr>
          <w:rFonts w:cs="Arial"/>
          <w:szCs w:val="22"/>
        </w:rPr>
        <w:t>, volto a modificare la procedura di nomina dei Commissari straordinari del Governo per i programmi di risanamento ambientale e la definizione degli indirizzi strategici per il risanamento del comprensorio Bagnoli – Coroglio; 11-</w:t>
      </w:r>
      <w:r w:rsidRPr="006B16DD">
        <w:rPr>
          <w:rFonts w:cs="Arial"/>
          <w:i/>
          <w:iCs/>
          <w:szCs w:val="22"/>
        </w:rPr>
        <w:t>bis</w:t>
      </w:r>
      <w:r w:rsidRPr="006B16DD">
        <w:rPr>
          <w:rFonts w:cs="Arial"/>
          <w:szCs w:val="22"/>
        </w:rPr>
        <w:t>, recante «disposizioni in materia di economia legale»; 13-</w:t>
      </w:r>
      <w:r w:rsidRPr="006B16DD">
        <w:rPr>
          <w:rFonts w:cs="Arial"/>
          <w:i/>
          <w:iCs/>
          <w:szCs w:val="22"/>
        </w:rPr>
        <w:t>quater</w:t>
      </w:r>
      <w:r w:rsidRPr="006B16DD">
        <w:rPr>
          <w:rFonts w:cs="Arial"/>
          <w:szCs w:val="22"/>
        </w:rPr>
        <w:t>, che proroga il termine per la cantierabilità di alcune opere stradali e ferroviarie individuate dall'articolo 3 del decreto-legge n.</w:t>
      </w:r>
      <w:r>
        <w:rPr>
          <w:rFonts w:cs="Arial"/>
          <w:szCs w:val="22"/>
        </w:rPr>
        <w:t xml:space="preserve"> </w:t>
      </w:r>
      <w:r w:rsidRPr="006B16DD">
        <w:rPr>
          <w:rFonts w:cs="Arial"/>
          <w:szCs w:val="22"/>
        </w:rPr>
        <w:t>133 del 2014; 16-</w:t>
      </w:r>
      <w:r w:rsidRPr="006B16DD">
        <w:rPr>
          <w:rFonts w:cs="Arial"/>
          <w:i/>
          <w:iCs/>
          <w:szCs w:val="22"/>
        </w:rPr>
        <w:t>bis</w:t>
      </w:r>
      <w:r w:rsidRPr="006B16DD">
        <w:rPr>
          <w:rFonts w:cs="Arial"/>
          <w:szCs w:val="22"/>
        </w:rPr>
        <w:t>, recante misure per favorire la rappresentanza territoriale negli organi di amministrazione di associazioni e fondazioni con finalità di gestione di beni del patrimonio mondiale dell'umanità e 16-</w:t>
      </w:r>
      <w:r w:rsidRPr="006B16DD">
        <w:rPr>
          <w:rFonts w:cs="Arial"/>
          <w:i/>
          <w:iCs/>
          <w:szCs w:val="22"/>
        </w:rPr>
        <w:t>ter</w:t>
      </w:r>
      <w:r w:rsidRPr="006B16DD">
        <w:rPr>
          <w:rFonts w:cs="Arial"/>
          <w:szCs w:val="22"/>
        </w:rPr>
        <w:t>, recante disposizioni in materia di assunzioni straordinarie nelle forze di polizia e nel Corpo nazionale dei vigili del fuoco</w:t>
      </w:r>
      <w:r w:rsidRPr="00B91F58">
        <w:rPr>
          <w:rFonts w:cs="Arial"/>
          <w:szCs w:val="22"/>
        </w:rPr>
        <w:t>»;</w:t>
      </w:r>
      <w:r>
        <w:rPr>
          <w:rFonts w:cs="Arial"/>
          <w:szCs w:val="22"/>
        </w:rPr>
        <w:t xml:space="preserve"> </w:t>
      </w:r>
      <w:r w:rsidRPr="00B91F58">
        <w:rPr>
          <w:rFonts w:cs="Arial"/>
          <w:szCs w:val="22"/>
        </w:rPr>
        <w:t>(</w:t>
      </w:r>
      <w:hyperlink w:anchor="S20c01" w:history="1">
        <w:r>
          <w:rPr>
            <w:rStyle w:val="Collegamentoipertestuale"/>
            <w:rFonts w:cs="Arial"/>
            <w:b/>
            <w:szCs w:val="22"/>
          </w:rPr>
          <w:t>conseguente condizione</w:t>
        </w:r>
      </w:hyperlink>
      <w:r w:rsidRPr="00B91F58">
        <w:rPr>
          <w:rFonts w:cs="Arial"/>
          <w:szCs w:val="22"/>
        </w:rPr>
        <w:t>);</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526" w:name="S20a01a"/>
      <w:r w:rsidRPr="00B91F58">
        <w:rPr>
          <w:rFonts w:cs="Arial"/>
          <w:szCs w:val="22"/>
        </w:rPr>
        <w:t>1</w:t>
      </w:r>
      <w:r>
        <w:rPr>
          <w:rFonts w:cs="Arial"/>
          <w:szCs w:val="22"/>
        </w:rPr>
        <w:t>a</w:t>
      </w:r>
      <w:r w:rsidRPr="00B91F58">
        <w:rPr>
          <w:rFonts w:cs="Arial"/>
          <w:szCs w:val="22"/>
        </w:rPr>
        <w:t xml:space="preserve"> </w:t>
      </w:r>
      <w:bookmarkEnd w:id="526"/>
      <w:r w:rsidRPr="00B91F58">
        <w:rPr>
          <w:rFonts w:cs="Arial"/>
          <w:szCs w:val="22"/>
        </w:rPr>
        <w:t xml:space="preserve">– </w:t>
      </w:r>
      <w:hyperlink w:anchor="premessa2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264203">
        <w:rPr>
          <w:rFonts w:cs="Arial"/>
          <w:szCs w:val="22"/>
        </w:rPr>
        <w:t xml:space="preserve">seppur recanti interventi riguardanti gli enti territoriali, </w:t>
      </w:r>
      <w:r w:rsidRPr="00264203">
        <w:rPr>
          <w:rFonts w:cs="Arial"/>
          <w:b/>
          <w:szCs w:val="22"/>
        </w:rPr>
        <w:t>non appaiono invece riconducibili ai singoli oggetti di disciplina del provvedimento d'urgenza come definiti nel preambolo</w:t>
      </w:r>
      <w:r w:rsidRPr="00264203">
        <w:rPr>
          <w:rFonts w:cs="Arial"/>
          <w:szCs w:val="22"/>
        </w:rPr>
        <w:t>, le misure, prevalentemente di carattere localistico, contenute agli articoli: 1-</w:t>
      </w:r>
      <w:r w:rsidRPr="00264203">
        <w:rPr>
          <w:rFonts w:cs="Arial"/>
          <w:i/>
          <w:iCs/>
          <w:szCs w:val="22"/>
        </w:rPr>
        <w:t>quinquies</w:t>
      </w:r>
      <w:r w:rsidRPr="00264203">
        <w:rPr>
          <w:rFonts w:cs="Arial"/>
          <w:szCs w:val="22"/>
        </w:rPr>
        <w:t>, che interviene in materia di variazione dell'assetto proprietario del Parco di Monza; 7, comma 9-</w:t>
      </w:r>
      <w:r w:rsidRPr="00264203">
        <w:rPr>
          <w:rFonts w:cs="Arial"/>
          <w:i/>
          <w:iCs/>
          <w:szCs w:val="22"/>
        </w:rPr>
        <w:t>bis,</w:t>
      </w:r>
      <w:r w:rsidRPr="00264203">
        <w:rPr>
          <w:rFonts w:cs="Arial"/>
          <w:szCs w:val="22"/>
        </w:rPr>
        <w:t xml:space="preserve"> in materia di pubblicità delle nuove rendite catastali degli immobili siti nelle province autonome di Trento e di Bolzano; 7, comma 9-</w:t>
      </w:r>
      <w:r w:rsidRPr="00264203">
        <w:rPr>
          <w:rFonts w:cs="Arial"/>
          <w:i/>
          <w:iCs/>
          <w:szCs w:val="22"/>
        </w:rPr>
        <w:t>quater</w:t>
      </w:r>
      <w:r w:rsidRPr="00264203">
        <w:rPr>
          <w:rFonts w:cs="Arial"/>
          <w:szCs w:val="22"/>
        </w:rPr>
        <w:t>, recante interventi in favore del comune di Milano; 7, comma 9-</w:t>
      </w:r>
      <w:r w:rsidRPr="00264203">
        <w:rPr>
          <w:rFonts w:cs="Arial"/>
          <w:i/>
          <w:iCs/>
          <w:szCs w:val="22"/>
        </w:rPr>
        <w:t>sexiesdecies</w:t>
      </w:r>
      <w:r w:rsidRPr="00264203">
        <w:rPr>
          <w:rFonts w:cs="Arial"/>
          <w:szCs w:val="22"/>
        </w:rPr>
        <w:t>, recante interventi in favore del comune di Campione d'Italia; 7-</w:t>
      </w:r>
      <w:r w:rsidRPr="00264203">
        <w:rPr>
          <w:rFonts w:cs="Arial"/>
          <w:i/>
          <w:iCs/>
          <w:szCs w:val="22"/>
        </w:rPr>
        <w:t>bis</w:t>
      </w:r>
      <w:r w:rsidRPr="00264203">
        <w:rPr>
          <w:rFonts w:cs="Arial"/>
          <w:szCs w:val="22"/>
        </w:rPr>
        <w:t>, che novella il testo unico di cui al decreto legislativo n.</w:t>
      </w:r>
      <w:r>
        <w:rPr>
          <w:rFonts w:cs="Arial"/>
          <w:szCs w:val="22"/>
        </w:rPr>
        <w:t xml:space="preserve"> </w:t>
      </w:r>
      <w:r w:rsidRPr="00264203">
        <w:rPr>
          <w:rFonts w:cs="Arial"/>
          <w:szCs w:val="22"/>
        </w:rPr>
        <w:t>267 del 2000, in materia di copertura assicurativa sull'operato degli amministratori degli enti locali e di rimborso delle spese legali; 8, comma 13-</w:t>
      </w:r>
      <w:r w:rsidRPr="00264203">
        <w:rPr>
          <w:rFonts w:cs="Arial"/>
          <w:i/>
          <w:iCs/>
          <w:szCs w:val="22"/>
        </w:rPr>
        <w:t>bis</w:t>
      </w:r>
      <w:r w:rsidRPr="00264203">
        <w:rPr>
          <w:rFonts w:cs="Arial"/>
          <w:szCs w:val="22"/>
        </w:rPr>
        <w:t>, che interviene in materia di IMU agricola; 8, commi 13-</w:t>
      </w:r>
      <w:r w:rsidRPr="00264203">
        <w:rPr>
          <w:rFonts w:cs="Arial"/>
          <w:i/>
          <w:iCs/>
          <w:szCs w:val="22"/>
        </w:rPr>
        <w:t>ter</w:t>
      </w:r>
      <w:r w:rsidRPr="00264203">
        <w:rPr>
          <w:rFonts w:cs="Arial"/>
          <w:szCs w:val="22"/>
        </w:rPr>
        <w:t xml:space="preserve"> e 13-</w:t>
      </w:r>
      <w:r w:rsidRPr="00264203">
        <w:rPr>
          <w:rFonts w:cs="Arial"/>
          <w:i/>
          <w:iCs/>
          <w:szCs w:val="22"/>
        </w:rPr>
        <w:t>quater,</w:t>
      </w:r>
      <w:r w:rsidRPr="00264203">
        <w:rPr>
          <w:rFonts w:cs="Arial"/>
          <w:szCs w:val="22"/>
        </w:rPr>
        <w:t xml:space="preserve"> che intervengono al fine di sopperire alle specifiche e straordinarie esigenze finanziarie delle città metropolitane di Milano e di Torino ed al fine di fronteggiare le specifiche esigenze relative all'assistenza per l'autonomia e la comunicazione personale degli alunni con </w:t>
      </w:r>
      <w:r w:rsidRPr="00264203">
        <w:rPr>
          <w:rFonts w:cs="Arial"/>
          <w:i/>
          <w:iCs/>
          <w:szCs w:val="22"/>
        </w:rPr>
        <w:t>handicap</w:t>
      </w:r>
      <w:r w:rsidRPr="00264203">
        <w:rPr>
          <w:rFonts w:cs="Arial"/>
          <w:szCs w:val="22"/>
        </w:rPr>
        <w:t xml:space="preserve"> fisici o </w:t>
      </w:r>
      <w:r w:rsidRPr="00264203">
        <w:rPr>
          <w:rFonts w:cs="Arial"/>
          <w:szCs w:val="22"/>
        </w:rPr>
        <w:lastRenderedPageBreak/>
        <w:t>sensoriali; 8, comma 13-</w:t>
      </w:r>
      <w:r w:rsidRPr="00264203">
        <w:rPr>
          <w:rFonts w:cs="Arial"/>
          <w:i/>
          <w:iCs/>
          <w:szCs w:val="22"/>
        </w:rPr>
        <w:t>sexies,</w:t>
      </w:r>
      <w:r w:rsidRPr="00264203">
        <w:rPr>
          <w:rFonts w:cs="Arial"/>
          <w:szCs w:val="22"/>
        </w:rPr>
        <w:t xml:space="preserve"> che modifica il testo unico di cui al decreto legislativo n.</w:t>
      </w:r>
      <w:r>
        <w:rPr>
          <w:rFonts w:cs="Arial"/>
          <w:szCs w:val="22"/>
        </w:rPr>
        <w:t xml:space="preserve"> </w:t>
      </w:r>
      <w:r w:rsidRPr="00264203">
        <w:rPr>
          <w:rFonts w:cs="Arial"/>
          <w:szCs w:val="22"/>
        </w:rPr>
        <w:t>267 del 2000 con un intervento peraltro nella materia elettorale (cause di ineleggibilità dei sindaci); 8, commi da 13-</w:t>
      </w:r>
      <w:r w:rsidRPr="00264203">
        <w:rPr>
          <w:rFonts w:cs="Arial"/>
          <w:i/>
          <w:iCs/>
          <w:szCs w:val="22"/>
        </w:rPr>
        <w:t>octies</w:t>
      </w:r>
      <w:r w:rsidRPr="00264203">
        <w:rPr>
          <w:rFonts w:cs="Arial"/>
          <w:szCs w:val="22"/>
        </w:rPr>
        <w:t xml:space="preserve"> a 13-</w:t>
      </w:r>
      <w:r w:rsidRPr="00264203">
        <w:rPr>
          <w:rFonts w:cs="Arial"/>
          <w:i/>
          <w:iCs/>
          <w:szCs w:val="22"/>
        </w:rPr>
        <w:t>duodecies,</w:t>
      </w:r>
      <w:r w:rsidRPr="00264203">
        <w:rPr>
          <w:rFonts w:cs="Arial"/>
          <w:szCs w:val="22"/>
        </w:rPr>
        <w:t xml:space="preserve"> che disciplinano le modalità di assegnazione delle quote di imposta dovute dallo Stato alla regione Sicilia a norma dell'articolo 37 del suo Statuto; 8-</w:t>
      </w:r>
      <w:r w:rsidRPr="00264203">
        <w:rPr>
          <w:rFonts w:cs="Arial"/>
          <w:i/>
          <w:iCs/>
          <w:szCs w:val="22"/>
        </w:rPr>
        <w:t>bis</w:t>
      </w:r>
      <w:r w:rsidRPr="00264203">
        <w:rPr>
          <w:rFonts w:cs="Arial"/>
          <w:szCs w:val="22"/>
        </w:rPr>
        <w:t>, che dà attuazione all'Accordo in materia finanziaria stipulato tra lo Stato e la regione Valle d'Aosta in data 21 luglio 2015, disciplinandone profili applicativi; 9-</w:t>
      </w:r>
      <w:r w:rsidRPr="00264203">
        <w:rPr>
          <w:rFonts w:cs="Arial"/>
          <w:i/>
          <w:iCs/>
          <w:szCs w:val="22"/>
        </w:rPr>
        <w:t>novies</w:t>
      </w:r>
      <w:r w:rsidRPr="00264203">
        <w:rPr>
          <w:rFonts w:cs="Arial"/>
          <w:szCs w:val="22"/>
        </w:rPr>
        <w:t xml:space="preserve"> e 9-</w:t>
      </w:r>
      <w:r w:rsidRPr="00264203">
        <w:rPr>
          <w:rFonts w:cs="Arial"/>
          <w:i/>
          <w:iCs/>
          <w:szCs w:val="22"/>
        </w:rPr>
        <w:t>decies</w:t>
      </w:r>
      <w:r w:rsidRPr="00264203">
        <w:rPr>
          <w:rFonts w:cs="Arial"/>
          <w:szCs w:val="22"/>
        </w:rPr>
        <w:t xml:space="preserve"> recanti disposizioni in materia sanitaria ulteriori rispetto a quanto concordato in sede di Conferenza Stato-regioni in data 26 febbraio e 2 luglio 2015 e connesse allo svolgimento di Expo 2015 e del Giubileo straordinario; 13-</w:t>
      </w:r>
      <w:r w:rsidRPr="00264203">
        <w:rPr>
          <w:rFonts w:cs="Arial"/>
          <w:i/>
          <w:iCs/>
          <w:szCs w:val="22"/>
        </w:rPr>
        <w:t>bis</w:t>
      </w:r>
      <w:r w:rsidRPr="00264203">
        <w:rPr>
          <w:rFonts w:cs="Arial"/>
          <w:szCs w:val="22"/>
        </w:rPr>
        <w:t>, recante istituzione di una zona franca per la Sardegna; 13-</w:t>
      </w:r>
      <w:r w:rsidRPr="00264203">
        <w:rPr>
          <w:rFonts w:cs="Arial"/>
          <w:i/>
          <w:iCs/>
          <w:szCs w:val="22"/>
        </w:rPr>
        <w:t>ter</w:t>
      </w:r>
      <w:r w:rsidRPr="00264203">
        <w:rPr>
          <w:rFonts w:cs="Arial"/>
          <w:szCs w:val="22"/>
        </w:rPr>
        <w:t>, recante misure per la città di Venezia; 16, comma 1-</w:t>
      </w:r>
      <w:r w:rsidRPr="00264203">
        <w:rPr>
          <w:rFonts w:cs="Arial"/>
          <w:i/>
          <w:iCs/>
          <w:szCs w:val="22"/>
        </w:rPr>
        <w:t>bis</w:t>
      </w:r>
      <w:r w:rsidRPr="00264203">
        <w:rPr>
          <w:rFonts w:cs="Arial"/>
          <w:szCs w:val="22"/>
        </w:rPr>
        <w:t>, capoverso 5-</w:t>
      </w:r>
      <w:r w:rsidRPr="00264203">
        <w:rPr>
          <w:rFonts w:cs="Arial"/>
          <w:i/>
          <w:iCs/>
          <w:szCs w:val="22"/>
        </w:rPr>
        <w:t>ter</w:t>
      </w:r>
      <w:r w:rsidRPr="00264203">
        <w:rPr>
          <w:rFonts w:cs="Arial"/>
          <w:szCs w:val="22"/>
        </w:rPr>
        <w:t>, che reca interventi volti ad assicurare la tutela e la valorizzazione del sito archeologico di Pompei e delle aree limitrofe; 16-</w:t>
      </w:r>
      <w:r w:rsidRPr="00264203">
        <w:rPr>
          <w:rFonts w:cs="Arial"/>
          <w:i/>
          <w:iCs/>
          <w:szCs w:val="22"/>
        </w:rPr>
        <w:t>quater</w:t>
      </w:r>
      <w:r w:rsidRPr="00264203">
        <w:rPr>
          <w:rFonts w:cs="Arial"/>
          <w:szCs w:val="22"/>
        </w:rPr>
        <w:t xml:space="preserve">, recante disposizioni per la stabilizzazione dei lavoratori di comuni della regione Calabria; con riferimento alle disposizioni prima indicate, che inseriscono, nella legge di conversione, oggetti di disciplina nuovi rispetto a quelli contenuti nel decreto-legge, si ricorda che la </w:t>
      </w:r>
      <w:r w:rsidRPr="00264203">
        <w:rPr>
          <w:rFonts w:cs="Arial"/>
          <w:b/>
          <w:szCs w:val="22"/>
        </w:rPr>
        <w:t>Corte costituzionale</w:t>
      </w:r>
      <w:r w:rsidRPr="00264203">
        <w:rPr>
          <w:rFonts w:cs="Arial"/>
          <w:szCs w:val="22"/>
        </w:rPr>
        <w:t xml:space="preserve">, nella </w:t>
      </w:r>
      <w:r w:rsidRPr="00264203">
        <w:rPr>
          <w:rFonts w:cs="Arial"/>
          <w:b/>
          <w:szCs w:val="22"/>
        </w:rPr>
        <w:t>sentenza n. 22 del 2012</w:t>
      </w:r>
      <w:r w:rsidRPr="00264203">
        <w:rPr>
          <w:rFonts w:cs="Arial"/>
          <w:szCs w:val="22"/>
        </w:rPr>
        <w:t xml:space="preserve">, richiamando al riguardo quanto già statuito nelle sentenze </w:t>
      </w:r>
      <w:r w:rsidRPr="00264203">
        <w:rPr>
          <w:rFonts w:cs="Arial"/>
          <w:b/>
          <w:szCs w:val="22"/>
        </w:rPr>
        <w:t>n. 171 del 2007</w:t>
      </w:r>
      <w:r w:rsidRPr="00264203">
        <w:rPr>
          <w:rFonts w:cs="Arial"/>
          <w:szCs w:val="22"/>
        </w:rPr>
        <w:t xml:space="preserve"> e </w:t>
      </w:r>
      <w:r w:rsidRPr="00264203">
        <w:rPr>
          <w:rFonts w:cs="Arial"/>
          <w:b/>
          <w:szCs w:val="22"/>
        </w:rPr>
        <w:t>n. 128 del 2008</w:t>
      </w:r>
      <w:r w:rsidRPr="00264203">
        <w:rPr>
          <w:rFonts w:cs="Arial"/>
          <w:szCs w:val="22"/>
        </w:rPr>
        <w:t>, ha individuato, “</w:t>
      </w:r>
      <w:r w:rsidRPr="00264203">
        <w:rPr>
          <w:rFonts w:cs="Arial"/>
          <w:i/>
          <w:iCs/>
          <w:szCs w:val="22"/>
        </w:rPr>
        <w:t>tra gli indici alla stregua dei quali verificare se risulti evidente o meno la carenza del requisito della straordinarietà del caso di necessità e d'urgenza di provvedere, la evidente estraneità della norma censurata rispetto alla materia disciplinata da altre disposizioni del decreto legge in cui è inserita</w:t>
      </w:r>
      <w:r w:rsidRPr="00264203">
        <w:rPr>
          <w:rFonts w:cs="Arial"/>
          <w:szCs w:val="22"/>
        </w:rPr>
        <w:t xml:space="preserve">”, nonché rispetto all'intestazione del decreto e al preambolo; si ricorda altresì che, nella </w:t>
      </w:r>
      <w:r w:rsidRPr="00264203">
        <w:rPr>
          <w:rFonts w:cs="Arial"/>
          <w:b/>
          <w:szCs w:val="22"/>
        </w:rPr>
        <w:t>sentenza n. 32 del 2014</w:t>
      </w:r>
      <w:r w:rsidRPr="00264203">
        <w:rPr>
          <w:rFonts w:cs="Arial"/>
          <w:szCs w:val="22"/>
        </w:rPr>
        <w:t xml:space="preserve">, con orientamento confermato, da ultimo, nella recentissima sentenza </w:t>
      </w:r>
      <w:r w:rsidRPr="00264203">
        <w:rPr>
          <w:rFonts w:cs="Arial"/>
          <w:b/>
          <w:szCs w:val="22"/>
        </w:rPr>
        <w:t>n. 154 del 2015</w:t>
      </w:r>
      <w:r w:rsidRPr="00264203">
        <w:rPr>
          <w:rFonts w:cs="Arial"/>
          <w:szCs w:val="22"/>
        </w:rPr>
        <w:t>, la Corte costituzionale ha inoltre chiarito che “</w:t>
      </w:r>
      <w:r w:rsidRPr="00264203">
        <w:rPr>
          <w:rFonts w:cs="Arial"/>
          <w:i/>
          <w:iCs/>
          <w:szCs w:val="22"/>
        </w:rPr>
        <w:t>le disposizioni introdotte in sede di conversione devono potersi collegare al contenuto già disciplinato dal decreto-legge, ovvero, in caso di provvedimenti governativi a contenuto plurimo, alla ratio dominante del provvedimento originario considerato nel suo complesso</w:t>
      </w:r>
      <w:r w:rsidRPr="00264203">
        <w:rPr>
          <w:rFonts w:cs="Arial"/>
          <w:szCs w:val="22"/>
        </w:rPr>
        <w:t>”; ancorché riguardante una materia solo indirettamente connessa a quelle oggetto del decreto-legge, la disciplina contenuta all'articolo 9-</w:t>
      </w:r>
      <w:r w:rsidRPr="00264203">
        <w:rPr>
          <w:rFonts w:cs="Arial"/>
          <w:i/>
          <w:iCs/>
          <w:szCs w:val="22"/>
        </w:rPr>
        <w:t>duodecies</w:t>
      </w:r>
      <w:r w:rsidRPr="00264203">
        <w:rPr>
          <w:rFonts w:cs="Arial"/>
          <w:szCs w:val="22"/>
        </w:rPr>
        <w:t xml:space="preserve"> – in materia di organizzazione e funzionamento dell'Agenzia italiana del farmaco – non sembra invece presentare profili problematici sul piano dell'omogeneità del contenuto, in quanto essa appare strumentale all'attuazione della corposa disciplina, inserita in sede di conversione del decreto-legge, agli articoli da 9-</w:t>
      </w:r>
      <w:r w:rsidRPr="00264203">
        <w:rPr>
          <w:rFonts w:cs="Arial"/>
          <w:i/>
          <w:iCs/>
          <w:szCs w:val="22"/>
        </w:rPr>
        <w:t>bis</w:t>
      </w:r>
      <w:r w:rsidRPr="00264203">
        <w:rPr>
          <w:rFonts w:cs="Arial"/>
          <w:szCs w:val="22"/>
        </w:rPr>
        <w:t xml:space="preserve"> a 9-</w:t>
      </w:r>
      <w:r w:rsidRPr="00264203">
        <w:rPr>
          <w:rFonts w:cs="Arial"/>
          <w:i/>
          <w:iCs/>
          <w:szCs w:val="22"/>
        </w:rPr>
        <w:t>octies,</w:t>
      </w:r>
      <w:r w:rsidRPr="00264203">
        <w:rPr>
          <w:rFonts w:cs="Arial"/>
          <w:szCs w:val="22"/>
        </w:rPr>
        <w:t xml:space="preserve"> in materia di razionalizzazione della spesa sanitaria</w:t>
      </w:r>
      <w:r w:rsidRPr="00B91F58">
        <w:rPr>
          <w:rFonts w:cs="Arial"/>
          <w:szCs w:val="22"/>
        </w:rPr>
        <w:t>»;</w:t>
      </w:r>
      <w:r>
        <w:rPr>
          <w:rFonts w:cs="Arial"/>
          <w:szCs w:val="22"/>
        </w:rPr>
        <w:t xml:space="preserve"> </w:t>
      </w:r>
      <w:r w:rsidRPr="00B91F58">
        <w:rPr>
          <w:rFonts w:cs="Arial"/>
          <w:szCs w:val="22"/>
        </w:rPr>
        <w:t>(</w:t>
      </w:r>
      <w:hyperlink w:anchor="S20c02" w:history="1">
        <w:r>
          <w:rPr>
            <w:rStyle w:val="Collegamentoipertestuale"/>
            <w:rFonts w:cs="Arial"/>
            <w:b/>
            <w:szCs w:val="22"/>
          </w:rPr>
          <w:t>conseguente condizione</w:t>
        </w:r>
      </w:hyperlink>
      <w:r w:rsidRPr="00B91F58">
        <w:rPr>
          <w:rFonts w:cs="Arial"/>
          <w:szCs w:val="22"/>
        </w:rPr>
        <w:t>);</w:t>
      </w:r>
    </w:p>
    <w:p w:rsidR="000B33A8" w:rsidRDefault="000B33A8" w:rsidP="000B33A8">
      <w:pPr>
        <w:spacing w:before="100" w:beforeAutospacing="1" w:after="100" w:afterAutospacing="1" w:line="240" w:lineRule="auto"/>
        <w:ind w:firstLine="0"/>
        <w:jc w:val="left"/>
        <w:rPr>
          <w:rFonts w:cs="Arial"/>
          <w:szCs w:val="22"/>
        </w:rPr>
      </w:pPr>
    </w:p>
    <w:p w:rsidR="000B33A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527" w:name="S20a02"/>
      <w:r w:rsidRPr="00B91F58">
        <w:rPr>
          <w:rFonts w:cs="Arial"/>
          <w:szCs w:val="22"/>
        </w:rPr>
        <w:lastRenderedPageBreak/>
        <w:t>2 –</w:t>
      </w:r>
      <w:bookmarkEnd w:id="527"/>
      <w:r w:rsidRPr="00B91F58">
        <w:rPr>
          <w:rFonts w:cs="Arial"/>
          <w:szCs w:val="22"/>
        </w:rPr>
        <w:t xml:space="preserve"> </w:t>
      </w:r>
      <w:hyperlink w:anchor="premessa2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E40826">
        <w:t xml:space="preserve">il decreto-legge in esame </w:t>
      </w:r>
      <w:r w:rsidRPr="00E50EF1">
        <w:rPr>
          <w:b/>
        </w:rPr>
        <w:t>riproduce</w:t>
      </w:r>
      <w:r w:rsidRPr="00E40826">
        <w:t>, all'articolo 5-</w:t>
      </w:r>
      <w:r w:rsidRPr="00E40826">
        <w:rPr>
          <w:i/>
          <w:iCs/>
        </w:rPr>
        <w:t>bis</w:t>
      </w:r>
      <w:r w:rsidRPr="00E40826">
        <w:t xml:space="preserve">, i </w:t>
      </w:r>
      <w:r w:rsidRPr="00E50EF1">
        <w:rPr>
          <w:b/>
        </w:rPr>
        <w:t>contenuti del decreto-legge 1</w:t>
      </w:r>
      <w:r w:rsidRPr="00E50EF1">
        <w:rPr>
          <w:b/>
          <w:vertAlign w:val="superscript"/>
        </w:rPr>
        <w:t>o</w:t>
      </w:r>
      <w:r w:rsidRPr="00E50EF1">
        <w:rPr>
          <w:b/>
        </w:rPr>
        <w:t xml:space="preserve"> luglio 2015, n. 85</w:t>
      </w:r>
      <w:r w:rsidRPr="00E40826">
        <w:t xml:space="preserve"> (S. 1992), recante disposizioni urgenti per garantire la continuità dei dispositivi di sicurezza e di controllo del territorio, assegnato alle Commissioni riunite 1</w:t>
      </w:r>
      <w:r w:rsidRPr="00E40826">
        <w:rPr>
          <w:vertAlign w:val="superscript"/>
        </w:rPr>
        <w:t>a</w:t>
      </w:r>
      <w:r w:rsidRPr="00E40826">
        <w:t xml:space="preserve"> e 4</w:t>
      </w:r>
      <w:r w:rsidRPr="00E40826">
        <w:rPr>
          <w:vertAlign w:val="superscript"/>
        </w:rPr>
        <w:t>a</w:t>
      </w:r>
      <w:r w:rsidRPr="00E40826">
        <w:t xml:space="preserve"> del Senato e, all'articolo 11, commi 16-</w:t>
      </w:r>
      <w:r w:rsidRPr="00E40826">
        <w:rPr>
          <w:i/>
          <w:iCs/>
        </w:rPr>
        <w:t>bis</w:t>
      </w:r>
      <w:r w:rsidRPr="00E40826">
        <w:t xml:space="preserve"> e 16-</w:t>
      </w:r>
      <w:r w:rsidRPr="00E40826">
        <w:rPr>
          <w:i/>
          <w:iCs/>
        </w:rPr>
        <w:t>ter</w:t>
      </w:r>
      <w:r w:rsidRPr="00E40826">
        <w:t xml:space="preserve">, i </w:t>
      </w:r>
      <w:r w:rsidRPr="00E50EF1">
        <w:rPr>
          <w:b/>
        </w:rPr>
        <w:t>contenuti degli articoli 1 e 2 del decreto legge n.</w:t>
      </w:r>
      <w:r>
        <w:rPr>
          <w:b/>
        </w:rPr>
        <w:t xml:space="preserve"> </w:t>
      </w:r>
      <w:r w:rsidRPr="00E50EF1">
        <w:rPr>
          <w:b/>
        </w:rPr>
        <w:t>92 del 2015</w:t>
      </w:r>
      <w:r w:rsidRPr="00E40826">
        <w:t xml:space="preserve"> (C. 3210), in materia di rifiuti e di autorizzazione integrata ambientale, attualmente all'esame delle Commissioni riunite VIII e X della Camera; come già evidenziato dal Comitato per la legislazione in circostanze analoghe, da tale confluenza in un unico testo di più articolati attualmente vigenti – che originano da distinte delibere del Consiglio dei Ministri e distinti decreti del Presidente della Repubblica – possono discendere effetti di incertezza sull'individuazione della disciplina concretamente operante nelle materie oggetto di intervento legislativo, nonché un'alterazione del lineare svolgimento della procedura parlamentare di esame dei disegni di legge, sia pure attenuata dall'espressa clausola di salvezza degli effetti prodotti dal decreto-legge confluito nel provvedimento in esame e dunque destinato a decadere</w:t>
      </w:r>
      <w:r w:rsidRPr="00B91F58">
        <w:rPr>
          <w:rFonts w:cs="Arial"/>
          <w:szCs w:val="22"/>
        </w:rPr>
        <w:t>»</w:t>
      </w:r>
      <w:r>
        <w:rPr>
          <w:rFonts w:cs="Arial"/>
          <w:szCs w:val="22"/>
        </w:rPr>
        <w:t xml:space="preserve">; </w:t>
      </w:r>
      <w:r w:rsidRPr="00B91F58">
        <w:rPr>
          <w:rFonts w:cs="Arial"/>
          <w:szCs w:val="22"/>
        </w:rPr>
        <w:t>(</w:t>
      </w:r>
      <w:hyperlink w:anchor="S20r01" w:history="1">
        <w:r>
          <w:rPr>
            <w:rStyle w:val="Collegamentoipertestuale"/>
            <w:rFonts w:cs="Arial"/>
            <w:b/>
            <w:szCs w:val="22"/>
          </w:rPr>
          <w:t>conseguente raccomandazione</w:t>
        </w:r>
      </w:hyperlink>
      <w:r w:rsidRPr="00B91F58">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Default="000B33A8" w:rsidP="000B33A8">
      <w:pPr>
        <w:rPr>
          <w:rFonts w:cs="Arial"/>
          <w:szCs w:val="22"/>
        </w:rPr>
      </w:pPr>
      <w:bookmarkStart w:id="528" w:name="S20a03"/>
      <w:r w:rsidRPr="00B91F58">
        <w:rPr>
          <w:rFonts w:cs="Arial"/>
          <w:szCs w:val="22"/>
        </w:rPr>
        <w:t>3 –</w:t>
      </w:r>
      <w:bookmarkEnd w:id="528"/>
      <w:r w:rsidRPr="00B91F58">
        <w:rPr>
          <w:rFonts w:cs="Arial"/>
          <w:szCs w:val="22"/>
        </w:rPr>
        <w:t xml:space="preserve"> </w:t>
      </w:r>
      <w:hyperlink w:anchor="premessa2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E50EF1">
        <w:rPr>
          <w:rFonts w:cs="Arial"/>
          <w:szCs w:val="22"/>
        </w:rPr>
        <w:t xml:space="preserve">nel procedere a numerose modifiche della disciplina vigente, il decreto-legge ricorre generalmente alla tecnica della novellazione; in alcuni casi, si registra tuttavia un </w:t>
      </w:r>
      <w:r w:rsidRPr="00E50EF1">
        <w:rPr>
          <w:rFonts w:cs="Arial"/>
          <w:b/>
          <w:szCs w:val="22"/>
        </w:rPr>
        <w:t>insufficiente coordinamento con le preesistenti fonti normative</w:t>
      </w:r>
      <w:r w:rsidRPr="00E50EF1">
        <w:rPr>
          <w:rFonts w:cs="Arial"/>
          <w:szCs w:val="22"/>
        </w:rPr>
        <w:t xml:space="preserve">, dal momento che talune disposizioni intervengono su di esse mediante modifiche non testuali; in altri casi, il difetto di coordinamento con la normativa vigente è imputabile all'introduzione di numerose </w:t>
      </w:r>
      <w:r w:rsidRPr="00E50EF1">
        <w:rPr>
          <w:rFonts w:cs="Arial"/>
          <w:b/>
          <w:szCs w:val="22"/>
        </w:rPr>
        <w:t>misure di carattere organico</w:t>
      </w:r>
      <w:r w:rsidRPr="00E50EF1">
        <w:rPr>
          <w:rFonts w:cs="Arial"/>
          <w:szCs w:val="22"/>
        </w:rPr>
        <w:t xml:space="preserve"> che, nell'ambito delle partizioni del testo nelle quali sono inserite, </w:t>
      </w:r>
      <w:r w:rsidRPr="00E50EF1">
        <w:rPr>
          <w:rFonts w:cs="Arial"/>
          <w:b/>
          <w:szCs w:val="22"/>
        </w:rPr>
        <w:t>appaiono decontestualizzate</w:t>
      </w:r>
      <w:r w:rsidRPr="00E50EF1">
        <w:rPr>
          <w:rFonts w:cs="Arial"/>
          <w:szCs w:val="22"/>
        </w:rPr>
        <w:t xml:space="preserve"> e, in molti casi, </w:t>
      </w:r>
      <w:r w:rsidRPr="00E50EF1">
        <w:rPr>
          <w:rFonts w:cs="Arial"/>
          <w:b/>
          <w:szCs w:val="22"/>
        </w:rPr>
        <w:t>fanno sistema con quelle oggetto di altri provvedimenti</w:t>
      </w:r>
      <w:r w:rsidRPr="00E50EF1">
        <w:rPr>
          <w:rFonts w:cs="Arial"/>
          <w:szCs w:val="22"/>
        </w:rPr>
        <w:t>, all'interno dei quali dovrebbero essere opportunamente collocate al fine di definire in modo ordinato le materie che ne formano oggetto; tali modalità di produzione normativa, si riscontrano, a titolo meramente esemplificativo, agli articoli: 4, commi 1 e 2, 5 e 7, comma 9-</w:t>
      </w:r>
      <w:r w:rsidRPr="00E50EF1">
        <w:rPr>
          <w:rFonts w:cs="Arial"/>
          <w:i/>
          <w:iCs/>
          <w:szCs w:val="22"/>
        </w:rPr>
        <w:t>quinquies</w:t>
      </w:r>
      <w:r w:rsidRPr="00E50EF1">
        <w:rPr>
          <w:rFonts w:cs="Arial"/>
          <w:szCs w:val="22"/>
        </w:rPr>
        <w:t>, che fanno sistema con la legge n.</w:t>
      </w:r>
      <w:r>
        <w:rPr>
          <w:rFonts w:cs="Arial"/>
          <w:szCs w:val="22"/>
        </w:rPr>
        <w:t xml:space="preserve"> </w:t>
      </w:r>
      <w:r w:rsidRPr="00E50EF1">
        <w:rPr>
          <w:rFonts w:cs="Arial"/>
          <w:szCs w:val="22"/>
        </w:rPr>
        <w:t>56 del 2014 relativamente al personale delle province; 7, che fa sistema con l'articolo 1, commi 430 e 537 della legge n.</w:t>
      </w:r>
      <w:r>
        <w:rPr>
          <w:rFonts w:cs="Arial"/>
          <w:szCs w:val="22"/>
        </w:rPr>
        <w:t xml:space="preserve"> </w:t>
      </w:r>
      <w:r w:rsidRPr="00E50EF1">
        <w:rPr>
          <w:rFonts w:cs="Arial"/>
          <w:szCs w:val="22"/>
        </w:rPr>
        <w:t>190 del 2014, in materia di rinegoziazione di mutui da parte degli enti locali; 8, commi da 1 a 12, che fanno sistema con il decreto-legge n.</w:t>
      </w:r>
      <w:r>
        <w:rPr>
          <w:rFonts w:cs="Arial"/>
          <w:szCs w:val="22"/>
        </w:rPr>
        <w:t xml:space="preserve"> </w:t>
      </w:r>
      <w:r w:rsidRPr="00E50EF1">
        <w:rPr>
          <w:rFonts w:cs="Arial"/>
          <w:szCs w:val="22"/>
        </w:rPr>
        <w:t>35 del 2013 (in particolare, articolo 1, commi 10 e 11 e articolo 2, comma 3), in materia di liquidità degli enti territoriali per procedere al pagamento dei debiti contratti; 8, commi da 4-</w:t>
      </w:r>
      <w:r w:rsidRPr="00E50EF1">
        <w:rPr>
          <w:rFonts w:cs="Arial"/>
          <w:i/>
          <w:iCs/>
          <w:szCs w:val="22"/>
        </w:rPr>
        <w:t>bis</w:t>
      </w:r>
      <w:r w:rsidRPr="00E50EF1">
        <w:rPr>
          <w:rFonts w:cs="Arial"/>
          <w:szCs w:val="22"/>
        </w:rPr>
        <w:t xml:space="preserve"> a 4-</w:t>
      </w:r>
      <w:r w:rsidRPr="00E50EF1">
        <w:rPr>
          <w:rFonts w:cs="Arial"/>
          <w:i/>
          <w:iCs/>
          <w:szCs w:val="22"/>
        </w:rPr>
        <w:t>quater,</w:t>
      </w:r>
      <w:r w:rsidRPr="00E50EF1">
        <w:rPr>
          <w:rFonts w:cs="Arial"/>
          <w:szCs w:val="22"/>
        </w:rPr>
        <w:t xml:space="preserve"> che fanno sistema con l'articolo 1, comma 381 della legge n.</w:t>
      </w:r>
      <w:r>
        <w:rPr>
          <w:rFonts w:cs="Arial"/>
          <w:szCs w:val="22"/>
        </w:rPr>
        <w:t xml:space="preserve"> </w:t>
      </w:r>
      <w:r w:rsidRPr="00E50EF1">
        <w:rPr>
          <w:rFonts w:cs="Arial"/>
          <w:szCs w:val="22"/>
        </w:rPr>
        <w:t>190 del 2014; 11, che: al comma 1, per accelerare la ricostruzione in Abruzzo, integra e modifica in maniera non testuale l'articolo 67-</w:t>
      </w:r>
      <w:r w:rsidRPr="00E50EF1">
        <w:rPr>
          <w:rFonts w:cs="Arial"/>
          <w:i/>
          <w:iCs/>
          <w:szCs w:val="22"/>
        </w:rPr>
        <w:t>quater</w:t>
      </w:r>
      <w:r w:rsidRPr="00E50EF1">
        <w:rPr>
          <w:rFonts w:cs="Arial"/>
          <w:szCs w:val="22"/>
        </w:rPr>
        <w:t xml:space="preserve">, comma </w:t>
      </w:r>
      <w:r w:rsidRPr="00E50EF1">
        <w:rPr>
          <w:rFonts w:cs="Arial"/>
          <w:szCs w:val="22"/>
        </w:rPr>
        <w:lastRenderedPageBreak/>
        <w:t>8, del decreto-legge n.</w:t>
      </w:r>
      <w:r w:rsidRPr="00E50EF1">
        <w:rPr>
          <w:rFonts w:cs="Arial"/>
          <w:szCs w:val="22"/>
        </w:rPr>
        <w:t> </w:t>
      </w:r>
      <w:r w:rsidRPr="00E50EF1">
        <w:rPr>
          <w:rFonts w:cs="Arial"/>
          <w:szCs w:val="22"/>
        </w:rPr>
        <w:t>83 del 2012 e, al comma 7-</w:t>
      </w:r>
      <w:r w:rsidRPr="00E50EF1">
        <w:rPr>
          <w:rFonts w:cs="Arial"/>
          <w:i/>
          <w:iCs/>
          <w:szCs w:val="22"/>
        </w:rPr>
        <w:t>bis</w:t>
      </w:r>
      <w:r w:rsidRPr="00E50EF1">
        <w:rPr>
          <w:rFonts w:cs="Arial"/>
          <w:szCs w:val="22"/>
        </w:rPr>
        <w:t>, estende l'ambito di applicazione del comma 5 del citato articolo 67-</w:t>
      </w:r>
      <w:r w:rsidRPr="00E50EF1">
        <w:rPr>
          <w:rFonts w:cs="Arial"/>
          <w:i/>
          <w:iCs/>
          <w:szCs w:val="22"/>
        </w:rPr>
        <w:t>quater</w:t>
      </w:r>
      <w:r w:rsidRPr="00E50EF1">
        <w:rPr>
          <w:rFonts w:cs="Arial"/>
          <w:szCs w:val="22"/>
        </w:rPr>
        <w:t>; 13, comma 01, che prolunga la catena delle proroghe dello stato di emergenza conseguente al terremoto del maggio 2012 effettuata modificando in maniera non testuale l'articolo 1, comma 3, del decreto-legge n.</w:t>
      </w:r>
      <w:r>
        <w:rPr>
          <w:rFonts w:cs="Arial"/>
          <w:szCs w:val="22"/>
        </w:rPr>
        <w:t xml:space="preserve"> </w:t>
      </w:r>
      <w:r w:rsidRPr="00E50EF1">
        <w:rPr>
          <w:rFonts w:cs="Arial"/>
          <w:szCs w:val="22"/>
        </w:rPr>
        <w:t>74 del 2012 (articolo 6, comma 1 del decreto-legge n.</w:t>
      </w:r>
      <w:r>
        <w:rPr>
          <w:rFonts w:cs="Arial"/>
          <w:szCs w:val="22"/>
        </w:rPr>
        <w:t xml:space="preserve"> </w:t>
      </w:r>
      <w:r w:rsidRPr="00E50EF1">
        <w:rPr>
          <w:rFonts w:cs="Arial"/>
          <w:szCs w:val="22"/>
        </w:rPr>
        <w:t>43 del 2013; articolo 7, comma 9-</w:t>
      </w:r>
      <w:r w:rsidRPr="00E50EF1">
        <w:rPr>
          <w:rFonts w:cs="Arial"/>
          <w:i/>
          <w:iCs/>
          <w:szCs w:val="22"/>
        </w:rPr>
        <w:t>ter</w:t>
      </w:r>
      <w:r w:rsidRPr="00E50EF1">
        <w:rPr>
          <w:rFonts w:cs="Arial"/>
          <w:szCs w:val="22"/>
        </w:rPr>
        <w:t xml:space="preserve"> del decreto-legge n.</w:t>
      </w:r>
      <w:r>
        <w:rPr>
          <w:rFonts w:cs="Arial"/>
          <w:szCs w:val="22"/>
        </w:rPr>
        <w:t xml:space="preserve"> </w:t>
      </w:r>
      <w:r w:rsidRPr="00E50EF1">
        <w:rPr>
          <w:rFonts w:cs="Arial"/>
          <w:szCs w:val="22"/>
        </w:rPr>
        <w:t>133 del 2014); 16, comma 1, che integra in maniera non testuale l'articolo 117 del codice dei beni culturali e del paesaggio, di cui al decreto legislativo n.</w:t>
      </w:r>
      <w:r>
        <w:rPr>
          <w:rFonts w:cs="Arial"/>
          <w:szCs w:val="22"/>
        </w:rPr>
        <w:t xml:space="preserve"> </w:t>
      </w:r>
      <w:r w:rsidRPr="00E50EF1">
        <w:rPr>
          <w:rFonts w:cs="Arial"/>
          <w:szCs w:val="22"/>
        </w:rPr>
        <w:t>42 del 2014, in materia di affidamento dei servizi per il pubblico da parte degli istituti e luoghi della cultura</w:t>
      </w:r>
      <w:r w:rsidRPr="00E40826">
        <w:rPr>
          <w:rFonts w:cs="Arial"/>
          <w:szCs w:val="22"/>
        </w:rPr>
        <w:t xml:space="preserve"> </w:t>
      </w:r>
      <w:r w:rsidRPr="00B91F58">
        <w:rPr>
          <w:rFonts w:cs="Arial"/>
          <w:szCs w:val="22"/>
        </w:rPr>
        <w:t>»</w:t>
      </w:r>
      <w:r>
        <w:rPr>
          <w:rFonts w:cs="Arial"/>
          <w:szCs w:val="22"/>
        </w:rPr>
        <w:t xml:space="preserve">; </w:t>
      </w:r>
      <w:r w:rsidRPr="00B91F58">
        <w:rPr>
          <w:rFonts w:cs="Arial"/>
          <w:szCs w:val="22"/>
        </w:rPr>
        <w:t>(</w:t>
      </w:r>
      <w:hyperlink w:anchor="S20o01"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529" w:name="S20a04"/>
      <w:r w:rsidRPr="00B91F58">
        <w:rPr>
          <w:rFonts w:cs="Arial"/>
          <w:szCs w:val="22"/>
        </w:rPr>
        <w:t>4 –</w:t>
      </w:r>
      <w:bookmarkEnd w:id="529"/>
      <w:r w:rsidRPr="00B91F58">
        <w:rPr>
          <w:rFonts w:cs="Arial"/>
          <w:szCs w:val="22"/>
        </w:rPr>
        <w:t xml:space="preserve"> </w:t>
      </w:r>
      <w:hyperlink w:anchor="premessa2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1C7CA0">
        <w:rPr>
          <w:rFonts w:cs="Arial"/>
          <w:szCs w:val="22"/>
        </w:rPr>
        <w:t>il decreto-legge, secondo una modalità di produzione normativa che, come rilevato già in altre occasioni analoghe, appare non pienamente conforme alle esigenze di stabilità, certezza e semplificazione della legislazione, modifica altresì disposizioni di recentissima approvazione (si veda, ad esempio, l'articolo 8, comma 13)</w:t>
      </w:r>
      <w:r w:rsidRPr="00B91F58">
        <w:rPr>
          <w:rFonts w:cs="Arial"/>
          <w:szCs w:val="22"/>
        </w:rPr>
        <w:t>»</w:t>
      </w:r>
      <w:r>
        <w:rPr>
          <w:rFonts w:cs="Arial"/>
          <w:szCs w:val="22"/>
        </w:rPr>
        <w:t xml:space="preserve">; </w:t>
      </w:r>
    </w:p>
    <w:p w:rsidR="000B33A8" w:rsidRPr="00B91F58" w:rsidRDefault="000B33A8" w:rsidP="000B33A8">
      <w:pPr>
        <w:rPr>
          <w:rFonts w:cs="Arial"/>
          <w:szCs w:val="22"/>
        </w:rPr>
      </w:pPr>
    </w:p>
    <w:p w:rsidR="000B33A8" w:rsidRPr="00B91F58" w:rsidRDefault="000B33A8" w:rsidP="000B33A8">
      <w:pPr>
        <w:rPr>
          <w:rFonts w:cs="Arial"/>
          <w:szCs w:val="22"/>
        </w:rPr>
      </w:pPr>
    </w:p>
    <w:p w:rsidR="000B33A8" w:rsidRDefault="000B33A8" w:rsidP="000B33A8">
      <w:pPr>
        <w:rPr>
          <w:rFonts w:cs="Arial"/>
          <w:szCs w:val="22"/>
        </w:rPr>
      </w:pPr>
      <w:bookmarkStart w:id="530" w:name="S20a05"/>
      <w:r w:rsidRPr="00B91F58">
        <w:rPr>
          <w:rFonts w:cs="Arial"/>
          <w:szCs w:val="22"/>
        </w:rPr>
        <w:t>5 –</w:t>
      </w:r>
      <w:bookmarkEnd w:id="530"/>
      <w:r w:rsidRPr="00B91F58">
        <w:rPr>
          <w:rFonts w:cs="Arial"/>
          <w:szCs w:val="22"/>
        </w:rPr>
        <w:t xml:space="preserve"> </w:t>
      </w:r>
      <w:hyperlink w:anchor="premessa2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1C7CA0">
        <w:rPr>
          <w:rFonts w:cs="Arial"/>
          <w:szCs w:val="22"/>
        </w:rPr>
        <w:t>all'articolo 7, comma 2-</w:t>
      </w:r>
      <w:r w:rsidRPr="001C7CA0">
        <w:rPr>
          <w:rFonts w:cs="Arial"/>
          <w:i/>
          <w:iCs/>
          <w:szCs w:val="22"/>
        </w:rPr>
        <w:t>bis</w:t>
      </w:r>
      <w:r w:rsidRPr="001C7CA0">
        <w:rPr>
          <w:rFonts w:cs="Arial"/>
          <w:szCs w:val="22"/>
        </w:rPr>
        <w:t>, introduce, nell'ambito dell'articolo 259, comma 1-</w:t>
      </w:r>
      <w:r w:rsidRPr="001C7CA0">
        <w:rPr>
          <w:rFonts w:cs="Arial"/>
          <w:i/>
          <w:iCs/>
          <w:szCs w:val="22"/>
        </w:rPr>
        <w:t>ter</w:t>
      </w:r>
      <w:r w:rsidRPr="001C7CA0">
        <w:rPr>
          <w:rFonts w:cs="Arial"/>
          <w:szCs w:val="22"/>
        </w:rPr>
        <w:t>, del testo unico degli enti locali di cui al decreto legislativo n.</w:t>
      </w:r>
      <w:r>
        <w:rPr>
          <w:rFonts w:cs="Arial"/>
          <w:szCs w:val="22"/>
        </w:rPr>
        <w:t xml:space="preserve"> </w:t>
      </w:r>
      <w:r w:rsidRPr="001C7CA0">
        <w:rPr>
          <w:rFonts w:cs="Arial"/>
          <w:szCs w:val="22"/>
        </w:rPr>
        <w:t>267/2000, che prevede che nei comuni con popolazione superiore a 20.000 abitanti, in determinati casi, l'ente possa raggiungere l'equilibrio finanziario, in deroga alle norme vigenti, entro tre anni, un secondo periodo che estende tale termine portandolo da tre a quattro anni, a tutti gli enti locali, ricomprendendovi così anche i comuni con popolazione superiore ai 20.00</w:t>
      </w:r>
      <w:r>
        <w:rPr>
          <w:rFonts w:cs="Arial"/>
          <w:szCs w:val="22"/>
        </w:rPr>
        <w:t>0</w:t>
      </w:r>
      <w:r w:rsidRPr="001C7CA0">
        <w:rPr>
          <w:rFonts w:cs="Arial"/>
          <w:szCs w:val="22"/>
        </w:rPr>
        <w:t xml:space="preserve"> abitanti indicati nel primo periodo, per i quali tuttavia il testo risultante dopo la modifica continua a mantenere il termine dei tre anni</w:t>
      </w:r>
      <w:r w:rsidRPr="00B91F58">
        <w:rPr>
          <w:rFonts w:cs="Arial"/>
          <w:szCs w:val="22"/>
        </w:rPr>
        <w:t>»</w:t>
      </w:r>
      <w:r>
        <w:rPr>
          <w:rFonts w:cs="Arial"/>
          <w:szCs w:val="22"/>
        </w:rPr>
        <w:t xml:space="preserve"> </w:t>
      </w:r>
      <w:r w:rsidRPr="00B91F58">
        <w:rPr>
          <w:rFonts w:cs="Arial"/>
          <w:szCs w:val="22"/>
        </w:rPr>
        <w:t>(</w:t>
      </w:r>
      <w:hyperlink w:anchor="S20c03" w:history="1">
        <w:r>
          <w:rPr>
            <w:rStyle w:val="Collegamentoipertestuale"/>
            <w:rFonts w:cs="Arial"/>
            <w:b/>
            <w:szCs w:val="22"/>
          </w:rPr>
          <w:t>conseguente condizione</w:t>
        </w:r>
      </w:hyperlink>
      <w:r w:rsidRPr="00B91F58">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531" w:name="S20a06"/>
      <w:r w:rsidRPr="00B91F58">
        <w:rPr>
          <w:rFonts w:cs="Arial"/>
          <w:szCs w:val="22"/>
        </w:rPr>
        <w:t>6 –</w:t>
      </w:r>
      <w:bookmarkEnd w:id="531"/>
      <w:r w:rsidRPr="00B91F58">
        <w:rPr>
          <w:rFonts w:cs="Arial"/>
          <w:szCs w:val="22"/>
        </w:rPr>
        <w:t xml:space="preserve"> </w:t>
      </w:r>
      <w:hyperlink w:anchor="premessa2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1C7CA0">
        <w:rPr>
          <w:rFonts w:cs="Arial"/>
          <w:szCs w:val="22"/>
        </w:rPr>
        <w:t>il provvedimento contiene alcune disposizioni di carattere ordinamentale i cui effetti finali appaiono destinati a prodursi in un momento significativamente distanziato rispetto alla loro entrata in vigore (si veda, per esempio, l'articolo 3, commi 1 e 2): in relazione alle succitate disposizioni, appare dubbia la rispondenza al requisito, previsto dall'</w:t>
      </w:r>
      <w:r w:rsidRPr="001C7CA0">
        <w:rPr>
          <w:rFonts w:cs="Arial"/>
          <w:b/>
          <w:szCs w:val="22"/>
        </w:rPr>
        <w:t>articolo 15, comma 3, della legge n.</w:t>
      </w:r>
      <w:r>
        <w:rPr>
          <w:rFonts w:cs="Arial"/>
          <w:b/>
          <w:szCs w:val="22"/>
        </w:rPr>
        <w:t xml:space="preserve"> </w:t>
      </w:r>
      <w:r w:rsidRPr="001C7CA0">
        <w:rPr>
          <w:rFonts w:cs="Arial"/>
          <w:b/>
          <w:szCs w:val="22"/>
        </w:rPr>
        <w:t>400 del 1988</w:t>
      </w:r>
      <w:r w:rsidRPr="001C7CA0">
        <w:rPr>
          <w:rFonts w:cs="Arial"/>
          <w:szCs w:val="22"/>
        </w:rPr>
        <w:t>, della «</w:t>
      </w:r>
      <w:r w:rsidRPr="001C7CA0">
        <w:rPr>
          <w:rFonts w:cs="Arial"/>
          <w:b/>
          <w:szCs w:val="22"/>
        </w:rPr>
        <w:t>immediata applicabilità</w:t>
      </w:r>
      <w:r w:rsidRPr="001C7CA0">
        <w:rPr>
          <w:rFonts w:cs="Arial"/>
          <w:szCs w:val="22"/>
        </w:rPr>
        <w:t>» delle misure disposte dal decreto; altre disposizioni hanno invece efficacia retroattiva: ad esempio, l'articolo 1, comma 9, capoverso 3-</w:t>
      </w:r>
      <w:r w:rsidRPr="001C7CA0">
        <w:rPr>
          <w:rFonts w:cs="Arial"/>
          <w:i/>
          <w:iCs/>
          <w:szCs w:val="22"/>
        </w:rPr>
        <w:t>ter</w:t>
      </w:r>
      <w:r w:rsidRPr="001C7CA0">
        <w:rPr>
          <w:rFonts w:cs="Arial"/>
          <w:szCs w:val="22"/>
        </w:rPr>
        <w:t>, relativo alla disapplicazione delle sanzioni per il mancato rispetto del patto di stabilità interno nell'anno 2012 e l'articolo 9, comma 9, che modifica alcune disposizioni del decreto legislativo 6 maggio 2011, n.</w:t>
      </w:r>
      <w:r>
        <w:rPr>
          <w:rFonts w:cs="Arial"/>
          <w:szCs w:val="22"/>
        </w:rPr>
        <w:t xml:space="preserve"> </w:t>
      </w:r>
      <w:r w:rsidRPr="001C7CA0">
        <w:rPr>
          <w:rFonts w:cs="Arial"/>
          <w:szCs w:val="22"/>
        </w:rPr>
        <w:t xml:space="preserve">68 (in materia di autonomia di entrata delle regioni a statuto ordinario e delle province, nonché di determinazione dei costi e dei fabbisogni standard nel </w:t>
      </w:r>
      <w:r w:rsidRPr="001C7CA0">
        <w:rPr>
          <w:rFonts w:cs="Arial"/>
          <w:szCs w:val="22"/>
        </w:rPr>
        <w:lastRenderedPageBreak/>
        <w:t>settore sanitario) al fine di differire dal 2013 al 2017 i meccanismi di finanziamento delle funzioni regionali, che finora non hanno trovato applicazione</w:t>
      </w:r>
      <w:r w:rsidRPr="00B91F58">
        <w:rPr>
          <w:rFonts w:cs="Arial"/>
          <w:szCs w:val="22"/>
        </w:rPr>
        <w:t>»</w:t>
      </w:r>
      <w:r>
        <w:rPr>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Pr="00B91F58" w:rsidRDefault="000B33A8" w:rsidP="000B33A8">
      <w:pPr>
        <w:rPr>
          <w:rFonts w:cs="Arial"/>
          <w:szCs w:val="22"/>
        </w:rPr>
      </w:pPr>
      <w:bookmarkStart w:id="532" w:name="S20a07"/>
      <w:r w:rsidRPr="00B91F58">
        <w:rPr>
          <w:rFonts w:cs="Arial"/>
          <w:szCs w:val="22"/>
        </w:rPr>
        <w:t xml:space="preserve">7 – </w:t>
      </w:r>
      <w:bookmarkEnd w:id="532"/>
      <w:r>
        <w:fldChar w:fldCharType="begin"/>
      </w:r>
      <w:r>
        <w:instrText>HYPERLINK  \l "premessa20"</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1C7CA0">
        <w:rPr>
          <w:rFonts w:cs="Arial"/>
          <w:szCs w:val="22"/>
        </w:rPr>
        <w:t>alle suddette disposizioni vanno aggiunte quelle contenute all'articolo 7, comma 8-</w:t>
      </w:r>
      <w:r w:rsidRPr="001C7CA0">
        <w:rPr>
          <w:rFonts w:cs="Arial"/>
          <w:i/>
          <w:iCs/>
          <w:szCs w:val="22"/>
        </w:rPr>
        <w:t>bis</w:t>
      </w:r>
      <w:r w:rsidRPr="001C7CA0">
        <w:rPr>
          <w:rFonts w:cs="Arial"/>
          <w:szCs w:val="22"/>
        </w:rPr>
        <w:t>, e all'articolo 9, comma 9-</w:t>
      </w:r>
      <w:r w:rsidRPr="001C7CA0">
        <w:rPr>
          <w:rFonts w:cs="Arial"/>
          <w:i/>
          <w:iCs/>
          <w:szCs w:val="22"/>
        </w:rPr>
        <w:t>bis</w:t>
      </w:r>
      <w:r w:rsidRPr="001C7CA0">
        <w:rPr>
          <w:rFonts w:cs="Arial"/>
          <w:szCs w:val="22"/>
        </w:rPr>
        <w:t xml:space="preserve">, formulate in termini di </w:t>
      </w:r>
      <w:r w:rsidRPr="001C7CA0">
        <w:rPr>
          <w:rFonts w:cs="Arial"/>
          <w:b/>
          <w:szCs w:val="22"/>
        </w:rPr>
        <w:t>interpretazione autentica</w:t>
      </w:r>
      <w:r w:rsidRPr="001C7CA0">
        <w:rPr>
          <w:rFonts w:cs="Arial"/>
          <w:szCs w:val="22"/>
        </w:rPr>
        <w:t xml:space="preserve"> di una previgente disciplina normativa e per le quali andrebbe verificato se sia rispettata la prescrizione della </w:t>
      </w:r>
      <w:r w:rsidRPr="001C7CA0">
        <w:rPr>
          <w:rFonts w:cs="Arial"/>
          <w:b/>
          <w:szCs w:val="22"/>
        </w:rPr>
        <w:t>circolare sulla formulazione tecnica dei testi legislativi</w:t>
      </w:r>
      <w:r w:rsidRPr="001C7CA0">
        <w:rPr>
          <w:rFonts w:cs="Arial"/>
          <w:szCs w:val="22"/>
        </w:rPr>
        <w:t xml:space="preserve"> secondo cui “</w:t>
      </w:r>
      <w:r w:rsidRPr="001C7CA0">
        <w:rPr>
          <w:rFonts w:cs="Arial"/>
          <w:i/>
          <w:szCs w:val="22"/>
        </w:rPr>
        <w:t xml:space="preserve">deve risultare comunque chiaro se ci si trovi in presenza di una disposizione di interpretazione autentica ovvero di una disposizione di modifica sostanziale alla quale si vuole dare </w:t>
      </w:r>
      <w:r w:rsidRPr="001C7CA0">
        <w:rPr>
          <w:rFonts w:cs="Arial"/>
          <w:b/>
          <w:i/>
          <w:szCs w:val="22"/>
        </w:rPr>
        <w:t>effetto retroattivo</w:t>
      </w:r>
      <w:r w:rsidRPr="001C7CA0">
        <w:rPr>
          <w:rFonts w:cs="Arial"/>
          <w:szCs w:val="22"/>
        </w:rPr>
        <w:t>”</w:t>
      </w:r>
      <w:r w:rsidRPr="00B91F58">
        <w:rPr>
          <w:rFonts w:cs="Arial"/>
          <w:szCs w:val="22"/>
        </w:rPr>
        <w:t>»;</w:t>
      </w:r>
    </w:p>
    <w:p w:rsidR="000B33A8" w:rsidRPr="00B91F5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bookmarkStart w:id="533" w:name="S20a08"/>
      <w:r>
        <w:rPr>
          <w:rFonts w:cs="Arial"/>
          <w:szCs w:val="22"/>
        </w:rPr>
        <w:t xml:space="preserve">8 - </w:t>
      </w:r>
      <w:bookmarkEnd w:id="533"/>
      <w:r>
        <w:fldChar w:fldCharType="begin"/>
      </w:r>
      <w:r>
        <w:instrText>HYPERLINK  \l "premessa20"</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Pr>
          <w:rStyle w:val="Collegamentoipertestuale"/>
          <w:rFonts w:cs="Arial"/>
          <w:szCs w:val="22"/>
        </w:rPr>
        <w:t xml:space="preserve"> </w:t>
      </w:r>
      <w:r w:rsidRPr="00B91F58">
        <w:rPr>
          <w:rFonts w:cs="Arial"/>
          <w:szCs w:val="22"/>
        </w:rPr>
        <w:t>«</w:t>
      </w:r>
      <w:r w:rsidRPr="001C7CA0">
        <w:rPr>
          <w:rFonts w:cs="Arial"/>
          <w:szCs w:val="22"/>
        </w:rPr>
        <w:t xml:space="preserve">esso contiene inoltre disposizioni di cui viene circoscritta la validità temporale, le quali agiscono generalmente </w:t>
      </w:r>
      <w:r w:rsidRPr="001C7CA0">
        <w:rPr>
          <w:rFonts w:cs="Arial"/>
          <w:b/>
          <w:szCs w:val="22"/>
        </w:rPr>
        <w:t>in deroga, esplicita o implicita, al diritto vigente</w:t>
      </w:r>
      <w:r w:rsidRPr="001C7CA0">
        <w:rPr>
          <w:rFonts w:cs="Arial"/>
          <w:szCs w:val="22"/>
        </w:rPr>
        <w:t xml:space="preserve">. A titolo esemplificativo: l'articolo 1, comma 7, con riguardo alle sanzioni erogabili ai comuni che non hanno rispettato i vincoli del patto di stabilità interno nel 2014, deroga implicitamente all'articolo 31, comma 26, lettera </w:t>
      </w:r>
      <w:r w:rsidRPr="001C7CA0">
        <w:rPr>
          <w:rFonts w:cs="Arial"/>
          <w:i/>
          <w:iCs/>
          <w:szCs w:val="22"/>
        </w:rPr>
        <w:t>a)</w:t>
      </w:r>
      <w:r w:rsidRPr="001C7CA0">
        <w:rPr>
          <w:rFonts w:cs="Arial"/>
          <w:szCs w:val="22"/>
        </w:rPr>
        <w:t xml:space="preserve"> della legge 12 novembre 2011, n.</w:t>
      </w:r>
      <w:r>
        <w:rPr>
          <w:rFonts w:cs="Arial"/>
          <w:szCs w:val="22"/>
        </w:rPr>
        <w:t xml:space="preserve"> </w:t>
      </w:r>
      <w:r w:rsidRPr="001C7CA0">
        <w:rPr>
          <w:rFonts w:cs="Arial"/>
          <w:szCs w:val="22"/>
        </w:rPr>
        <w:t>183; l'articolo 5, comma 2, sul trasferimento del personale appartenente alla polizia provinciale, dispone “in deroga alle vigenti disposizioni in materia di limitazioni alle spese ed alle assunzioni di personale”</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534" w:name="S20a08a"/>
      <w:r>
        <w:rPr>
          <w:rFonts w:cs="Arial"/>
          <w:szCs w:val="22"/>
        </w:rPr>
        <w:t>8a</w:t>
      </w:r>
      <w:r w:rsidRPr="00B91F58">
        <w:rPr>
          <w:rFonts w:cs="Arial"/>
          <w:szCs w:val="22"/>
        </w:rPr>
        <w:t xml:space="preserve"> – </w:t>
      </w:r>
      <w:bookmarkEnd w:id="534"/>
      <w:r>
        <w:fldChar w:fldCharType="begin"/>
      </w:r>
      <w:r>
        <w:instrText>HYPERLINK  \l "premessa20"</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2C0401">
        <w:rPr>
          <w:rFonts w:cs="Arial"/>
          <w:szCs w:val="22"/>
        </w:rPr>
        <w:t xml:space="preserve">l'articolo 11, comma 6, con riguardo alla ricostruzione in Abruzzo, pur facendo “salvo quanto previsto dall'articolo 1656 del codice civile” deroga implicitamente a tale norma, sostituendo alla previa autorizzazione dei subappalti da parte del committente, la semplice comunicazione </w:t>
      </w:r>
      <w:r w:rsidRPr="002C0401">
        <w:rPr>
          <w:rFonts w:cs="Arial"/>
          <w:i/>
          <w:iCs/>
          <w:szCs w:val="22"/>
        </w:rPr>
        <w:t>ex post</w:t>
      </w:r>
      <w:r w:rsidRPr="002C0401">
        <w:rPr>
          <w:rFonts w:cs="Arial"/>
          <w:szCs w:val="22"/>
        </w:rPr>
        <w:t xml:space="preserve"> da parte dell'appaltatore al committente stesso</w:t>
      </w:r>
      <w:r w:rsidRPr="00B91F58">
        <w:rPr>
          <w:rFonts w:cs="Arial"/>
          <w:szCs w:val="22"/>
        </w:rPr>
        <w:t>»</w:t>
      </w:r>
      <w:r>
        <w:rPr>
          <w:rFonts w:cs="Arial"/>
          <w:szCs w:val="22"/>
        </w:rPr>
        <w:t xml:space="preserve"> </w:t>
      </w:r>
      <w:r w:rsidRPr="00B91F58">
        <w:rPr>
          <w:rFonts w:cs="Arial"/>
          <w:szCs w:val="22"/>
        </w:rPr>
        <w:t>(</w:t>
      </w:r>
      <w:hyperlink w:anchor="S20o03"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535" w:name="S20a08b"/>
      <w:r>
        <w:rPr>
          <w:rFonts w:cs="Arial"/>
          <w:szCs w:val="22"/>
        </w:rPr>
        <w:t>8b</w:t>
      </w:r>
      <w:r w:rsidRPr="00B91F58">
        <w:rPr>
          <w:rFonts w:cs="Arial"/>
          <w:szCs w:val="22"/>
        </w:rPr>
        <w:t xml:space="preserve"> </w:t>
      </w:r>
      <w:bookmarkEnd w:id="535"/>
      <w:r w:rsidRPr="00B91F58">
        <w:rPr>
          <w:rFonts w:cs="Arial"/>
          <w:szCs w:val="22"/>
        </w:rPr>
        <w:t xml:space="preserve">– </w:t>
      </w:r>
      <w:hyperlink w:anchor="premessa2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2C0401">
        <w:rPr>
          <w:rFonts w:cs="Arial"/>
          <w:szCs w:val="22"/>
        </w:rPr>
        <w:t>al medesimo articolo 11, il comma 16-</w:t>
      </w:r>
      <w:r w:rsidRPr="002C0401">
        <w:rPr>
          <w:rFonts w:cs="Arial"/>
          <w:i/>
          <w:iCs/>
          <w:szCs w:val="22"/>
        </w:rPr>
        <w:t>quater</w:t>
      </w:r>
      <w:r w:rsidRPr="002C0401">
        <w:rPr>
          <w:rFonts w:cs="Arial"/>
          <w:szCs w:val="22"/>
        </w:rPr>
        <w:t xml:space="preserve">, lettera </w:t>
      </w:r>
      <w:r w:rsidRPr="002C0401">
        <w:rPr>
          <w:rFonts w:cs="Arial"/>
          <w:i/>
          <w:iCs/>
          <w:szCs w:val="22"/>
        </w:rPr>
        <w:t>a)</w:t>
      </w:r>
      <w:r w:rsidRPr="002C0401">
        <w:rPr>
          <w:rFonts w:cs="Arial"/>
          <w:szCs w:val="22"/>
        </w:rPr>
        <w:t>, novella l'articolo 33 del decreto-legge n.</w:t>
      </w:r>
      <w:r>
        <w:rPr>
          <w:rFonts w:cs="Arial"/>
          <w:szCs w:val="22"/>
        </w:rPr>
        <w:t xml:space="preserve"> </w:t>
      </w:r>
      <w:r w:rsidRPr="002C0401">
        <w:rPr>
          <w:rFonts w:cs="Arial"/>
          <w:szCs w:val="22"/>
        </w:rPr>
        <w:t xml:space="preserve">133 del 2014, al fine di dettare una nuova disciplina per la nomina dei commissari straordinari per il risanamento ambientale, prevedendo che essa avvenga con decreto del Presidente del Consiglio dei ministri, sentito il Presidente della Regione interessata, e </w:t>
      </w:r>
      <w:r w:rsidRPr="002C0401">
        <w:rPr>
          <w:rFonts w:cs="Arial"/>
          <w:b/>
          <w:szCs w:val="22"/>
        </w:rPr>
        <w:t>derogando così implicitamente</w:t>
      </w:r>
      <w:r w:rsidRPr="002C0401">
        <w:rPr>
          <w:rFonts w:cs="Arial"/>
          <w:szCs w:val="22"/>
        </w:rPr>
        <w:t xml:space="preserve"> all'</w:t>
      </w:r>
      <w:r w:rsidRPr="002C0401">
        <w:rPr>
          <w:rFonts w:cs="Arial"/>
          <w:b/>
          <w:szCs w:val="22"/>
        </w:rPr>
        <w:t>articolo 11, comma 2, della legge n.</w:t>
      </w:r>
      <w:r>
        <w:rPr>
          <w:rFonts w:cs="Arial"/>
          <w:b/>
          <w:szCs w:val="22"/>
        </w:rPr>
        <w:t xml:space="preserve"> </w:t>
      </w:r>
      <w:r w:rsidRPr="002C0401">
        <w:rPr>
          <w:rFonts w:cs="Arial"/>
          <w:b/>
          <w:szCs w:val="22"/>
        </w:rPr>
        <w:t xml:space="preserve">400 del 1988, </w:t>
      </w:r>
      <w:r w:rsidRPr="002C0401">
        <w:rPr>
          <w:rFonts w:cs="Arial"/>
          <w:szCs w:val="22"/>
        </w:rPr>
        <w:t xml:space="preserve">a norma del quale – e come attualmente previsto dalla disposizione novellata – i commissari straordinari del Governo sono nominati con decreto del </w:t>
      </w:r>
      <w:r w:rsidRPr="002C0401">
        <w:rPr>
          <w:rFonts w:cs="Arial"/>
          <w:szCs w:val="22"/>
        </w:rPr>
        <w:lastRenderedPageBreak/>
        <w:t>Presidente della Repubblica previa deliberazione del Consiglio dei ministri</w:t>
      </w:r>
      <w:r w:rsidRPr="00B91F58">
        <w:rPr>
          <w:rFonts w:cs="Arial"/>
          <w:szCs w:val="22"/>
        </w:rPr>
        <w:t>»(</w:t>
      </w:r>
      <w:hyperlink w:anchor="S20o04"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536" w:name="S20a09"/>
      <w:r>
        <w:rPr>
          <w:rFonts w:cs="Arial"/>
          <w:szCs w:val="22"/>
        </w:rPr>
        <w:t>9</w:t>
      </w:r>
      <w:r w:rsidRPr="00B91F58">
        <w:rPr>
          <w:rFonts w:cs="Arial"/>
          <w:szCs w:val="22"/>
        </w:rPr>
        <w:t xml:space="preserve"> –</w:t>
      </w:r>
      <w:bookmarkEnd w:id="536"/>
      <w:r w:rsidRPr="00B91F58">
        <w:rPr>
          <w:rFonts w:cs="Arial"/>
          <w:szCs w:val="22"/>
        </w:rPr>
        <w:t xml:space="preserve"> </w:t>
      </w:r>
      <w:hyperlink w:anchor="premessa20"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2A125D">
        <w:rPr>
          <w:rFonts w:cs="Arial"/>
          <w:szCs w:val="22"/>
        </w:rPr>
        <w:t xml:space="preserve">il decreto-legge reca la previsione di </w:t>
      </w:r>
      <w:r w:rsidRPr="002A125D">
        <w:rPr>
          <w:rFonts w:cs="Arial"/>
          <w:b/>
          <w:szCs w:val="22"/>
        </w:rPr>
        <w:t xml:space="preserve">adempimenti </w:t>
      </w:r>
      <w:r w:rsidRPr="002A125D">
        <w:rPr>
          <w:rFonts w:cs="Arial"/>
          <w:szCs w:val="22"/>
        </w:rPr>
        <w:t>ai quali si sarebbe dovuto dare attuazione in termini assai brevi e che risultano già scaduti. In particolare, all'articolo 8, il comma 2 prevede l'adozione, entro il 15 luglio, di un decreto del Ministero dell'economia e delle finanze, conferendo alla Conferenza Stato-Regioni la possibilità di individuare, nei dieci giorni successivi, modalità di riparto diverse dal criterio legislativamente individuato dal medesimo comma; il comma 7 prevede l'adozione di un decreto del Ministero dell'economia e delle finanze, sentita la Conferenza Stato-Città ed autonomie locali, entro il 30 giugno 2015; il comma 10 prevede infine l'adozione di un decreto del Ministero dell'interno, di concerto con il Ministero dell'economia e delle finanze, da adottare entro il 10 luglio con il quale “è stabilita, secondo una metodologia adottata sentita la Conferenza Stato-Città ed autonomie locali, la quota” di un contributo spettante a ciascun comune</w:t>
      </w:r>
      <w:r w:rsidRPr="00B91F58">
        <w:rPr>
          <w:rFonts w:cs="Arial"/>
          <w:szCs w:val="22"/>
        </w:rPr>
        <w:t>»</w:t>
      </w:r>
      <w:r>
        <w:rPr>
          <w:rFonts w:cs="Arial"/>
          <w:szCs w:val="22"/>
        </w:rPr>
        <w:t xml:space="preserve"> </w:t>
      </w:r>
      <w:r w:rsidRPr="00B91F58">
        <w:rPr>
          <w:rFonts w:cs="Arial"/>
          <w:szCs w:val="22"/>
        </w:rPr>
        <w:t>(</w:t>
      </w:r>
      <w:hyperlink w:anchor="S20o02" w:history="1">
        <w:r>
          <w:rPr>
            <w:rStyle w:val="Collegamentoipertestuale"/>
            <w:rFonts w:cs="Arial"/>
            <w:b/>
            <w:szCs w:val="22"/>
          </w:rPr>
          <w:t>conseguente osservazione</w:t>
        </w:r>
      </w:hyperlink>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537" w:name="S20a10"/>
      <w:r w:rsidRPr="00B91F58">
        <w:rPr>
          <w:rFonts w:cs="Arial"/>
          <w:szCs w:val="22"/>
        </w:rPr>
        <w:t>1</w:t>
      </w:r>
      <w:r>
        <w:rPr>
          <w:rFonts w:cs="Arial"/>
          <w:szCs w:val="22"/>
        </w:rPr>
        <w:t>0</w:t>
      </w:r>
      <w:r w:rsidRPr="00B91F58">
        <w:rPr>
          <w:rFonts w:cs="Arial"/>
          <w:szCs w:val="22"/>
        </w:rPr>
        <w:t xml:space="preserve"> – </w:t>
      </w:r>
      <w:bookmarkEnd w:id="537"/>
      <w:r>
        <w:fldChar w:fldCharType="begin"/>
      </w:r>
      <w:r>
        <w:instrText>HYPERLINK  \l "premessa20"</w:instrText>
      </w:r>
      <w:r>
        <w:fldChar w:fldCharType="separate"/>
      </w:r>
      <w:r w:rsidRPr="00B91F58">
        <w:rPr>
          <w:rStyle w:val="Collegamentoipertestuale"/>
          <w:rFonts w:cs="Arial"/>
          <w:b/>
          <w:szCs w:val="22"/>
        </w:rPr>
        <w:t>Premessa</w:t>
      </w:r>
      <w:r w:rsidRPr="00B91F58">
        <w:rPr>
          <w:rStyle w:val="Collegamentoipertestuale"/>
          <w:rFonts w:cs="Arial"/>
          <w:szCs w:val="22"/>
        </w:rPr>
        <w:t>:</w:t>
      </w:r>
      <w:r>
        <w:rPr>
          <w:rStyle w:val="Collegamentoipertestuale"/>
          <w:rFonts w:cs="Arial"/>
          <w:szCs w:val="22"/>
        </w:rPr>
        <w:fldChar w:fldCharType="end"/>
      </w:r>
      <w:r w:rsidRPr="00B91F58">
        <w:rPr>
          <w:rFonts w:cs="Arial"/>
          <w:szCs w:val="22"/>
        </w:rPr>
        <w:t xml:space="preserve"> «</w:t>
      </w:r>
      <w:r w:rsidRPr="002A125D">
        <w:rPr>
          <w:rFonts w:cs="Arial"/>
          <w:szCs w:val="22"/>
        </w:rPr>
        <w:t>il disegno di legge è corredato sia della relazione sull'analisi tecnico-normativa (</w:t>
      </w:r>
      <w:r w:rsidRPr="002A125D">
        <w:rPr>
          <w:rFonts w:cs="Arial"/>
          <w:b/>
          <w:szCs w:val="22"/>
        </w:rPr>
        <w:t>ATN</w:t>
      </w:r>
      <w:r w:rsidRPr="002A125D">
        <w:rPr>
          <w:rFonts w:cs="Arial"/>
          <w:szCs w:val="22"/>
        </w:rPr>
        <w:t>), sia della relazione sull'analisi di impatto della regolamentazione (</w:t>
      </w:r>
      <w:r w:rsidRPr="002A125D">
        <w:rPr>
          <w:rFonts w:cs="Arial"/>
          <w:b/>
          <w:szCs w:val="22"/>
        </w:rPr>
        <w:t>AIR</w:t>
      </w:r>
      <w:r w:rsidRPr="002A125D">
        <w:rPr>
          <w:rFonts w:cs="Arial"/>
          <w:szCs w:val="22"/>
        </w:rPr>
        <w:t>)</w:t>
      </w:r>
      <w:r w:rsidRPr="00B91F58">
        <w:rPr>
          <w:rFonts w:cs="Arial"/>
          <w:szCs w:val="22"/>
        </w:rPr>
        <w:t>»;</w:t>
      </w:r>
      <w:r>
        <w:rPr>
          <w:rFonts w:cs="Arial"/>
          <w:szCs w:val="22"/>
        </w:rPr>
        <w:t xml:space="preserve"> </w:t>
      </w:r>
    </w:p>
    <w:p w:rsidR="000B33A8" w:rsidRPr="002A125D"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szCs w:val="22"/>
        </w:rPr>
      </w:pPr>
      <w:bookmarkStart w:id="538" w:name="S20C"/>
      <w:r w:rsidRPr="00B91F58">
        <w:rPr>
          <w:rFonts w:cs="Arial"/>
          <w:b/>
          <w:szCs w:val="22"/>
        </w:rPr>
        <w:t>Condizioni</w:t>
      </w:r>
      <w:r w:rsidRPr="00B91F58">
        <w:rPr>
          <w:rFonts w:cs="Arial"/>
          <w:szCs w:val="22"/>
        </w:rPr>
        <w:t xml:space="preserve">: </w:t>
      </w:r>
    </w:p>
    <w:bookmarkEnd w:id="538"/>
    <w:p w:rsidR="000B33A8" w:rsidRDefault="000B33A8" w:rsidP="000B33A8">
      <w:pPr>
        <w:keepNext/>
        <w:ind w:firstLine="0"/>
        <w:rPr>
          <w:rFonts w:cs="Arial"/>
          <w:i/>
          <w:szCs w:val="22"/>
        </w:rPr>
      </w:pPr>
      <w:r w:rsidRPr="0057717F">
        <w:rPr>
          <w:rFonts w:cs="Arial"/>
          <w:i/>
          <w:szCs w:val="22"/>
        </w:rPr>
        <w:t xml:space="preserve">sotto il profilo </w:t>
      </w:r>
      <w:r>
        <w:rPr>
          <w:rFonts w:cs="Arial"/>
          <w:i/>
          <w:szCs w:val="22"/>
        </w:rPr>
        <w:t>della specificità e omogeneità di contenuto:</w:t>
      </w:r>
    </w:p>
    <w:p w:rsidR="000B33A8" w:rsidRPr="00C76DFE" w:rsidRDefault="000B33A8" w:rsidP="00B26E1F">
      <w:pPr>
        <w:keepNext/>
        <w:numPr>
          <w:ilvl w:val="0"/>
          <w:numId w:val="54"/>
        </w:numPr>
        <w:tabs>
          <w:tab w:val="clear" w:pos="426"/>
          <w:tab w:val="num" w:pos="709"/>
        </w:tabs>
        <w:spacing w:before="60" w:after="60"/>
        <w:ind w:left="567" w:hanging="283"/>
        <w:contextualSpacing/>
        <w:rPr>
          <w:rStyle w:val="Collegamentoipertestuale"/>
          <w:rFonts w:cs="Arial"/>
          <w:szCs w:val="22"/>
        </w:rPr>
      </w:pPr>
      <w:bookmarkStart w:id="539" w:name="S20c01"/>
      <w:r>
        <w:t xml:space="preserve">tenuto conto della giurisprudenza </w:t>
      </w:r>
      <w:bookmarkEnd w:id="539"/>
      <w:r>
        <w:t>della Corte costituzionale, valuti la Commissione la soppressione delle disposizioni contenute agli articoli 4-</w:t>
      </w:r>
      <w:r>
        <w:rPr>
          <w:rStyle w:val="Enfasicorsivo"/>
        </w:rPr>
        <w:t>bis</w:t>
      </w:r>
      <w:r>
        <w:t>, 5-</w:t>
      </w:r>
      <w:r>
        <w:rPr>
          <w:rStyle w:val="Enfasicorsivo"/>
        </w:rPr>
        <w:t>bis,</w:t>
      </w:r>
      <w:r>
        <w:t xml:space="preserve"> 7, comma 9-</w:t>
      </w:r>
      <w:r>
        <w:rPr>
          <w:rStyle w:val="Enfasicorsivo"/>
        </w:rPr>
        <w:t>ter,</w:t>
      </w:r>
      <w:r>
        <w:t xml:space="preserve"> 7, commi da 9-</w:t>
      </w:r>
      <w:r>
        <w:rPr>
          <w:rStyle w:val="Enfasicorsivo"/>
        </w:rPr>
        <w:t xml:space="preserve">septies </w:t>
      </w:r>
      <w:r>
        <w:t>a 9-</w:t>
      </w:r>
      <w:r>
        <w:rPr>
          <w:rStyle w:val="Enfasicorsivo"/>
        </w:rPr>
        <w:t>quinquiesdecies,</w:t>
      </w:r>
      <w:r>
        <w:t xml:space="preserve"> 7, commi 9-</w:t>
      </w:r>
      <w:r>
        <w:rPr>
          <w:rStyle w:val="Enfasicorsivo"/>
        </w:rPr>
        <w:t>septiesdecies</w:t>
      </w:r>
      <w:r>
        <w:t xml:space="preserve"> e </w:t>
      </w:r>
      <w:r>
        <w:rPr>
          <w:rStyle w:val="Enfasicorsivo"/>
        </w:rPr>
        <w:t>duodevicies,</w:t>
      </w:r>
      <w:r>
        <w:t xml:space="preserve"> 7, comma 9-</w:t>
      </w:r>
      <w:r>
        <w:rPr>
          <w:rStyle w:val="Enfasicorsivo"/>
        </w:rPr>
        <w:t>sexies</w:t>
      </w:r>
      <w:r>
        <w:t>, 8, commi da 4-</w:t>
      </w:r>
      <w:r>
        <w:rPr>
          <w:rStyle w:val="Enfasicorsivo"/>
        </w:rPr>
        <w:t>bis</w:t>
      </w:r>
      <w:r>
        <w:t xml:space="preserve"> a 4-</w:t>
      </w:r>
      <w:r>
        <w:rPr>
          <w:rStyle w:val="Enfasicorsivo"/>
        </w:rPr>
        <w:t xml:space="preserve">quater, </w:t>
      </w:r>
      <w:r>
        <w:t>9, commi da 9-</w:t>
      </w:r>
      <w:r>
        <w:rPr>
          <w:rStyle w:val="Enfasicorsivo"/>
        </w:rPr>
        <w:t>bis</w:t>
      </w:r>
      <w:r>
        <w:t xml:space="preserve"> a 9-</w:t>
      </w:r>
      <w:r>
        <w:rPr>
          <w:rStyle w:val="Enfasicorsivo"/>
        </w:rPr>
        <w:t>quater,</w:t>
      </w:r>
      <w:r>
        <w:t xml:space="preserve"> 9, commi da 11-</w:t>
      </w:r>
      <w:r>
        <w:rPr>
          <w:rStyle w:val="Enfasicorsivo"/>
        </w:rPr>
        <w:t>bis</w:t>
      </w:r>
      <w:r>
        <w:t xml:space="preserve"> a 11-</w:t>
      </w:r>
      <w:r>
        <w:rPr>
          <w:rStyle w:val="Enfasicorsivo"/>
        </w:rPr>
        <w:t>quater,</w:t>
      </w:r>
      <w:r>
        <w:t xml:space="preserve"> 11, commi 16-</w:t>
      </w:r>
      <w:r>
        <w:rPr>
          <w:rStyle w:val="Enfasicorsivo"/>
        </w:rPr>
        <w:t xml:space="preserve">bis </w:t>
      </w:r>
      <w:r>
        <w:t>e 16</w:t>
      </w:r>
      <w:r>
        <w:rPr>
          <w:rStyle w:val="Enfasicorsivo"/>
        </w:rPr>
        <w:t>-ter</w:t>
      </w:r>
      <w:r>
        <w:t>; 11, comma 16-</w:t>
      </w:r>
      <w:r>
        <w:rPr>
          <w:rStyle w:val="Enfasicorsivo"/>
        </w:rPr>
        <w:t>quater</w:t>
      </w:r>
      <w:r>
        <w:t>, 11-</w:t>
      </w:r>
      <w:r>
        <w:rPr>
          <w:rStyle w:val="Enfasicorsivo"/>
        </w:rPr>
        <w:t>bis,</w:t>
      </w:r>
      <w:r>
        <w:t xml:space="preserve"> 13-</w:t>
      </w:r>
      <w:r>
        <w:rPr>
          <w:rStyle w:val="Enfasicorsivo"/>
        </w:rPr>
        <w:t>quater,</w:t>
      </w:r>
      <w:r>
        <w:t xml:space="preserve"> 16-</w:t>
      </w:r>
      <w:r>
        <w:rPr>
          <w:rStyle w:val="Enfasicorsivo"/>
        </w:rPr>
        <w:t>bis</w:t>
      </w:r>
      <w:r>
        <w:t xml:space="preserve"> e 16-</w:t>
      </w:r>
      <w:r>
        <w:rPr>
          <w:rStyle w:val="Enfasicorsivo"/>
        </w:rPr>
        <w:t>ter</w:t>
      </w:r>
      <w:r>
        <w:t>, che appaiono estranee rispetto agli oggetti e alle finalità del decreto-legge, nonché rispetto all'intestazione del decreto e al preambolo;</w:t>
      </w:r>
      <w:r>
        <w:rPr>
          <w:rFonts w:cs="Arial"/>
          <w:szCs w:val="22"/>
        </w:rPr>
        <w:t xml:space="preserve"> </w:t>
      </w:r>
      <w:hyperlink w:anchor="premessa20" w:history="1">
        <w:r w:rsidRPr="00D249C1">
          <w:rPr>
            <w:rStyle w:val="Collegamentoipertestuale"/>
            <w:rFonts w:cs="Arial"/>
            <w:szCs w:val="22"/>
          </w:rPr>
          <w:t>[torna su]</w:t>
        </w:r>
      </w:hyperlink>
      <w:r>
        <w:rPr>
          <w:rStyle w:val="Collegamentoipertestuale"/>
          <w:rFonts w:cs="Arial"/>
          <w:szCs w:val="22"/>
        </w:rPr>
        <w:t xml:space="preserve"> </w:t>
      </w:r>
    </w:p>
    <w:p w:rsidR="000B33A8" w:rsidRPr="00C76DFE" w:rsidRDefault="000B33A8" w:rsidP="00B26E1F">
      <w:pPr>
        <w:keepNext/>
        <w:numPr>
          <w:ilvl w:val="0"/>
          <w:numId w:val="54"/>
        </w:numPr>
        <w:tabs>
          <w:tab w:val="clear" w:pos="426"/>
          <w:tab w:val="num" w:pos="567"/>
        </w:tabs>
        <w:spacing w:before="60" w:after="60"/>
        <w:ind w:left="567" w:hanging="283"/>
        <w:contextualSpacing/>
        <w:rPr>
          <w:rStyle w:val="Collegamentoipertestuale"/>
          <w:rFonts w:cs="Arial"/>
          <w:szCs w:val="22"/>
        </w:rPr>
      </w:pPr>
      <w:bookmarkStart w:id="540" w:name="S20c02"/>
      <w:r>
        <w:t xml:space="preserve">verifichi altresì la Commissione l'opportunità </w:t>
      </w:r>
      <w:bookmarkEnd w:id="540"/>
      <w:r>
        <w:t>di mantenere le disposizioni di cui agli articoli 1-</w:t>
      </w:r>
      <w:r>
        <w:rPr>
          <w:rStyle w:val="Enfasicorsivo"/>
        </w:rPr>
        <w:t>quinquies</w:t>
      </w:r>
      <w:r>
        <w:t>, 7, comma 9-</w:t>
      </w:r>
      <w:r>
        <w:rPr>
          <w:rStyle w:val="Enfasicorsivo"/>
        </w:rPr>
        <w:t>bis,</w:t>
      </w:r>
      <w:r>
        <w:t xml:space="preserve"> 7, comma 9-</w:t>
      </w:r>
      <w:r>
        <w:rPr>
          <w:rStyle w:val="Enfasicorsivo"/>
        </w:rPr>
        <w:t xml:space="preserve">quater, </w:t>
      </w:r>
      <w:r>
        <w:t>7, comma 9-</w:t>
      </w:r>
      <w:r>
        <w:rPr>
          <w:rStyle w:val="Enfasicorsivo"/>
        </w:rPr>
        <w:t>sexiesdecies</w:t>
      </w:r>
      <w:r>
        <w:t>, 7-</w:t>
      </w:r>
      <w:r>
        <w:rPr>
          <w:rStyle w:val="Enfasicorsivo"/>
        </w:rPr>
        <w:t xml:space="preserve">bis, </w:t>
      </w:r>
      <w:r>
        <w:t>8, comma 13-</w:t>
      </w:r>
      <w:r>
        <w:rPr>
          <w:rStyle w:val="Enfasicorsivo"/>
        </w:rPr>
        <w:t>bis</w:t>
      </w:r>
      <w:r>
        <w:t>, 8, commi 13-</w:t>
      </w:r>
      <w:r>
        <w:rPr>
          <w:rStyle w:val="Enfasicorsivo"/>
        </w:rPr>
        <w:t>ter</w:t>
      </w:r>
      <w:r>
        <w:t xml:space="preserve"> e 13-</w:t>
      </w:r>
      <w:r>
        <w:rPr>
          <w:rStyle w:val="Enfasicorsivo"/>
        </w:rPr>
        <w:t>quater</w:t>
      </w:r>
      <w:r>
        <w:t>, 8, comma 13-</w:t>
      </w:r>
      <w:r>
        <w:rPr>
          <w:rStyle w:val="Enfasicorsivo"/>
        </w:rPr>
        <w:t>sexies,</w:t>
      </w:r>
      <w:r>
        <w:t xml:space="preserve"> 8, commi da 13-</w:t>
      </w:r>
      <w:r>
        <w:rPr>
          <w:rStyle w:val="Enfasicorsivo"/>
        </w:rPr>
        <w:t>octies</w:t>
      </w:r>
      <w:r>
        <w:t xml:space="preserve"> a 13-</w:t>
      </w:r>
      <w:r>
        <w:rPr>
          <w:rStyle w:val="Enfasicorsivo"/>
        </w:rPr>
        <w:t>duodecies,</w:t>
      </w:r>
      <w:r>
        <w:t xml:space="preserve"> 8-</w:t>
      </w:r>
      <w:r>
        <w:rPr>
          <w:rStyle w:val="Enfasicorsivo"/>
        </w:rPr>
        <w:t>bis,</w:t>
      </w:r>
      <w:r>
        <w:t xml:space="preserve"> 8-</w:t>
      </w:r>
      <w:r>
        <w:rPr>
          <w:rStyle w:val="Enfasicorsivo"/>
        </w:rPr>
        <w:t>novies</w:t>
      </w:r>
      <w:r>
        <w:t xml:space="preserve"> e 8-</w:t>
      </w:r>
      <w:r>
        <w:rPr>
          <w:rStyle w:val="Enfasicorsivo"/>
        </w:rPr>
        <w:t>decies</w:t>
      </w:r>
      <w:r>
        <w:t>, 13-</w:t>
      </w:r>
      <w:r>
        <w:rPr>
          <w:rStyle w:val="Enfasicorsivo"/>
        </w:rPr>
        <w:t>bis</w:t>
      </w:r>
      <w:r>
        <w:t>, 13-</w:t>
      </w:r>
      <w:r>
        <w:rPr>
          <w:rStyle w:val="Enfasicorsivo"/>
        </w:rPr>
        <w:t>ter</w:t>
      </w:r>
      <w:r>
        <w:t>, 16, comma 1</w:t>
      </w:r>
      <w:r>
        <w:rPr>
          <w:rStyle w:val="Enfasicorsivo"/>
        </w:rPr>
        <w:t>-bis</w:t>
      </w:r>
      <w:r>
        <w:t>, capoverso 5-</w:t>
      </w:r>
      <w:r>
        <w:rPr>
          <w:rStyle w:val="Enfasicorsivo"/>
        </w:rPr>
        <w:t>ter</w:t>
      </w:r>
      <w:r>
        <w:t xml:space="preserve"> e 16-</w:t>
      </w:r>
      <w:r>
        <w:rPr>
          <w:rStyle w:val="Enfasicorsivo"/>
        </w:rPr>
        <w:t>quater,</w:t>
      </w:r>
      <w:r>
        <w:t xml:space="preserve"> le </w:t>
      </w:r>
      <w:r>
        <w:lastRenderedPageBreak/>
        <w:t>quali, pur recando misure riguardanti gli «enti territoriali», incidono tuttavia su oggetti ulteriori rispetto a quelli specificati nel preambolo;</w:t>
      </w:r>
      <w:r w:rsidRPr="00C76DFE">
        <w:rPr>
          <w:rStyle w:val="Collegamentoipertestuale"/>
          <w:rFonts w:cs="Arial"/>
          <w:szCs w:val="22"/>
        </w:rPr>
        <w:t xml:space="preserve"> </w:t>
      </w:r>
      <w:hyperlink w:anchor="premessa20"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keepNext/>
        <w:tabs>
          <w:tab w:val="num" w:pos="567"/>
        </w:tabs>
        <w:ind w:hanging="142"/>
        <w:rPr>
          <w:rFonts w:cs="Arial"/>
          <w:i/>
          <w:szCs w:val="22"/>
        </w:rPr>
      </w:pPr>
      <w:r>
        <w:rPr>
          <w:rFonts w:cs="Arial"/>
          <w:szCs w:val="22"/>
        </w:rPr>
        <w:t xml:space="preserve"> </w:t>
      </w:r>
      <w:r>
        <w:rPr>
          <w:rFonts w:cs="Arial"/>
          <w:szCs w:val="22"/>
        </w:rPr>
        <w:br/>
      </w:r>
      <w:r w:rsidRPr="0057717F">
        <w:rPr>
          <w:rFonts w:cs="Arial"/>
          <w:i/>
          <w:szCs w:val="22"/>
        </w:rPr>
        <w:t>sotto il profilo dell'efficacia del testo per la semplificazione e il riordino della legislazione vigente</w:t>
      </w:r>
      <w:r>
        <w:rPr>
          <w:rFonts w:cs="Arial"/>
          <w:i/>
          <w:szCs w:val="22"/>
        </w:rPr>
        <w:t>:</w:t>
      </w:r>
    </w:p>
    <w:p w:rsidR="000B33A8" w:rsidRPr="00C76DFE" w:rsidRDefault="000B33A8" w:rsidP="00B26E1F">
      <w:pPr>
        <w:keepNext/>
        <w:numPr>
          <w:ilvl w:val="0"/>
          <w:numId w:val="54"/>
        </w:numPr>
        <w:tabs>
          <w:tab w:val="clear" w:pos="426"/>
          <w:tab w:val="num" w:pos="709"/>
        </w:tabs>
        <w:spacing w:before="60" w:after="60"/>
        <w:ind w:left="567" w:hanging="283"/>
        <w:contextualSpacing/>
        <w:rPr>
          <w:rStyle w:val="Collegamentoipertestuale"/>
          <w:rFonts w:cs="Arial"/>
          <w:szCs w:val="22"/>
        </w:rPr>
      </w:pPr>
      <w:bookmarkStart w:id="541" w:name="S20c03"/>
      <w:r w:rsidRPr="00911EBA">
        <w:rPr>
          <w:rFonts w:cs="Arial"/>
          <w:szCs w:val="22"/>
        </w:rPr>
        <w:t xml:space="preserve">all'articolo 7, comma </w:t>
      </w:r>
      <w:bookmarkEnd w:id="541"/>
      <w:r w:rsidRPr="00911EBA">
        <w:rPr>
          <w:rFonts w:cs="Arial"/>
          <w:szCs w:val="22"/>
        </w:rPr>
        <w:t>2-</w:t>
      </w:r>
      <w:r w:rsidRPr="00911EBA">
        <w:rPr>
          <w:rFonts w:cs="Arial"/>
          <w:i/>
          <w:szCs w:val="22"/>
        </w:rPr>
        <w:t>bis</w:t>
      </w:r>
      <w:r w:rsidRPr="00911EBA">
        <w:rPr>
          <w:rFonts w:cs="Arial"/>
          <w:szCs w:val="22"/>
        </w:rPr>
        <w:t>, si coordinino le disposizioni dallo stesso introdotte nell'ambito dell'articolo 259, comma 1-</w:t>
      </w:r>
      <w:r w:rsidRPr="00911EBA">
        <w:rPr>
          <w:rFonts w:cs="Arial"/>
          <w:i/>
          <w:szCs w:val="22"/>
        </w:rPr>
        <w:t>ter</w:t>
      </w:r>
      <w:r w:rsidRPr="00911EBA">
        <w:rPr>
          <w:rFonts w:cs="Arial"/>
          <w:szCs w:val="22"/>
        </w:rPr>
        <w:t>, secondo periodo, del decreto legislativo n.</w:t>
      </w:r>
      <w:r>
        <w:rPr>
          <w:rFonts w:cs="Arial"/>
          <w:szCs w:val="22"/>
        </w:rPr>
        <w:t xml:space="preserve"> </w:t>
      </w:r>
      <w:r w:rsidRPr="00911EBA">
        <w:rPr>
          <w:rFonts w:cs="Arial"/>
          <w:szCs w:val="22"/>
        </w:rPr>
        <w:t>267 del 2000, con quelle contenute nel primo periodo della disposizione novellata</w:t>
      </w:r>
      <w:r>
        <w:rPr>
          <w:rFonts w:cs="Arial"/>
          <w:szCs w:val="22"/>
        </w:rPr>
        <w:t xml:space="preserve">; </w:t>
      </w:r>
      <w:hyperlink w:anchor="premessa20" w:history="1">
        <w:r w:rsidRPr="00D249C1">
          <w:rPr>
            <w:rStyle w:val="Collegamentoipertestuale"/>
            <w:rFonts w:cs="Arial"/>
            <w:szCs w:val="22"/>
          </w:rPr>
          <w:t>[torna su]</w:t>
        </w:r>
      </w:hyperlink>
      <w:r>
        <w:rPr>
          <w:rStyle w:val="Collegamentoipertestuale"/>
          <w:rFonts w:cs="Arial"/>
          <w:szCs w:val="22"/>
        </w:rPr>
        <w:t xml:space="preserve"> </w:t>
      </w:r>
    </w:p>
    <w:p w:rsidR="000B33A8" w:rsidRPr="00B91F58" w:rsidRDefault="000B33A8" w:rsidP="000B33A8">
      <w:pPr>
        <w:keepNext/>
        <w:tabs>
          <w:tab w:val="num" w:pos="0"/>
          <w:tab w:val="num" w:pos="567"/>
        </w:tabs>
        <w:ind w:left="567" w:hanging="283"/>
        <w:rPr>
          <w:rFonts w:cs="Arial"/>
          <w:szCs w:val="22"/>
        </w:rPr>
      </w:pPr>
    </w:p>
    <w:p w:rsidR="000B33A8" w:rsidRDefault="000B33A8" w:rsidP="000B33A8">
      <w:pPr>
        <w:rPr>
          <w:rFonts w:cs="Arial"/>
          <w:szCs w:val="22"/>
        </w:rPr>
      </w:pPr>
    </w:p>
    <w:p w:rsidR="0041678A" w:rsidRPr="00B91F58" w:rsidRDefault="0041678A" w:rsidP="000B33A8">
      <w:pPr>
        <w:rPr>
          <w:rFonts w:cs="Arial"/>
          <w:szCs w:val="22"/>
        </w:rPr>
      </w:pPr>
    </w:p>
    <w:p w:rsidR="000B33A8" w:rsidRDefault="000B33A8" w:rsidP="000B33A8">
      <w:pPr>
        <w:keepNext/>
        <w:ind w:firstLine="0"/>
        <w:rPr>
          <w:rFonts w:cs="Arial"/>
          <w:szCs w:val="22"/>
        </w:rPr>
      </w:pPr>
      <w:bookmarkStart w:id="542" w:name="S20O"/>
      <w:r>
        <w:rPr>
          <w:rFonts w:cs="Arial"/>
          <w:b/>
          <w:szCs w:val="22"/>
        </w:rPr>
        <w:t>Osservazioni</w:t>
      </w:r>
      <w:r w:rsidRPr="00B91F58">
        <w:rPr>
          <w:rFonts w:cs="Arial"/>
          <w:szCs w:val="22"/>
        </w:rPr>
        <w:t xml:space="preserve">: </w:t>
      </w:r>
    </w:p>
    <w:bookmarkEnd w:id="542"/>
    <w:p w:rsidR="000B33A8" w:rsidRDefault="000B33A8" w:rsidP="000B33A8">
      <w:pPr>
        <w:keepNext/>
        <w:ind w:firstLine="0"/>
        <w:rPr>
          <w:rFonts w:cs="Arial"/>
          <w:i/>
          <w:szCs w:val="22"/>
        </w:rPr>
      </w:pPr>
      <w:r w:rsidRPr="00D249C1">
        <w:rPr>
          <w:rFonts w:cs="Arial"/>
          <w:i/>
          <w:szCs w:val="22"/>
        </w:rPr>
        <w:t>sotto il profilo dell'efficacia del testo per la semplificazione e il riordino della legislazione vigente:</w:t>
      </w:r>
    </w:p>
    <w:p w:rsidR="000B33A8" w:rsidRPr="00C76DFE" w:rsidRDefault="000B33A8" w:rsidP="00B26E1F">
      <w:pPr>
        <w:pStyle w:val="Paragrafoelenco"/>
        <w:numPr>
          <w:ilvl w:val="0"/>
          <w:numId w:val="55"/>
        </w:numPr>
        <w:ind w:left="567" w:hanging="283"/>
        <w:rPr>
          <w:rStyle w:val="Collegamentoipertestuale"/>
          <w:rFonts w:cs="Arial"/>
          <w:szCs w:val="22"/>
        </w:rPr>
      </w:pPr>
      <w:bookmarkStart w:id="543" w:name="S20o01"/>
      <w:r w:rsidRPr="00BA1A23">
        <w:rPr>
          <w:rFonts w:cs="Arial"/>
          <w:szCs w:val="22"/>
        </w:rPr>
        <w:t xml:space="preserve">si dovrebbero riformulare </w:t>
      </w:r>
      <w:bookmarkEnd w:id="543"/>
      <w:r w:rsidRPr="00BA1A23">
        <w:rPr>
          <w:rFonts w:cs="Arial"/>
          <w:szCs w:val="22"/>
        </w:rPr>
        <w:t>le disposizioni indicate in premessa, che incidono in via non testuale sulla normativa in vigore, in termini di novella alla medesima, nonché effettuare i necessari coordinamenti con l'ordinamento vigente</w:t>
      </w:r>
      <w:r>
        <w:rPr>
          <w:rFonts w:cs="Arial"/>
          <w:szCs w:val="22"/>
        </w:rPr>
        <w:t xml:space="preserve">; </w:t>
      </w:r>
      <w:hyperlink w:anchor="premessa20" w:history="1">
        <w:r w:rsidRPr="00D249C1">
          <w:rPr>
            <w:rStyle w:val="Collegamentoipertestuale"/>
            <w:rFonts w:cs="Arial"/>
            <w:szCs w:val="22"/>
          </w:rPr>
          <w:t>[torna su]</w:t>
        </w:r>
      </w:hyperlink>
      <w:r>
        <w:rPr>
          <w:rStyle w:val="Collegamentoipertestuale"/>
          <w:rFonts w:cs="Arial"/>
          <w:szCs w:val="22"/>
        </w:rPr>
        <w:t xml:space="preserve"> </w:t>
      </w:r>
    </w:p>
    <w:p w:rsidR="000B33A8" w:rsidRPr="00C76DFE" w:rsidRDefault="000B33A8" w:rsidP="00B26E1F">
      <w:pPr>
        <w:pStyle w:val="Paragrafoelenco"/>
        <w:numPr>
          <w:ilvl w:val="0"/>
          <w:numId w:val="55"/>
        </w:numPr>
        <w:ind w:left="567" w:hanging="283"/>
        <w:rPr>
          <w:rStyle w:val="Collegamentoipertestuale"/>
          <w:rFonts w:cs="Arial"/>
          <w:szCs w:val="22"/>
        </w:rPr>
      </w:pPr>
      <w:bookmarkStart w:id="544" w:name="S20o02"/>
      <w:r w:rsidRPr="00BA1A23">
        <w:t xml:space="preserve">si dovrebbe altresì espungere </w:t>
      </w:r>
      <w:bookmarkEnd w:id="544"/>
      <w:r w:rsidRPr="00BA1A23">
        <w:t>dall'articolo 8, comma 2, secondo periodo, quella parte della disposizione che consente ad atti non legislativi di modificare i criteri di riparto del Fondo per assicurare la liquidità dei pagamenti in favore degli enti locali legislativamente individuati dal primo periodo del medesimo comma</w:t>
      </w:r>
      <w:r w:rsidRPr="00E93216">
        <w:t xml:space="preserve">; </w:t>
      </w:r>
      <w:hyperlink w:anchor="premessa20" w:history="1">
        <w:r w:rsidRPr="00D249C1">
          <w:rPr>
            <w:rStyle w:val="Collegamentoipertestuale"/>
            <w:rFonts w:cs="Arial"/>
            <w:szCs w:val="22"/>
          </w:rPr>
          <w:t>[torna su]</w:t>
        </w:r>
      </w:hyperlink>
      <w:r>
        <w:rPr>
          <w:rStyle w:val="Collegamentoipertestuale"/>
          <w:rFonts w:cs="Arial"/>
          <w:szCs w:val="22"/>
        </w:rPr>
        <w:t xml:space="preserve"> </w:t>
      </w:r>
    </w:p>
    <w:p w:rsidR="000B33A8" w:rsidRPr="00C76DFE" w:rsidRDefault="000B33A8" w:rsidP="00B26E1F">
      <w:pPr>
        <w:pStyle w:val="Paragrafoelenco"/>
        <w:numPr>
          <w:ilvl w:val="0"/>
          <w:numId w:val="55"/>
        </w:numPr>
        <w:ind w:left="567" w:hanging="283"/>
        <w:rPr>
          <w:rStyle w:val="Collegamentoipertestuale"/>
          <w:rFonts w:cs="Arial"/>
          <w:szCs w:val="22"/>
        </w:rPr>
      </w:pPr>
      <w:bookmarkStart w:id="545" w:name="S20o03"/>
      <w:r w:rsidRPr="00BA1A23">
        <w:rPr>
          <w:rFonts w:cs="Arial"/>
          <w:szCs w:val="22"/>
        </w:rPr>
        <w:t xml:space="preserve">all'articolo 11, </w:t>
      </w:r>
      <w:bookmarkEnd w:id="545"/>
      <w:r w:rsidRPr="00BA1A23">
        <w:rPr>
          <w:rFonts w:cs="Arial"/>
          <w:szCs w:val="22"/>
        </w:rPr>
        <w:t>comma 6, si dovrebbe esplicitare la deroga implicita, ivi contenuta, all'articolo 1656 del codice civile, in materia di subappalto</w:t>
      </w:r>
      <w:r>
        <w:rPr>
          <w:rFonts w:cs="Arial"/>
          <w:szCs w:val="22"/>
        </w:rPr>
        <w:t xml:space="preserve">; </w:t>
      </w:r>
      <w:hyperlink w:anchor="premessa20" w:history="1">
        <w:r w:rsidRPr="00D249C1">
          <w:rPr>
            <w:rStyle w:val="Collegamentoipertestuale"/>
            <w:rFonts w:cs="Arial"/>
            <w:szCs w:val="22"/>
          </w:rPr>
          <w:t>[torna su]</w:t>
        </w:r>
      </w:hyperlink>
      <w:r>
        <w:rPr>
          <w:rStyle w:val="Collegamentoipertestuale"/>
          <w:rFonts w:cs="Arial"/>
          <w:szCs w:val="22"/>
        </w:rPr>
        <w:t xml:space="preserve"> </w:t>
      </w:r>
    </w:p>
    <w:p w:rsidR="000B33A8" w:rsidRPr="00C76DFE" w:rsidRDefault="000B33A8" w:rsidP="00B26E1F">
      <w:pPr>
        <w:pStyle w:val="Paragrafoelenco"/>
        <w:numPr>
          <w:ilvl w:val="0"/>
          <w:numId w:val="55"/>
        </w:numPr>
        <w:ind w:left="567" w:hanging="283"/>
        <w:rPr>
          <w:rStyle w:val="Collegamentoipertestuale"/>
          <w:rFonts w:cs="Arial"/>
          <w:szCs w:val="22"/>
        </w:rPr>
      </w:pPr>
      <w:bookmarkStart w:id="546" w:name="S20o04"/>
      <w:r w:rsidRPr="00BA1A23">
        <w:rPr>
          <w:rFonts w:cs="Arial"/>
          <w:szCs w:val="22"/>
        </w:rPr>
        <w:t>all'articolo 11, comma 16-</w:t>
      </w:r>
      <w:r w:rsidRPr="00BA1A23">
        <w:rPr>
          <w:rFonts w:cs="Arial"/>
          <w:i/>
          <w:iCs/>
          <w:szCs w:val="22"/>
        </w:rPr>
        <w:t>quater</w:t>
      </w:r>
      <w:bookmarkEnd w:id="546"/>
      <w:r w:rsidRPr="00BA1A23">
        <w:rPr>
          <w:rFonts w:cs="Arial"/>
          <w:szCs w:val="22"/>
        </w:rPr>
        <w:t xml:space="preserve">, lettera </w:t>
      </w:r>
      <w:r w:rsidRPr="00BA1A23">
        <w:rPr>
          <w:rFonts w:cs="Arial"/>
          <w:i/>
          <w:iCs/>
          <w:szCs w:val="22"/>
        </w:rPr>
        <w:t>a),</w:t>
      </w:r>
      <w:r w:rsidRPr="00BA1A23">
        <w:rPr>
          <w:rFonts w:cs="Arial"/>
          <w:szCs w:val="22"/>
        </w:rPr>
        <w:t xml:space="preserve"> laddove prevede che i Commissari straordinari per il risanamento ambientale siano nominati con decreto del Presidente del Consiglio dei Ministri – alla luce del quadro normativo vigente richiamato in premessa – valuti la Commissione se non sia opportuno – ripristinando il testo vigente – prevedere che la suddetta nomina avvenga mediante decreto del Presidente della Repubblica previa delibera del Consiglio dei ministri</w:t>
      </w:r>
      <w:r>
        <w:rPr>
          <w:rFonts w:cs="Arial"/>
          <w:szCs w:val="22"/>
        </w:rPr>
        <w:t xml:space="preserve">; </w:t>
      </w:r>
      <w:hyperlink w:anchor="premessa20" w:history="1">
        <w:r w:rsidRPr="00D249C1">
          <w:rPr>
            <w:rStyle w:val="Collegamentoipertestuale"/>
            <w:rFonts w:cs="Arial"/>
            <w:szCs w:val="22"/>
          </w:rPr>
          <w:t>[torna su]</w:t>
        </w:r>
      </w:hyperlink>
      <w:r>
        <w:rPr>
          <w:rStyle w:val="Collegamentoipertestuale"/>
          <w:rFonts w:cs="Arial"/>
          <w:szCs w:val="22"/>
        </w:rPr>
        <w:t xml:space="preserve"> </w:t>
      </w:r>
    </w:p>
    <w:p w:rsidR="000B33A8" w:rsidRPr="00C76DFE" w:rsidRDefault="000B33A8" w:rsidP="000B33A8">
      <w:pPr>
        <w:pStyle w:val="Paragrafoelenco"/>
        <w:ind w:left="0" w:firstLine="0"/>
        <w:rPr>
          <w:rStyle w:val="Collegamentoipertestuale"/>
          <w:rFonts w:cs="Arial"/>
          <w:szCs w:val="22"/>
        </w:rPr>
      </w:pPr>
      <w:r>
        <w:rPr>
          <w:rStyle w:val="Collegamentoipertestuale"/>
          <w:rFonts w:cs="Arial"/>
          <w:szCs w:val="22"/>
        </w:rPr>
        <w:br/>
      </w:r>
      <w:r w:rsidRPr="00C733BB">
        <w:rPr>
          <w:rFonts w:cs="Arial"/>
          <w:i/>
          <w:szCs w:val="22"/>
        </w:rPr>
        <w:t>sotto il profilo della chiarezza e della proprietà della formulazione</w:t>
      </w:r>
      <w:r>
        <w:rPr>
          <w:rFonts w:cs="Arial"/>
          <w:i/>
          <w:szCs w:val="22"/>
        </w:rPr>
        <w:t>:</w:t>
      </w:r>
    </w:p>
    <w:p w:rsidR="000B33A8" w:rsidRPr="00C76DFE" w:rsidRDefault="000B33A8" w:rsidP="00B26E1F">
      <w:pPr>
        <w:pStyle w:val="Paragrafoelenco"/>
        <w:numPr>
          <w:ilvl w:val="0"/>
          <w:numId w:val="55"/>
        </w:numPr>
        <w:ind w:left="567" w:hanging="283"/>
        <w:rPr>
          <w:rStyle w:val="Collegamentoipertestuale"/>
          <w:rFonts w:cs="Arial"/>
          <w:szCs w:val="22"/>
        </w:rPr>
      </w:pPr>
      <w:bookmarkStart w:id="547" w:name="S20o05"/>
      <w:r w:rsidRPr="00BA1A23">
        <w:t xml:space="preserve">all'articolo 8, comma </w:t>
      </w:r>
      <w:bookmarkEnd w:id="547"/>
      <w:r w:rsidRPr="00BA1A23">
        <w:t>7, che contiene un rinvio generico all'articolo 1 del decreto-legge n.</w:t>
      </w:r>
      <w:r>
        <w:t xml:space="preserve"> </w:t>
      </w:r>
      <w:r w:rsidRPr="00BA1A23">
        <w:t>35 del 2013, si precisi a quale dei 26 commi di cui si compone l'articolo richiamato si intenda fare riferimento</w:t>
      </w:r>
      <w:r w:rsidRPr="00E93216">
        <w:t xml:space="preserve">; </w:t>
      </w:r>
      <w:hyperlink w:anchor="premessa20" w:history="1">
        <w:r w:rsidRPr="00D249C1">
          <w:rPr>
            <w:rStyle w:val="Collegamentoipertestuale"/>
            <w:rFonts w:cs="Arial"/>
            <w:szCs w:val="22"/>
          </w:rPr>
          <w:t>[torna su]</w:t>
        </w:r>
      </w:hyperlink>
      <w:r>
        <w:rPr>
          <w:rStyle w:val="Collegamentoipertestuale"/>
          <w:rFonts w:cs="Arial"/>
          <w:szCs w:val="22"/>
        </w:rPr>
        <w:t xml:space="preserve"> </w:t>
      </w:r>
    </w:p>
    <w:p w:rsidR="000B33A8" w:rsidRDefault="000B33A8" w:rsidP="000B33A8">
      <w:pPr>
        <w:rPr>
          <w:rFonts w:cs="Arial"/>
          <w:szCs w:val="22"/>
        </w:rPr>
      </w:pPr>
    </w:p>
    <w:p w:rsidR="000B33A8" w:rsidRPr="00B91F58" w:rsidRDefault="000B33A8" w:rsidP="000B33A8">
      <w:pPr>
        <w:rPr>
          <w:rFonts w:cs="Arial"/>
          <w:szCs w:val="22"/>
        </w:rPr>
      </w:pPr>
    </w:p>
    <w:p w:rsidR="000B33A8" w:rsidRDefault="000B33A8" w:rsidP="000B33A8">
      <w:pPr>
        <w:ind w:left="284" w:firstLine="0"/>
        <w:rPr>
          <w:rFonts w:cs="Arial"/>
          <w:szCs w:val="22"/>
        </w:rPr>
      </w:pPr>
    </w:p>
    <w:p w:rsidR="000B33A8" w:rsidRDefault="000B33A8" w:rsidP="000B33A8">
      <w:pPr>
        <w:keepNext/>
        <w:ind w:firstLine="0"/>
        <w:rPr>
          <w:rFonts w:cs="Arial"/>
          <w:szCs w:val="22"/>
        </w:rPr>
      </w:pPr>
      <w:bookmarkStart w:id="548" w:name="S20R"/>
      <w:r>
        <w:rPr>
          <w:rFonts w:cs="Arial"/>
          <w:b/>
          <w:szCs w:val="22"/>
        </w:rPr>
        <w:lastRenderedPageBreak/>
        <w:t>Raccomandazioni</w:t>
      </w:r>
      <w:r w:rsidRPr="00B91F58">
        <w:rPr>
          <w:rFonts w:cs="Arial"/>
          <w:szCs w:val="22"/>
        </w:rPr>
        <w:t xml:space="preserve">: </w:t>
      </w:r>
    </w:p>
    <w:p w:rsidR="000B33A8" w:rsidRDefault="000B33A8" w:rsidP="00B26E1F">
      <w:pPr>
        <w:pStyle w:val="Paragrafoelenco"/>
        <w:numPr>
          <w:ilvl w:val="0"/>
          <w:numId w:val="27"/>
        </w:numPr>
        <w:ind w:left="567" w:hanging="283"/>
      </w:pPr>
      <w:bookmarkStart w:id="549" w:name="S20r01"/>
      <w:bookmarkEnd w:id="548"/>
      <w:r w:rsidRPr="00BA1A23">
        <w:t xml:space="preserve">abbia cura il legislatore </w:t>
      </w:r>
      <w:bookmarkEnd w:id="549"/>
      <w:r w:rsidRPr="00BA1A23">
        <w:t>di evitare sovrapposizioni normative ed intrecci tra disposizioni sostanzialmente identiche presenti in più provvedimenti d'urgenza, in quanto tale fenomeno è suscettibile di ingenerare incertezze interpretative ed applicative, di determinare un'alterazione del lineare svolgimento della procedura parlamentare di esame dei disegni di legge di conversione dei decreti legge nonché un uso anomalo dello strumento del decreto-legge.</w:t>
      </w:r>
    </w:p>
    <w:p w:rsidR="000B33A8" w:rsidRDefault="000B33A8" w:rsidP="000B33A8"/>
    <w:p w:rsidR="000B33A8" w:rsidRDefault="000B33A8" w:rsidP="000B33A8"/>
    <w:p w:rsidR="000B33A8" w:rsidRDefault="000B33A8" w:rsidP="000B33A8">
      <w:pPr>
        <w:sectPr w:rsidR="000B33A8" w:rsidSect="000B33A8">
          <w:headerReference w:type="default" r:id="rId383"/>
          <w:footerReference w:type="even" r:id="rId384"/>
          <w:footerReference w:type="default" r:id="rId385"/>
          <w:pgSz w:w="11906" w:h="16838" w:code="9"/>
          <w:pgMar w:top="1985" w:right="1985" w:bottom="1985" w:left="1985" w:header="1134" w:footer="1134" w:gutter="0"/>
          <w:cols w:space="720"/>
          <w:formProt w:val="0"/>
        </w:sectPr>
      </w:pPr>
    </w:p>
    <w:p w:rsidR="000B33A8" w:rsidRPr="00BA1A23" w:rsidRDefault="000B33A8" w:rsidP="000B33A8"/>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0021</w:t>
            </w:r>
          </w:p>
        </w:tc>
        <w:tc>
          <w:tcPr>
            <w:tcW w:w="750" w:type="pct"/>
            <w:shd w:val="clear" w:color="auto" w:fill="auto"/>
          </w:tcPr>
          <w:p w:rsidR="000B33A8" w:rsidRPr="00B26E1F" w:rsidRDefault="000B33A8" w:rsidP="000B33A8">
            <w:pPr>
              <w:pStyle w:val="Collegamento"/>
              <w:rPr>
                <w:rFonts w:cs="Arial"/>
              </w:rPr>
            </w:pPr>
            <w:r w:rsidRPr="00B26E1F">
              <w:rPr>
                <w:rFonts w:cs="Arial"/>
              </w:rPr>
              <w:t>AC 3194</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86" w:history="1">
              <w:r w:rsidR="000B33A8" w:rsidRPr="00B26E1F">
                <w:rPr>
                  <w:rStyle w:val="Collegamentoipertestuale"/>
                  <w:rFonts w:cs="Arial"/>
                </w:rPr>
                <w:t>ddl Gov</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Delega appalti</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87" w:anchor="data.20150730.com48.bollettino.sede00020.tit00010" w:history="1">
              <w:r w:rsidR="000B33A8">
                <w:rPr>
                  <w:rStyle w:val="Collegamentoipertestuale"/>
                </w:rPr>
                <w:t>30/07/2015</w:t>
              </w:r>
            </w:hyperlink>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6-</w:t>
            </w:r>
            <w:r w:rsidRPr="00B26E1F">
              <w:rPr>
                <w:rFonts w:cs="Arial"/>
                <w:b/>
                <w:bCs/>
                <w:i/>
                <w:sz w:val="24"/>
              </w:rPr>
              <w:t>BIS</w:t>
            </w:r>
            <w:r w:rsidRPr="00B26E1F">
              <w:rPr>
                <w:rFonts w:cs="Arial"/>
                <w:b/>
                <w:bCs/>
                <w:sz w:val="24"/>
              </w:rPr>
              <w:t>,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550" w:name="premessa21"/>
            <w:r w:rsidRPr="00B26E1F">
              <w:rPr>
                <w:rFonts w:cs="Arial"/>
                <w:b/>
                <w:color w:val="0000FF"/>
                <w:sz w:val="24"/>
                <w:szCs w:val="24"/>
              </w:rPr>
              <w:t>Premessa</w:t>
            </w:r>
            <w:bookmarkEnd w:id="550"/>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4 Condizioni, 8 Osservazioni</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jc w:val="left"/>
              <w:rPr>
                <w:rFonts w:cs="Arial"/>
              </w:rPr>
            </w:pPr>
            <w:hyperlink w:anchor="S21a01" w:history="1">
              <w:r w:rsidR="000B33A8" w:rsidRPr="00D40FBA">
                <w:rPr>
                  <w:rStyle w:val="Collegamentoipertestuale"/>
                </w:rPr>
                <w:t>1</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rPr>
            </w:pPr>
          </w:p>
        </w:tc>
      </w:tr>
      <w:tr w:rsidR="000B33A8" w:rsidRPr="008B2DCE" w:rsidTr="00B26E1F">
        <w:trPr>
          <w:trHeight w:val="7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1a02" w:history="1">
              <w:r w:rsidR="000B33A8" w:rsidRPr="00812559">
                <w:rPr>
                  <w:rStyle w:val="Collegamentoipertestuale"/>
                </w:rPr>
                <w:t>2</w:t>
              </w:r>
            </w:hyperlink>
            <w:r w:rsidR="000B33A8" w:rsidRPr="00B26E1F">
              <w:rPr>
                <w:rFonts w:cs="Arial"/>
              </w:rPr>
              <w:t xml:space="preserve"> – </w:t>
            </w:r>
            <w:r w:rsidR="000B33A8">
              <w:t>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Sovrapposizione tra oggetto della delega e principi e criteri direttivi.</w:t>
            </w:r>
          </w:p>
          <w:p w:rsidR="000B33A8" w:rsidRPr="00B26E1F" w:rsidRDefault="000B33A8" w:rsidP="00B26E1F">
            <w:pPr>
              <w:spacing w:before="100" w:beforeAutospacing="1" w:after="100" w:afterAutospacing="1"/>
              <w:ind w:firstLine="0"/>
              <w:rPr>
                <w:rFonts w:cs="Arial"/>
              </w:rPr>
            </w:pPr>
            <w:r w:rsidRPr="00B26E1F">
              <w:rPr>
                <w:rFonts w:cs="Arial"/>
              </w:rPr>
              <w:t>Osservazione 2</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1a02a" w:history="1">
              <w:r w:rsidR="000B33A8" w:rsidRPr="00320FA3">
                <w:rPr>
                  <w:rStyle w:val="Collegamentoipertestuale"/>
                </w:rPr>
                <w:t>2a</w:t>
              </w:r>
            </w:hyperlink>
            <w:r w:rsidR="000B33A8">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Principi e criteri direttivi eccessivamente generici</w:t>
            </w:r>
          </w:p>
          <w:p w:rsidR="000B33A8" w:rsidRPr="00B26E1F" w:rsidRDefault="000B33A8" w:rsidP="00B26E1F">
            <w:pPr>
              <w:spacing w:before="100" w:beforeAutospacing="1" w:after="100" w:afterAutospacing="1"/>
              <w:ind w:firstLine="0"/>
              <w:rPr>
                <w:rFonts w:cs="Arial"/>
              </w:rPr>
            </w:pPr>
            <w:r w:rsidRPr="00B26E1F">
              <w:rPr>
                <w:rFonts w:cs="Arial"/>
              </w:rPr>
              <w:t>Osservazione 3</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1a02b" w:history="1">
              <w:hyperlink w:anchor="S21a02a" w:history="1">
                <w:r w:rsidR="000B33A8" w:rsidRPr="00320FA3">
                  <w:rPr>
                    <w:rStyle w:val="Collegamentoipertestuale"/>
                  </w:rPr>
                  <w:t>2</w:t>
                </w:r>
              </w:hyperlink>
              <w:r w:rsidR="000B33A8" w:rsidRPr="00320FA3">
                <w:rPr>
                  <w:rStyle w:val="Collegamentoipertestuale"/>
                </w:rPr>
                <w:t>b</w:t>
              </w:r>
            </w:hyperlink>
            <w:r w:rsidR="000B33A8">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Principi e criteri direttivi indicati in termini di finalità della delega.</w:t>
            </w:r>
          </w:p>
          <w:p w:rsidR="000B33A8" w:rsidRPr="00B26E1F" w:rsidRDefault="000B33A8" w:rsidP="00B26E1F">
            <w:pPr>
              <w:spacing w:before="100" w:beforeAutospacing="1" w:after="100" w:afterAutospacing="1"/>
              <w:ind w:firstLine="0"/>
              <w:rPr>
                <w:rFonts w:cs="Arial"/>
              </w:rPr>
            </w:pPr>
            <w:r w:rsidRPr="00B26E1F">
              <w:rPr>
                <w:rFonts w:cs="Arial"/>
              </w:rPr>
              <w:t>Osservazione 3</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1a03" w:history="1">
              <w:r w:rsidR="000B33A8" w:rsidRPr="00812559">
                <w:rPr>
                  <w:rStyle w:val="Collegamentoipertestuale"/>
                </w:rPr>
                <w:t>3</w:t>
              </w:r>
            </w:hyperlink>
            <w:r w:rsidR="000B33A8" w:rsidRPr="00B26E1F">
              <w:rPr>
                <w:rFonts w:cs="Arial"/>
              </w:rPr>
              <w:t xml:space="preserve"> – </w:t>
            </w:r>
            <w:r w:rsidR="000B33A8">
              <w:t>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Principi e criteri direttivi formulati con espressioni che fanno riferimento a un “effettivo coordinamento” o ad un “ordinato passaggio” con la nuova disciplina; richiami al rispetto della normativa vigente di rango europeo, statale o costituzionale.</w:t>
            </w:r>
          </w:p>
          <w:p w:rsidR="000B33A8" w:rsidRPr="00B26E1F" w:rsidRDefault="000B33A8" w:rsidP="00B26E1F">
            <w:pPr>
              <w:spacing w:before="100" w:beforeAutospacing="1" w:after="100" w:afterAutospacing="1"/>
              <w:ind w:firstLine="0"/>
              <w:rPr>
                <w:rFonts w:cs="Arial"/>
              </w:rPr>
            </w:pPr>
            <w:r w:rsidRPr="00B26E1F">
              <w:rPr>
                <w:rFonts w:cs="Arial"/>
              </w:rPr>
              <w:t>Condizione 3</w:t>
            </w:r>
          </w:p>
        </w:tc>
      </w:tr>
    </w:tbl>
    <w:p w:rsidR="0041678A" w:rsidRDefault="0041678A"/>
    <w:tbl>
      <w:tblPr>
        <w:tblW w:w="5000" w:type="pct"/>
        <w:jc w:val="center"/>
        <w:tblLook w:val="01E0" w:firstRow="1" w:lastRow="1" w:firstColumn="1" w:lastColumn="1" w:noHBand="0" w:noVBand="0"/>
      </w:tblPr>
      <w:tblGrid>
        <w:gridCol w:w="4076"/>
        <w:gridCol w:w="4076"/>
      </w:tblGrid>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41678A">
            <w:pPr>
              <w:spacing w:before="100" w:beforeAutospacing="1" w:after="100" w:afterAutospacing="1"/>
              <w:ind w:firstLine="0"/>
            </w:pPr>
            <w:hyperlink w:anchor="S21a04" w:history="1">
              <w:r w:rsidR="000B33A8" w:rsidRPr="006533B3">
                <w:rPr>
                  <w:rStyle w:val="Collegamentoipertestuale"/>
                </w:rPr>
                <w:t>4</w:t>
              </w:r>
            </w:hyperlink>
            <w:r w:rsidR="000B33A8">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41678A">
            <w:pPr>
              <w:spacing w:before="100" w:beforeAutospacing="1" w:after="100" w:afterAutospacing="1"/>
              <w:ind w:firstLine="0"/>
              <w:rPr>
                <w:rFonts w:cs="Arial"/>
              </w:rPr>
            </w:pPr>
            <w:r w:rsidRPr="00B26E1F">
              <w:rPr>
                <w:rFonts w:cs="Arial"/>
              </w:rPr>
              <w:t xml:space="preserve">Errato riferimento ad un secondo parere parlamentare con riguardo a </w:t>
            </w:r>
            <w:r w:rsidRPr="00B26E1F">
              <w:rPr>
                <w:rFonts w:cs="Arial"/>
              </w:rPr>
              <w:lastRenderedPageBreak/>
              <w:t>procedura di delega che prevede intervento in seconda battuta delle Assemblee in luogo del doppio parere.</w:t>
            </w:r>
          </w:p>
          <w:p w:rsidR="000B33A8" w:rsidRPr="00B26E1F" w:rsidRDefault="000B33A8" w:rsidP="0041678A">
            <w:pPr>
              <w:spacing w:before="100" w:beforeAutospacing="1" w:after="100" w:afterAutospacing="1"/>
              <w:ind w:firstLine="0"/>
              <w:rPr>
                <w:rFonts w:cs="Arial"/>
              </w:rPr>
            </w:pPr>
            <w:r w:rsidRPr="00B26E1F">
              <w:rPr>
                <w:rFonts w:cs="Arial"/>
              </w:rPr>
              <w:t>Condizione 3</w:t>
            </w:r>
          </w:p>
        </w:tc>
      </w:tr>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41678A">
            <w:pPr>
              <w:spacing w:before="100" w:beforeAutospacing="1" w:after="100" w:afterAutospacing="1"/>
              <w:ind w:firstLine="0"/>
            </w:pPr>
            <w:hyperlink w:anchor="S21a05" w:history="1">
              <w:r w:rsidR="000B33A8" w:rsidRPr="006533B3">
                <w:rPr>
                  <w:rStyle w:val="Collegamentoipertestuale"/>
                </w:rPr>
                <w:t>5</w:t>
              </w:r>
            </w:hyperlink>
            <w:r w:rsidR="000B33A8">
              <w:t xml:space="preserve"> – Procedure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Scorrimento del termine per l’esercizio della delega. Richiamo al parere sull’AC 2617 (XVII – turno On. Taglialatela, Scheda 31, 11/12/2014).</w:t>
            </w:r>
          </w:p>
          <w:p w:rsidR="000B33A8" w:rsidRPr="00B26E1F" w:rsidRDefault="000B33A8" w:rsidP="00B26E1F">
            <w:pPr>
              <w:spacing w:before="100" w:beforeAutospacing="1" w:after="100" w:afterAutospacing="1"/>
              <w:ind w:firstLine="0"/>
              <w:rPr>
                <w:rFonts w:cs="Arial"/>
              </w:rPr>
            </w:pPr>
            <w:r w:rsidRPr="00B26E1F">
              <w:rPr>
                <w:rFonts w:cs="Arial"/>
              </w:rPr>
              <w:t>Condizione 5</w:t>
            </w:r>
          </w:p>
        </w:tc>
      </w:tr>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1a06" w:history="1">
              <w:r w:rsidR="000B33A8" w:rsidRPr="00265D49">
                <w:rPr>
                  <w:rStyle w:val="Collegamentoipertestuale"/>
                </w:rPr>
                <w:t>6</w:t>
              </w:r>
            </w:hyperlink>
            <w:r w:rsidR="000B33A8">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Alcuni principi e criteri direttivi contengono norme di immediata applicazione e riguardano adempimenti ulteriori rispetto all’esercizio della delega.</w:t>
            </w:r>
          </w:p>
          <w:p w:rsidR="000B33A8" w:rsidRPr="00B26E1F" w:rsidRDefault="000B33A8" w:rsidP="00B26E1F">
            <w:pPr>
              <w:spacing w:before="100" w:beforeAutospacing="1" w:after="100" w:afterAutospacing="1"/>
              <w:ind w:firstLine="0"/>
              <w:rPr>
                <w:rFonts w:cs="Arial"/>
              </w:rPr>
            </w:pPr>
            <w:r w:rsidRPr="00B26E1F">
              <w:rPr>
                <w:rFonts w:cs="Arial"/>
              </w:rPr>
              <w:t>Osservazione 8</w:t>
            </w:r>
          </w:p>
        </w:tc>
      </w:tr>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1a07" w:history="1">
              <w:r w:rsidR="000B33A8" w:rsidRPr="00265D49">
                <w:rPr>
                  <w:rStyle w:val="Collegamentoipertestuale"/>
                </w:rPr>
                <w:t>7</w:t>
              </w:r>
            </w:hyperlink>
            <w:r w:rsidR="000B33A8">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Uso di aggettivi ed avverbi nei principi e criteri direttivi che determina un’autoqualificazione delle previsioni.</w:t>
            </w:r>
          </w:p>
        </w:tc>
      </w:tr>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1a08" w:history="1">
              <w:r w:rsidR="000B33A8" w:rsidRPr="00265D49">
                <w:rPr>
                  <w:rStyle w:val="Collegamentoipertestuale"/>
                </w:rPr>
                <w:t>8</w:t>
              </w:r>
            </w:hyperlink>
            <w:r w:rsidR="000B33A8">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Presenti.</w:t>
            </w:r>
          </w:p>
        </w:tc>
      </w:tr>
    </w:tbl>
    <w:p w:rsidR="0041678A" w:rsidRDefault="0041678A"/>
    <w:p w:rsidR="0041678A" w:rsidRDefault="0041678A"/>
    <w:tbl>
      <w:tblPr>
        <w:tblW w:w="5000" w:type="pct"/>
        <w:tblLook w:val="04A0" w:firstRow="1" w:lastRow="0" w:firstColumn="1" w:lastColumn="0" w:noHBand="0" w:noVBand="1"/>
      </w:tblPr>
      <w:tblGrid>
        <w:gridCol w:w="4076"/>
        <w:gridCol w:w="4076"/>
      </w:tblGrid>
      <w:tr w:rsidR="000B33A8" w:rsidRPr="003A04FD" w:rsidTr="002479C8">
        <w:trPr>
          <w:trHeight w:val="423"/>
        </w:trPr>
        <w:tc>
          <w:tcPr>
            <w:tcW w:w="5000" w:type="pct"/>
            <w:gridSpan w:val="2"/>
            <w:shd w:val="clear" w:color="auto" w:fill="auto"/>
          </w:tcPr>
          <w:p w:rsidR="000B33A8" w:rsidRPr="00B26E1F" w:rsidRDefault="000B33A8" w:rsidP="0041678A">
            <w:pPr>
              <w:keepNext/>
              <w:spacing w:before="100" w:beforeAutospacing="1" w:after="100" w:afterAutospacing="1"/>
              <w:ind w:firstLine="0"/>
              <w:jc w:val="left"/>
              <w:rPr>
                <w:rFonts w:cs="Arial"/>
              </w:rPr>
            </w:pPr>
            <w:r w:rsidRPr="00B26E1F">
              <w:rPr>
                <w:rFonts w:cs="Arial"/>
                <w:b/>
                <w:color w:val="0000FF"/>
              </w:rPr>
              <w:t>Rilievi non in Premessa</w:t>
            </w:r>
          </w:p>
        </w:tc>
      </w:tr>
      <w:tr w:rsidR="000B33A8" w:rsidRPr="003A04FD" w:rsidTr="002479C8">
        <w:trPr>
          <w:trHeight w:val="423"/>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21c01" w:history="1">
              <w:r w:rsidR="000B33A8" w:rsidRPr="00B26E1F">
                <w:rPr>
                  <w:rStyle w:val="Collegamentoipertestuale"/>
                  <w:rFonts w:cs="Arial"/>
                </w:rPr>
                <w:t>Condizione 1</w:t>
              </w:r>
            </w:hyperlink>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rPr>
              <w:t>Formulazione del testo.</w:t>
            </w:r>
          </w:p>
        </w:tc>
      </w:tr>
      <w:tr w:rsidR="000B33A8" w:rsidRPr="003A04FD" w:rsidTr="002479C8">
        <w:trPr>
          <w:trHeight w:val="423"/>
        </w:trPr>
        <w:tc>
          <w:tcPr>
            <w:tcW w:w="2500" w:type="pct"/>
            <w:shd w:val="clear" w:color="auto" w:fill="auto"/>
          </w:tcPr>
          <w:p w:rsidR="000B33A8" w:rsidRDefault="00EB0878" w:rsidP="00B26E1F">
            <w:pPr>
              <w:keepNext/>
              <w:spacing w:before="100" w:beforeAutospacing="1" w:after="100" w:afterAutospacing="1"/>
              <w:ind w:firstLine="0"/>
              <w:jc w:val="left"/>
            </w:pPr>
            <w:hyperlink w:anchor="S21c02" w:history="1">
              <w:r w:rsidR="000B33A8" w:rsidRPr="00B26E1F">
                <w:rPr>
                  <w:rStyle w:val="Collegamentoipertestuale"/>
                  <w:rFonts w:cs="Arial"/>
                </w:rPr>
                <w:t>Condizione 2</w:t>
              </w:r>
            </w:hyperlink>
          </w:p>
        </w:tc>
        <w:tc>
          <w:tcPr>
            <w:tcW w:w="2500" w:type="pct"/>
            <w:shd w:val="clear" w:color="auto" w:fill="auto"/>
          </w:tcPr>
          <w:p w:rsidR="000B33A8" w:rsidRDefault="000B33A8" w:rsidP="00B26E1F">
            <w:pPr>
              <w:keepNext/>
              <w:spacing w:before="100" w:beforeAutospacing="1" w:after="100" w:afterAutospacing="1"/>
              <w:ind w:firstLine="0"/>
              <w:jc w:val="left"/>
            </w:pPr>
            <w:r>
              <w:t>Coordinamento interno del testo.</w:t>
            </w:r>
          </w:p>
        </w:tc>
      </w:tr>
      <w:tr w:rsidR="000B33A8" w:rsidRPr="003A04FD" w:rsidTr="002479C8">
        <w:trPr>
          <w:trHeight w:val="423"/>
        </w:trPr>
        <w:tc>
          <w:tcPr>
            <w:tcW w:w="2500" w:type="pct"/>
            <w:shd w:val="clear" w:color="auto" w:fill="auto"/>
          </w:tcPr>
          <w:p w:rsidR="000B33A8" w:rsidRDefault="00EB0878" w:rsidP="00B26E1F">
            <w:pPr>
              <w:keepNext/>
              <w:spacing w:before="100" w:beforeAutospacing="1" w:after="100" w:afterAutospacing="1"/>
              <w:ind w:firstLine="0"/>
              <w:jc w:val="left"/>
            </w:pPr>
            <w:hyperlink w:anchor="S21o01" w:history="1">
              <w:r w:rsidR="000B33A8" w:rsidRPr="00B26E1F">
                <w:rPr>
                  <w:rStyle w:val="Collegamentoipertestuale"/>
                  <w:rFonts w:cs="Arial"/>
                </w:rPr>
                <w:t>Osservazione 1</w:t>
              </w:r>
            </w:hyperlink>
          </w:p>
        </w:tc>
        <w:tc>
          <w:tcPr>
            <w:tcW w:w="2500" w:type="pct"/>
            <w:shd w:val="clear" w:color="auto" w:fill="auto"/>
          </w:tcPr>
          <w:p w:rsidR="000B33A8" w:rsidRDefault="000B33A8" w:rsidP="00B26E1F">
            <w:pPr>
              <w:keepNext/>
              <w:spacing w:before="100" w:beforeAutospacing="1" w:after="100" w:afterAutospacing="1"/>
              <w:ind w:firstLine="0"/>
              <w:jc w:val="left"/>
            </w:pPr>
            <w:r>
              <w:t>Coordinamento interno del testo.</w:t>
            </w:r>
          </w:p>
        </w:tc>
      </w:tr>
      <w:tr w:rsidR="000B33A8" w:rsidRPr="003A04FD" w:rsidTr="002479C8">
        <w:trPr>
          <w:trHeight w:val="423"/>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21o04" w:history="1">
              <w:r w:rsidR="000B33A8" w:rsidRPr="00B26E1F">
                <w:rPr>
                  <w:rStyle w:val="Collegamentoipertestuale"/>
                  <w:rFonts w:cs="Arial"/>
                </w:rPr>
                <w:t>Osservazione 4</w:t>
              </w:r>
            </w:hyperlink>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rPr>
              <w:t>Coordinamento interno del testo.</w:t>
            </w:r>
          </w:p>
        </w:tc>
      </w:tr>
      <w:tr w:rsidR="000B33A8" w:rsidRPr="003A04FD" w:rsidTr="002479C8">
        <w:trPr>
          <w:trHeight w:val="423"/>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21o05" w:history="1">
              <w:r w:rsidR="000B33A8" w:rsidRPr="00B26E1F">
                <w:rPr>
                  <w:rStyle w:val="Collegamentoipertestuale"/>
                  <w:rFonts w:cs="Arial"/>
                </w:rPr>
                <w:t>Osservazione 5</w:t>
              </w:r>
            </w:hyperlink>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rPr>
              <w:t>Coordinamento interno del testo.</w:t>
            </w:r>
          </w:p>
        </w:tc>
      </w:tr>
      <w:tr w:rsidR="000B33A8" w:rsidRPr="003A04FD" w:rsidTr="002479C8">
        <w:trPr>
          <w:trHeight w:val="423"/>
        </w:trPr>
        <w:tc>
          <w:tcPr>
            <w:tcW w:w="2500" w:type="pct"/>
            <w:shd w:val="clear" w:color="auto" w:fill="auto"/>
          </w:tcPr>
          <w:p w:rsidR="000B33A8" w:rsidRDefault="00EB0878" w:rsidP="00B26E1F">
            <w:pPr>
              <w:keepNext/>
              <w:spacing w:before="100" w:beforeAutospacing="1" w:after="100" w:afterAutospacing="1"/>
              <w:ind w:firstLine="0"/>
              <w:jc w:val="left"/>
            </w:pPr>
            <w:hyperlink w:anchor="S21o06" w:history="1">
              <w:r w:rsidR="000B33A8" w:rsidRPr="00B26E1F">
                <w:rPr>
                  <w:rStyle w:val="Collegamentoipertestuale"/>
                  <w:rFonts w:cs="Arial"/>
                </w:rPr>
                <w:t>Osservazione 6</w:t>
              </w:r>
            </w:hyperlink>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rPr>
              <w:t>Coordinamento interno del testo.</w:t>
            </w:r>
          </w:p>
        </w:tc>
      </w:tr>
      <w:tr w:rsidR="000B33A8" w:rsidRPr="003A04FD" w:rsidTr="002479C8">
        <w:trPr>
          <w:trHeight w:val="423"/>
        </w:trPr>
        <w:tc>
          <w:tcPr>
            <w:tcW w:w="2500" w:type="pct"/>
            <w:shd w:val="clear" w:color="auto" w:fill="auto"/>
          </w:tcPr>
          <w:p w:rsidR="000B33A8" w:rsidRPr="00B26E1F" w:rsidRDefault="00EB0878" w:rsidP="00B26E1F">
            <w:pPr>
              <w:keepNext/>
              <w:spacing w:before="100" w:beforeAutospacing="1" w:after="100" w:afterAutospacing="1"/>
              <w:ind w:firstLine="0"/>
              <w:jc w:val="left"/>
              <w:rPr>
                <w:rFonts w:cs="Arial"/>
              </w:rPr>
            </w:pPr>
            <w:hyperlink w:anchor="S21o07" w:history="1">
              <w:r w:rsidR="000B33A8" w:rsidRPr="00B26E1F">
                <w:rPr>
                  <w:rStyle w:val="Collegamentoipertestuale"/>
                  <w:rFonts w:cs="Arial"/>
                </w:rPr>
                <w:t>Osservazione 7</w:t>
              </w:r>
            </w:hyperlink>
          </w:p>
        </w:tc>
        <w:tc>
          <w:tcPr>
            <w:tcW w:w="2500" w:type="pct"/>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rPr>
              <w:t>Formulazione del testo.</w:t>
            </w:r>
          </w:p>
        </w:tc>
      </w:tr>
    </w:tbl>
    <w:p w:rsidR="000B33A8" w:rsidRDefault="000B33A8" w:rsidP="000B33A8"/>
    <w:p w:rsidR="000B33A8" w:rsidRPr="008B2DCE" w:rsidRDefault="000B33A8" w:rsidP="000B33A8">
      <w:pPr>
        <w:spacing w:before="100" w:beforeAutospacing="1" w:after="100" w:afterAutospacing="1" w:line="240" w:lineRule="auto"/>
        <w:ind w:firstLine="0"/>
        <w:jc w:val="left"/>
        <w:rPr>
          <w:rFonts w:cs="Arial"/>
          <w:sz w:val="24"/>
          <w:szCs w:val="24"/>
        </w:rPr>
      </w:pPr>
    </w:p>
    <w:tbl>
      <w:tblPr>
        <w:tblW w:w="5000" w:type="pct"/>
        <w:tblLook w:val="01E0" w:firstRow="1" w:lastRow="1" w:firstColumn="1" w:lastColumn="1" w:noHBand="0" w:noVBand="0"/>
      </w:tblPr>
      <w:tblGrid>
        <w:gridCol w:w="4190"/>
        <w:gridCol w:w="3962"/>
      </w:tblGrid>
      <w:tr w:rsidR="000B33A8" w:rsidRPr="00A33B28" w:rsidTr="002479C8">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lastRenderedPageBreak/>
              <w:t>Rilievi</w:t>
            </w:r>
          </w:p>
        </w:tc>
      </w:tr>
      <w:tr w:rsidR="000B33A8" w:rsidRPr="003A04FD" w:rsidTr="002479C8">
        <w:trPr>
          <w:trHeight w:val="423"/>
        </w:trPr>
        <w:tc>
          <w:tcPr>
            <w:tcW w:w="2570" w:type="pct"/>
            <w:tcBorders>
              <w:top w:val="nil"/>
              <w:left w:val="nil"/>
              <w:right w:val="nil"/>
            </w:tcBorders>
            <w:shd w:val="clear" w:color="auto" w:fill="auto"/>
          </w:tcPr>
          <w:p w:rsidR="000B33A8" w:rsidRDefault="00EB0878" w:rsidP="0041678A">
            <w:pPr>
              <w:keepNext/>
              <w:spacing w:before="100" w:beforeAutospacing="1" w:after="100" w:afterAutospacing="1"/>
              <w:ind w:firstLine="0"/>
              <w:jc w:val="left"/>
            </w:pPr>
            <w:hyperlink w:anchor="S21C" w:history="1">
              <w:r w:rsidR="000B33A8" w:rsidRPr="00DF4FA4">
                <w:rPr>
                  <w:rStyle w:val="Collegamentoipertestuale"/>
                </w:rPr>
                <w:t>C</w:t>
              </w:r>
            </w:hyperlink>
            <w:r w:rsidR="000B33A8">
              <w:t xml:space="preserve"> - Condizioni</w:t>
            </w:r>
          </w:p>
        </w:tc>
        <w:tc>
          <w:tcPr>
            <w:tcW w:w="2430" w:type="pct"/>
            <w:tcBorders>
              <w:top w:val="nil"/>
              <w:left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r w:rsidR="000B33A8" w:rsidRPr="003A04FD" w:rsidTr="002479C8">
        <w:trPr>
          <w:trHeight w:val="423"/>
        </w:trPr>
        <w:tc>
          <w:tcPr>
            <w:tcW w:w="2570" w:type="pct"/>
            <w:tcBorders>
              <w:top w:val="nil"/>
              <w:left w:val="nil"/>
              <w:right w:val="nil"/>
            </w:tcBorders>
            <w:shd w:val="clear" w:color="auto" w:fill="auto"/>
          </w:tcPr>
          <w:p w:rsidR="000B33A8" w:rsidRPr="003A04FD" w:rsidRDefault="00EB0878" w:rsidP="000B33A8">
            <w:pPr>
              <w:keepNext/>
              <w:spacing w:before="100" w:beforeAutospacing="1" w:after="100" w:afterAutospacing="1"/>
              <w:ind w:firstLine="0"/>
              <w:jc w:val="left"/>
              <w:rPr>
                <w:rFonts w:cs="Arial"/>
              </w:rPr>
            </w:pPr>
            <w:hyperlink w:anchor="S21O" w:history="1">
              <w:r w:rsidR="000B33A8" w:rsidRPr="00852C73">
                <w:rPr>
                  <w:rStyle w:val="Collegamentoipertestuale"/>
                  <w:rFonts w:cs="Arial"/>
                </w:rPr>
                <w:t>O</w:t>
              </w:r>
            </w:hyperlink>
            <w:r w:rsidR="000B33A8" w:rsidRPr="003A04FD">
              <w:rPr>
                <w:rFonts w:cs="Arial"/>
              </w:rPr>
              <w:t xml:space="preserve"> - Osservazioni</w:t>
            </w:r>
          </w:p>
        </w:tc>
        <w:tc>
          <w:tcPr>
            <w:tcW w:w="2430" w:type="pct"/>
            <w:tcBorders>
              <w:top w:val="nil"/>
              <w:left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rPr>
                <w:rFonts w:cs="Arial"/>
                <w:i/>
                <w:sz w:val="24"/>
              </w:rPr>
            </w:pPr>
            <w:r w:rsidRPr="00B26E1F">
              <w:rPr>
                <w:rFonts w:cs="Arial"/>
                <w:i/>
              </w:rPr>
              <w:t>Parere sull’AC 2617 (XVII – turno On. Taglialatela, Scheda 31, 11/12/2014).</w:t>
            </w:r>
          </w:p>
        </w:tc>
      </w:tr>
    </w:tbl>
    <w:p w:rsidR="000B33A8" w:rsidRDefault="000B33A8" w:rsidP="000B33A8">
      <w:pPr>
        <w:spacing w:before="100" w:beforeAutospacing="1" w:after="100" w:afterAutospacing="1" w:line="240" w:lineRule="auto"/>
        <w:ind w:firstLine="0"/>
        <w:jc w:val="left"/>
        <w:rPr>
          <w:rFonts w:cs="Arial"/>
          <w:sz w:val="24"/>
          <w:szCs w:val="24"/>
        </w:rPr>
      </w:pPr>
    </w:p>
    <w:p w:rsidR="000B33A8" w:rsidRPr="008B2DCE" w:rsidRDefault="000B33A8" w:rsidP="000B33A8">
      <w:pPr>
        <w:spacing w:before="100" w:beforeAutospacing="1" w:after="100" w:afterAutospacing="1" w:line="240" w:lineRule="auto"/>
        <w:ind w:firstLine="0"/>
        <w:jc w:val="left"/>
        <w:rPr>
          <w:rFonts w:cs="Arial"/>
          <w:sz w:val="24"/>
          <w:szCs w:val="24"/>
        </w:rPr>
      </w:pPr>
    </w:p>
    <w:p w:rsidR="000B33A8" w:rsidRPr="00B91F58" w:rsidRDefault="000B33A8" w:rsidP="000B33A8">
      <w:pPr>
        <w:spacing w:after="120"/>
        <w:rPr>
          <w:rFonts w:cs="Arial"/>
          <w:szCs w:val="22"/>
        </w:rPr>
      </w:pPr>
      <w:bookmarkStart w:id="551" w:name="S21a01"/>
      <w:r w:rsidRPr="00B91F58">
        <w:rPr>
          <w:rFonts w:cs="Arial"/>
          <w:szCs w:val="22"/>
        </w:rPr>
        <w:t>1 –</w:t>
      </w:r>
      <w:bookmarkEnd w:id="551"/>
      <w:r w:rsidRPr="00B91F58">
        <w:rPr>
          <w:rFonts w:cs="Arial"/>
          <w:szCs w:val="22"/>
        </w:rPr>
        <w:t xml:space="preserve"> </w:t>
      </w:r>
      <w:hyperlink w:anchor="premessa21" w:history="1">
        <w:r w:rsidRPr="00B91F58">
          <w:rPr>
            <w:rStyle w:val="Collegamentoipertestuale"/>
            <w:rFonts w:cs="Arial"/>
            <w:b/>
            <w:szCs w:val="22"/>
          </w:rPr>
          <w:t>Premessa</w:t>
        </w:r>
        <w:r w:rsidRPr="00B91F58">
          <w:rPr>
            <w:rStyle w:val="Collegamentoipertestuale"/>
            <w:rFonts w:cs="Arial"/>
            <w:szCs w:val="22"/>
          </w:rPr>
          <w:t>:</w:t>
        </w:r>
      </w:hyperlink>
      <w:r w:rsidRPr="005867AA">
        <w:rPr>
          <w:rStyle w:val="Collegamentoipertestuale"/>
          <w:rFonts w:cs="Arial"/>
          <w:szCs w:val="22"/>
        </w:rPr>
        <w:t xml:space="preserve"> </w:t>
      </w:r>
      <w:r w:rsidRPr="00B91F58">
        <w:rPr>
          <w:rFonts w:cs="Arial"/>
          <w:szCs w:val="22"/>
        </w:rPr>
        <w:t>«</w:t>
      </w:r>
      <w:r w:rsidRPr="00300F8D">
        <w:rPr>
          <w:rFonts w:cs="Arial"/>
          <w:szCs w:val="22"/>
        </w:rPr>
        <w:t xml:space="preserve">il disegno di legge, che si compone di un unico articolo suddiviso in 9 commi, reca un </w:t>
      </w:r>
      <w:r w:rsidRPr="00F45734">
        <w:rPr>
          <w:rFonts w:cs="Arial"/>
          <w:b/>
          <w:szCs w:val="22"/>
        </w:rPr>
        <w:t>contenuto omogeneo</w:t>
      </w:r>
      <w:r w:rsidRPr="00300F8D">
        <w:rPr>
          <w:rFonts w:cs="Arial"/>
          <w:szCs w:val="22"/>
        </w:rPr>
        <w:t>, essendo volto a delegare il Governo alla redazione di un nuovo codice dei contratti pubblici, al fine di recepire tre direttive europee di riordino della normativa dell'Unione europea in materia di concessioni e di appalti, nonché di riordinare la disciplina interna vigente in materia di contratti pubblici relativi a lavori, servizi e forniture</w:t>
      </w:r>
      <w:r w:rsidRPr="00B91F58">
        <w:rPr>
          <w:rFonts w:cs="Arial"/>
          <w:szCs w:val="22"/>
        </w:rPr>
        <w:t>»;</w:t>
      </w:r>
      <w:r>
        <w:rPr>
          <w:rFonts w:cs="Arial"/>
          <w:szCs w:val="22"/>
        </w:rPr>
        <w:t xml:space="preserve"> </w:t>
      </w:r>
    </w:p>
    <w:p w:rsidR="000B33A8" w:rsidRPr="00B91F58" w:rsidRDefault="000B33A8" w:rsidP="000B33A8">
      <w:pPr>
        <w:spacing w:after="120"/>
        <w:rPr>
          <w:rFonts w:cs="Arial"/>
          <w:szCs w:val="22"/>
        </w:rPr>
      </w:pPr>
    </w:p>
    <w:p w:rsidR="000B33A8" w:rsidRPr="00B91F58" w:rsidRDefault="000B33A8" w:rsidP="000B33A8">
      <w:pPr>
        <w:spacing w:after="120"/>
        <w:rPr>
          <w:rFonts w:cs="Arial"/>
          <w:szCs w:val="22"/>
        </w:rPr>
      </w:pPr>
    </w:p>
    <w:p w:rsidR="000B33A8" w:rsidRDefault="000B33A8" w:rsidP="000B33A8">
      <w:bookmarkStart w:id="552" w:name="S21a02"/>
      <w:r w:rsidRPr="00B91F58">
        <w:rPr>
          <w:rFonts w:cs="Arial"/>
          <w:szCs w:val="22"/>
        </w:rPr>
        <w:t>2 –</w:t>
      </w:r>
      <w:bookmarkEnd w:id="552"/>
      <w:r w:rsidRPr="00B91F58">
        <w:rPr>
          <w:rFonts w:cs="Arial"/>
          <w:szCs w:val="22"/>
        </w:rPr>
        <w:t xml:space="preserve"> </w:t>
      </w:r>
      <w:hyperlink w:anchor="premessa2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00F8D">
        <w:t xml:space="preserve">in relazione alla formulazione delle norme di delega, il disegno di legge contiene alcune disposizioni nelle quali </w:t>
      </w:r>
      <w:r w:rsidRPr="00F45734">
        <w:rPr>
          <w:b/>
        </w:rPr>
        <w:t>i principi e criteri direttivi</w:t>
      </w:r>
      <w:r w:rsidRPr="00300F8D">
        <w:t xml:space="preserve"> appaiono presentare elementi di </w:t>
      </w:r>
      <w:r w:rsidRPr="00F45734">
        <w:rPr>
          <w:b/>
        </w:rPr>
        <w:t>sovrapposizione con l'oggetto della delega</w:t>
      </w:r>
      <w:r w:rsidRPr="00300F8D">
        <w:t xml:space="preserve"> (si vedano le lettere </w:t>
      </w:r>
      <w:r w:rsidRPr="00300F8D">
        <w:rPr>
          <w:i/>
          <w:iCs/>
        </w:rPr>
        <w:t>e), f), i), m), p), t), ddd),</w:t>
      </w:r>
      <w:r w:rsidRPr="00300F8D">
        <w:t xml:space="preserve"> e</w:t>
      </w:r>
      <w:r w:rsidRPr="00300F8D">
        <w:rPr>
          <w:i/>
          <w:iCs/>
        </w:rPr>
        <w:t xml:space="preserve"> fff)</w:t>
      </w:r>
      <w:r w:rsidRPr="00300F8D">
        <w:t xml:space="preserve"> del comma 1)</w:t>
      </w:r>
      <w:r w:rsidRPr="00B91F58">
        <w:rPr>
          <w:rFonts w:cs="Arial"/>
          <w:szCs w:val="22"/>
        </w:rPr>
        <w:t>»</w:t>
      </w:r>
      <w:r>
        <w:rPr>
          <w:rFonts w:cs="Arial"/>
          <w:szCs w:val="22"/>
        </w:rPr>
        <w:t xml:space="preserve"> </w:t>
      </w:r>
      <w:r w:rsidRPr="00CB0FD6">
        <w:rPr>
          <w:rFonts w:cs="Arial"/>
          <w:szCs w:val="22"/>
        </w:rPr>
        <w:t>(</w:t>
      </w:r>
      <w:hyperlink w:anchor="S21o02" w:history="1">
        <w:r w:rsidRPr="00CB0FD6">
          <w:rPr>
            <w:rStyle w:val="Collegamentoipertestuale"/>
            <w:rFonts w:cs="Arial"/>
            <w:b/>
            <w:szCs w:val="22"/>
          </w:rPr>
          <w:t>conseguente osservazione</w:t>
        </w:r>
      </w:hyperlink>
      <w:r w:rsidRPr="00CB0FD6">
        <w:rPr>
          <w:rFonts w:cs="Arial"/>
          <w:szCs w:val="22"/>
        </w:rPr>
        <w:t>)</w:t>
      </w:r>
      <w:r w:rsidRPr="00CB0FD6">
        <w:t>;</w:t>
      </w:r>
      <w:r w:rsidRPr="00300F8D">
        <w:t xml:space="preserve"> </w:t>
      </w:r>
    </w:p>
    <w:p w:rsidR="000B33A8" w:rsidRDefault="000B33A8" w:rsidP="000B33A8"/>
    <w:p w:rsidR="000B33A8" w:rsidRDefault="000B33A8" w:rsidP="000B33A8"/>
    <w:p w:rsidR="000B33A8" w:rsidRPr="00B91F58" w:rsidRDefault="000B33A8" w:rsidP="000B33A8">
      <w:pPr>
        <w:rPr>
          <w:rFonts w:cs="Arial"/>
          <w:szCs w:val="22"/>
        </w:rPr>
      </w:pPr>
      <w:bookmarkStart w:id="553" w:name="S21a02a"/>
      <w:r w:rsidRPr="00320FA3">
        <w:t>2a</w:t>
      </w:r>
      <w:r>
        <w:t xml:space="preserve"> -</w:t>
      </w:r>
      <w:bookmarkEnd w:id="553"/>
      <w:r>
        <w:t xml:space="preserve"> </w:t>
      </w:r>
      <w:hyperlink w:anchor="premessa21" w:history="1">
        <w:r w:rsidRPr="00B91F58">
          <w:rPr>
            <w:rStyle w:val="Collegamentoipertestuale"/>
            <w:rFonts w:cs="Arial"/>
            <w:b/>
            <w:szCs w:val="22"/>
          </w:rPr>
          <w:t>Premessa</w:t>
        </w:r>
        <w:r w:rsidRPr="00B91F58">
          <w:rPr>
            <w:rStyle w:val="Collegamentoipertestuale"/>
            <w:rFonts w:cs="Arial"/>
            <w:szCs w:val="22"/>
          </w:rPr>
          <w:t>:</w:t>
        </w:r>
      </w:hyperlink>
      <w:r w:rsidRPr="005867AA">
        <w:rPr>
          <w:rStyle w:val="Collegamentoipertestuale"/>
          <w:rFonts w:cs="Arial"/>
          <w:szCs w:val="22"/>
        </w:rPr>
        <w:t xml:space="preserve"> </w:t>
      </w:r>
      <w:r w:rsidRPr="00B91F58">
        <w:rPr>
          <w:rFonts w:cs="Arial"/>
          <w:szCs w:val="22"/>
        </w:rPr>
        <w:t>«</w:t>
      </w:r>
      <w:r>
        <w:rPr>
          <w:rFonts w:cs="Arial"/>
          <w:szCs w:val="22"/>
        </w:rPr>
        <w:t>[il disegno di legge contiene]</w:t>
      </w:r>
      <w:r w:rsidRPr="00300F8D">
        <w:rPr>
          <w:rFonts w:cs="Arial"/>
          <w:szCs w:val="22"/>
        </w:rPr>
        <w:t xml:space="preserve"> </w:t>
      </w:r>
      <w:r w:rsidRPr="00300F8D">
        <w:t xml:space="preserve">disposizioni nelle quali i principi e criteri direttivi appaiono eccessivamente generici (ad esempio, la lettera </w:t>
      </w:r>
      <w:r w:rsidRPr="00300F8D">
        <w:rPr>
          <w:i/>
          <w:iCs/>
        </w:rPr>
        <w:t>o</w:t>
      </w:r>
      <w:r w:rsidRPr="00300F8D">
        <w:t xml:space="preserve">) del comma 1, che prevede l’“attribuzione all'ANAC di più ampie funzioni”, la lettera </w:t>
      </w:r>
      <w:r w:rsidRPr="00300F8D">
        <w:rPr>
          <w:i/>
          <w:iCs/>
        </w:rPr>
        <w:t>zz</w:t>
      </w:r>
      <w:r w:rsidRPr="00300F8D">
        <w:t xml:space="preserve">) del medesimo comma, che demanda al decreto legislativo la </w:t>
      </w:r>
      <w:r w:rsidRPr="00300F8D">
        <w:rPr>
          <w:i/>
          <w:iCs/>
        </w:rPr>
        <w:t>“previsione di criteri per le concessioni</w:t>
      </w:r>
      <w:r w:rsidRPr="00300F8D">
        <w:t>” e l'introduzione di “</w:t>
      </w:r>
      <w:r w:rsidRPr="00300F8D">
        <w:rPr>
          <w:i/>
          <w:iCs/>
        </w:rPr>
        <w:t>criteri volti a vincolare la concessione</w:t>
      </w:r>
      <w:r w:rsidRPr="00300F8D">
        <w:t xml:space="preserve">”, e la lettera </w:t>
      </w:r>
      <w:r w:rsidRPr="00300F8D">
        <w:rPr>
          <w:i/>
          <w:iCs/>
        </w:rPr>
        <w:t>ggg)</w:t>
      </w:r>
      <w:r w:rsidRPr="00300F8D">
        <w:t xml:space="preserve"> del medesimo comma 1 che, in merito all'impatto sull'ambiente o sul territorio di grandi progetti infrastrutturali, delega il Governo a prevedere “</w:t>
      </w:r>
      <w:r w:rsidRPr="00300F8D">
        <w:rPr>
          <w:i/>
          <w:iCs/>
        </w:rPr>
        <w:t>una procedura di acquisizione dei consensi tecnici e amministrativi per realizzare un'opera che sia semplice, vincolante e non modificabile nel tempo</w:t>
      </w:r>
      <w:r w:rsidRPr="00300F8D">
        <w:t>”)</w:t>
      </w:r>
      <w:r w:rsidRPr="00B91F58">
        <w:rPr>
          <w:rFonts w:cs="Arial"/>
          <w:szCs w:val="22"/>
        </w:rPr>
        <w:t>»</w:t>
      </w:r>
      <w:r>
        <w:rPr>
          <w:rFonts w:cs="Arial"/>
          <w:szCs w:val="22"/>
        </w:rPr>
        <w:t xml:space="preserve"> </w:t>
      </w:r>
      <w:r w:rsidRPr="00CB0FD6">
        <w:rPr>
          <w:rFonts w:cs="Arial"/>
          <w:szCs w:val="22"/>
        </w:rPr>
        <w:t>(</w:t>
      </w:r>
      <w:hyperlink w:anchor="S21o03" w:history="1">
        <w:r w:rsidRPr="00CB0FD6">
          <w:rPr>
            <w:rStyle w:val="Collegamentoipertestuale"/>
            <w:rFonts w:cs="Arial"/>
            <w:b/>
            <w:szCs w:val="22"/>
          </w:rPr>
          <w:t>conseguente osservazione</w:t>
        </w:r>
      </w:hyperlink>
      <w:r w:rsidRPr="00CB0FD6">
        <w:rPr>
          <w:rFonts w:cs="Arial"/>
          <w:szCs w:val="22"/>
        </w:rPr>
        <w:t>);</w:t>
      </w:r>
      <w:r>
        <w:rPr>
          <w:rFonts w:cs="Arial"/>
          <w:szCs w:val="22"/>
        </w:rPr>
        <w:t xml:space="preserve"> </w:t>
      </w:r>
    </w:p>
    <w:p w:rsidR="000B33A8" w:rsidRPr="00B91F58" w:rsidRDefault="000B33A8" w:rsidP="000B33A8">
      <w:pPr>
        <w:spacing w:before="100" w:beforeAutospacing="1" w:after="100" w:afterAutospacing="1" w:line="240" w:lineRule="auto"/>
        <w:ind w:firstLine="0"/>
        <w:jc w:val="left"/>
        <w:rPr>
          <w:rFonts w:cs="Arial"/>
          <w:szCs w:val="22"/>
        </w:rPr>
      </w:pPr>
    </w:p>
    <w:p w:rsidR="000B33A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after="120"/>
        <w:rPr>
          <w:rFonts w:cs="Arial"/>
          <w:szCs w:val="22"/>
        </w:rPr>
      </w:pPr>
      <w:bookmarkStart w:id="554" w:name="S21a02b"/>
      <w:r>
        <w:rPr>
          <w:rFonts w:cs="Arial"/>
          <w:szCs w:val="22"/>
        </w:rPr>
        <w:lastRenderedPageBreak/>
        <w:t>2b</w:t>
      </w:r>
      <w:r w:rsidRPr="00B91F58">
        <w:rPr>
          <w:rFonts w:cs="Arial"/>
          <w:szCs w:val="22"/>
        </w:rPr>
        <w:t xml:space="preserve"> –</w:t>
      </w:r>
      <w:bookmarkEnd w:id="554"/>
      <w:r w:rsidRPr="00B91F58">
        <w:rPr>
          <w:rFonts w:cs="Arial"/>
          <w:szCs w:val="22"/>
        </w:rPr>
        <w:t xml:space="preserve"> </w:t>
      </w:r>
      <w:hyperlink w:anchor="premessa21" w:history="1">
        <w:r w:rsidRPr="00B91F58">
          <w:rPr>
            <w:rStyle w:val="Collegamentoipertestuale"/>
            <w:rFonts w:cs="Arial"/>
            <w:b/>
            <w:szCs w:val="22"/>
          </w:rPr>
          <w:t>Premessa</w:t>
        </w:r>
        <w:r w:rsidRPr="00B91F58">
          <w:rPr>
            <w:rStyle w:val="Collegamentoipertestuale"/>
            <w:rFonts w:cs="Arial"/>
            <w:szCs w:val="22"/>
          </w:rPr>
          <w:t>:</w:t>
        </w:r>
      </w:hyperlink>
      <w:r w:rsidRPr="005867AA">
        <w:rPr>
          <w:rStyle w:val="Collegamentoipertestuale"/>
          <w:rFonts w:cs="Arial"/>
          <w:szCs w:val="22"/>
        </w:rPr>
        <w:t xml:space="preserve"> </w:t>
      </w:r>
      <w:r w:rsidRPr="00B91F58">
        <w:rPr>
          <w:rFonts w:cs="Arial"/>
          <w:szCs w:val="22"/>
        </w:rPr>
        <w:t>«</w:t>
      </w:r>
      <w:r>
        <w:rPr>
          <w:rFonts w:cs="Arial"/>
          <w:szCs w:val="22"/>
        </w:rPr>
        <w:t>[il disegno di legge contiene]</w:t>
      </w:r>
      <w:r w:rsidRPr="00300F8D">
        <w:rPr>
          <w:rFonts w:cs="Arial"/>
          <w:szCs w:val="22"/>
        </w:rPr>
        <w:t xml:space="preserve"> disposizioni nelle quali i </w:t>
      </w:r>
      <w:r w:rsidRPr="00F45734">
        <w:rPr>
          <w:rFonts w:cs="Arial"/>
          <w:b/>
          <w:szCs w:val="22"/>
        </w:rPr>
        <w:t>principi e criteri direttivi sono indicati in termini di finalità della delega</w:t>
      </w:r>
      <w:r w:rsidRPr="00300F8D">
        <w:rPr>
          <w:rFonts w:cs="Arial"/>
          <w:szCs w:val="22"/>
        </w:rPr>
        <w:t xml:space="preserve"> (si vedano, ad esempio, le lettere </w:t>
      </w:r>
      <w:r w:rsidRPr="00300F8D">
        <w:rPr>
          <w:rFonts w:cs="Arial"/>
          <w:i/>
          <w:iCs/>
          <w:szCs w:val="22"/>
        </w:rPr>
        <w:t xml:space="preserve">b), c), d) </w:t>
      </w:r>
      <w:r w:rsidRPr="00300F8D">
        <w:rPr>
          <w:rFonts w:cs="Arial"/>
          <w:szCs w:val="22"/>
        </w:rPr>
        <w:t xml:space="preserve">e </w:t>
      </w:r>
      <w:r w:rsidRPr="00300F8D">
        <w:rPr>
          <w:rFonts w:cs="Arial"/>
          <w:i/>
          <w:iCs/>
          <w:szCs w:val="22"/>
        </w:rPr>
        <w:t>u)</w:t>
      </w:r>
      <w:r w:rsidRPr="00300F8D">
        <w:rPr>
          <w:rFonts w:cs="Arial"/>
          <w:szCs w:val="22"/>
        </w:rPr>
        <w:t xml:space="preserve"> del comma 1), con la conseguenza che, nelle suddette fattispecie, risulta oltremodo dilatato l'orizzonte della scelta discrezionale del Governo</w:t>
      </w:r>
      <w:r w:rsidRPr="00B91F58">
        <w:rPr>
          <w:rFonts w:cs="Arial"/>
          <w:szCs w:val="22"/>
        </w:rPr>
        <w:t>»</w:t>
      </w:r>
      <w:r>
        <w:rPr>
          <w:rFonts w:cs="Arial"/>
          <w:szCs w:val="22"/>
        </w:rPr>
        <w:t xml:space="preserve"> (</w:t>
      </w:r>
      <w:hyperlink w:anchor="S21o03" w:history="1">
        <w:r w:rsidRPr="006649D0">
          <w:rPr>
            <w:rStyle w:val="Collegamentoipertestuale"/>
            <w:rFonts w:cs="Arial"/>
            <w:b/>
            <w:szCs w:val="22"/>
          </w:rPr>
          <w:t>conseguente osservazione</w:t>
        </w:r>
      </w:hyperlink>
      <w:r>
        <w:rPr>
          <w:rFonts w:cs="Arial"/>
          <w:szCs w:val="22"/>
        </w:rPr>
        <w:t xml:space="preserve">); </w:t>
      </w:r>
    </w:p>
    <w:p w:rsidR="000B33A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spacing w:before="100" w:beforeAutospacing="1" w:after="100" w:afterAutospacing="1" w:line="240" w:lineRule="auto"/>
        <w:ind w:firstLine="0"/>
        <w:jc w:val="left"/>
        <w:rPr>
          <w:rFonts w:cs="Arial"/>
          <w:szCs w:val="22"/>
        </w:rPr>
      </w:pPr>
    </w:p>
    <w:p w:rsidR="000B33A8" w:rsidRPr="00B91F58" w:rsidRDefault="000B33A8" w:rsidP="000B33A8">
      <w:pPr>
        <w:rPr>
          <w:rFonts w:cs="Arial"/>
          <w:szCs w:val="22"/>
        </w:rPr>
      </w:pPr>
      <w:bookmarkStart w:id="555" w:name="S21a03"/>
      <w:r w:rsidRPr="00B91F58">
        <w:rPr>
          <w:rFonts w:cs="Arial"/>
          <w:szCs w:val="22"/>
        </w:rPr>
        <w:t>3 –</w:t>
      </w:r>
      <w:bookmarkEnd w:id="555"/>
      <w:r w:rsidRPr="00B91F58">
        <w:rPr>
          <w:rFonts w:cs="Arial"/>
          <w:szCs w:val="22"/>
        </w:rPr>
        <w:t xml:space="preserve"> </w:t>
      </w:r>
      <w:hyperlink w:anchor="premessa2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F45734">
        <w:rPr>
          <w:rFonts w:cs="Arial"/>
          <w:szCs w:val="22"/>
        </w:rPr>
        <w:t xml:space="preserve">alcuni dei </w:t>
      </w:r>
      <w:r w:rsidRPr="00F45734">
        <w:rPr>
          <w:rFonts w:cs="Arial"/>
          <w:b/>
          <w:szCs w:val="22"/>
        </w:rPr>
        <w:t>principi e criteri direttivi</w:t>
      </w:r>
      <w:r w:rsidRPr="00F45734">
        <w:rPr>
          <w:rFonts w:cs="Arial"/>
          <w:szCs w:val="22"/>
        </w:rPr>
        <w:t xml:space="preserve"> della delega enucleati al comma 1 contengono inoltre clausole delle quali andrebbe valutata la </w:t>
      </w:r>
      <w:r w:rsidRPr="00F45734">
        <w:rPr>
          <w:rFonts w:cs="Arial"/>
          <w:b/>
          <w:szCs w:val="22"/>
        </w:rPr>
        <w:t>portata normativa</w:t>
      </w:r>
      <w:r w:rsidRPr="00F45734">
        <w:rPr>
          <w:rFonts w:cs="Arial"/>
          <w:szCs w:val="22"/>
        </w:rPr>
        <w:t xml:space="preserve">: ad esempio, Pag. 11la lettera </w:t>
      </w:r>
      <w:r w:rsidRPr="00F45734">
        <w:rPr>
          <w:rFonts w:cs="Arial"/>
          <w:i/>
          <w:iCs/>
          <w:szCs w:val="22"/>
        </w:rPr>
        <w:t>b)</w:t>
      </w:r>
      <w:r w:rsidRPr="00F45734">
        <w:rPr>
          <w:rFonts w:cs="Arial"/>
          <w:szCs w:val="22"/>
        </w:rPr>
        <w:t xml:space="preserve"> richiede che sia garantito “</w:t>
      </w:r>
      <w:r w:rsidRPr="00F45734">
        <w:rPr>
          <w:rFonts w:cs="Arial"/>
          <w:i/>
          <w:iCs/>
          <w:szCs w:val="22"/>
        </w:rPr>
        <w:t>l'effettivo coordinamento e l'ordinata transizione tra la previgente e la nuova disciplina</w:t>
      </w:r>
      <w:r w:rsidRPr="00F45734">
        <w:rPr>
          <w:rFonts w:cs="Arial"/>
          <w:szCs w:val="22"/>
        </w:rPr>
        <w:t xml:space="preserve">”, analogamente, la lettera </w:t>
      </w:r>
      <w:r w:rsidRPr="00F45734">
        <w:rPr>
          <w:rFonts w:cs="Arial"/>
          <w:i/>
          <w:iCs/>
          <w:szCs w:val="22"/>
        </w:rPr>
        <w:t>mmm)</w:t>
      </w:r>
      <w:r w:rsidRPr="00F45734">
        <w:rPr>
          <w:rFonts w:cs="Arial"/>
          <w:szCs w:val="22"/>
        </w:rPr>
        <w:t xml:space="preserve"> richiama la necessità di un “</w:t>
      </w:r>
      <w:r w:rsidRPr="00F45734">
        <w:rPr>
          <w:rFonts w:cs="Arial"/>
          <w:i/>
          <w:iCs/>
          <w:szCs w:val="22"/>
        </w:rPr>
        <w:t>ordinato passaggio tra la previgente e la nuova disciplina</w:t>
      </w:r>
      <w:r w:rsidRPr="00F45734">
        <w:rPr>
          <w:rFonts w:cs="Arial"/>
          <w:szCs w:val="22"/>
        </w:rPr>
        <w:t xml:space="preserve">”; altre disposizioni richiedono poi il rispetto della vigente normativa statale (lettera </w:t>
      </w:r>
      <w:r w:rsidRPr="00F45734">
        <w:rPr>
          <w:rFonts w:cs="Arial"/>
          <w:i/>
          <w:iCs/>
          <w:szCs w:val="22"/>
        </w:rPr>
        <w:t>h</w:t>
      </w:r>
      <w:r w:rsidRPr="00F45734">
        <w:rPr>
          <w:rFonts w:cs="Arial"/>
          <w:szCs w:val="22"/>
        </w:rPr>
        <w:t xml:space="preserve">), della normativa di rango costituzionale (lettera </w:t>
      </w:r>
      <w:r w:rsidRPr="00F45734">
        <w:rPr>
          <w:rFonts w:cs="Arial"/>
          <w:i/>
          <w:iCs/>
          <w:szCs w:val="22"/>
        </w:rPr>
        <w:t>v</w:t>
      </w:r>
      <w:r w:rsidRPr="00F45734">
        <w:rPr>
          <w:rFonts w:cs="Arial"/>
          <w:szCs w:val="22"/>
        </w:rPr>
        <w:t xml:space="preserve">), del diritto europeo (lettere </w:t>
      </w:r>
      <w:r w:rsidRPr="00F45734">
        <w:rPr>
          <w:rFonts w:cs="Arial"/>
          <w:i/>
          <w:iCs/>
          <w:szCs w:val="22"/>
        </w:rPr>
        <w:t>ss</w:t>
      </w:r>
      <w:r w:rsidRPr="00F45734">
        <w:rPr>
          <w:rFonts w:cs="Arial"/>
          <w:szCs w:val="22"/>
        </w:rPr>
        <w:t xml:space="preserve">), </w:t>
      </w:r>
      <w:r w:rsidRPr="00F45734">
        <w:rPr>
          <w:rFonts w:cs="Arial"/>
          <w:i/>
          <w:iCs/>
          <w:szCs w:val="22"/>
        </w:rPr>
        <w:t>uu)</w:t>
      </w:r>
      <w:r w:rsidRPr="00F45734">
        <w:rPr>
          <w:rFonts w:cs="Arial"/>
          <w:szCs w:val="22"/>
        </w:rPr>
        <w:t xml:space="preserve"> e </w:t>
      </w:r>
      <w:r w:rsidRPr="00F45734">
        <w:rPr>
          <w:rFonts w:cs="Arial"/>
          <w:i/>
          <w:iCs/>
          <w:szCs w:val="22"/>
        </w:rPr>
        <w:t>aaa)</w:t>
      </w:r>
      <w:r w:rsidRPr="00F45734">
        <w:rPr>
          <w:rFonts w:cs="Arial"/>
          <w:szCs w:val="22"/>
        </w:rPr>
        <w:t xml:space="preserve">, o dei principi dell'Unione europea (lettera </w:t>
      </w:r>
      <w:r w:rsidRPr="00F45734">
        <w:rPr>
          <w:rFonts w:cs="Arial"/>
          <w:i/>
          <w:iCs/>
          <w:szCs w:val="22"/>
        </w:rPr>
        <w:t>oo</w:t>
      </w:r>
      <w:r w:rsidRPr="00F45734">
        <w:rPr>
          <w:rFonts w:cs="Arial"/>
          <w:szCs w:val="22"/>
        </w:rPr>
        <w:t>)</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556" w:name="S21a04"/>
      <w:r>
        <w:rPr>
          <w:rFonts w:cs="Arial"/>
          <w:szCs w:val="22"/>
        </w:rPr>
        <w:t>4</w:t>
      </w:r>
      <w:r w:rsidRPr="00B91F58">
        <w:rPr>
          <w:rFonts w:cs="Arial"/>
          <w:szCs w:val="22"/>
        </w:rPr>
        <w:t xml:space="preserve"> –</w:t>
      </w:r>
      <w:bookmarkEnd w:id="556"/>
      <w:r w:rsidRPr="00B91F58">
        <w:rPr>
          <w:rFonts w:cs="Arial"/>
          <w:szCs w:val="22"/>
        </w:rPr>
        <w:t xml:space="preserve"> </w:t>
      </w:r>
      <w:hyperlink w:anchor="premessa2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F45734">
        <w:rPr>
          <w:rFonts w:cs="Arial"/>
          <w:szCs w:val="22"/>
        </w:rPr>
        <w:t xml:space="preserve">quanto alla </w:t>
      </w:r>
      <w:r w:rsidRPr="00F45734">
        <w:rPr>
          <w:rFonts w:cs="Arial"/>
          <w:b/>
          <w:szCs w:val="22"/>
        </w:rPr>
        <w:t>procedura delineata per l'esercizio della delega</w:t>
      </w:r>
      <w:r w:rsidRPr="00F45734">
        <w:rPr>
          <w:rFonts w:cs="Arial"/>
          <w:szCs w:val="22"/>
        </w:rPr>
        <w:t>, il comma 3, quarto periodo, prevede che il Governo, qualora non intenda conformarsi ai pareri parlamentari, ritrasmetta il testo alle Camere con le proprie osservazioni e con eventuali modificazioni e renda comunicazioni innanzi alle relative Assemblee, al termine delle quali potrebbero approvare apposite risoluzioni parlamentari: per tale ragione, non appare chiara la formulazione della norma laddove reca l'inciso “</w:t>
      </w:r>
      <w:r w:rsidRPr="00F45734">
        <w:rPr>
          <w:rFonts w:cs="Arial"/>
          <w:i/>
          <w:iCs/>
          <w:szCs w:val="22"/>
        </w:rPr>
        <w:t>anche in mancanza di nuovo parere</w:t>
      </w:r>
      <w:r w:rsidRPr="00F45734">
        <w:rPr>
          <w:rFonts w:cs="Arial"/>
          <w:szCs w:val="22"/>
        </w:rPr>
        <w:t>”, posto che la procedura delineata non contempla l'espressione di un secondo parere parlamentare</w:t>
      </w:r>
      <w:r w:rsidRPr="00B91F58">
        <w:rPr>
          <w:rFonts w:cs="Arial"/>
          <w:szCs w:val="22"/>
        </w:rPr>
        <w:t>»</w:t>
      </w:r>
      <w:r>
        <w:rPr>
          <w:rFonts w:cs="Arial"/>
          <w:szCs w:val="22"/>
        </w:rPr>
        <w:t xml:space="preserve"> (</w:t>
      </w:r>
      <w:hyperlink w:anchor="S21c03" w:history="1">
        <w:r>
          <w:rPr>
            <w:rStyle w:val="Collegamentoipertestuale"/>
            <w:rFonts w:cs="Arial"/>
            <w:b/>
            <w:szCs w:val="22"/>
          </w:rPr>
          <w:t>conseguente condizione</w:t>
        </w:r>
      </w:hyperlink>
      <w:r>
        <w:rPr>
          <w:rFonts w:cs="Arial"/>
          <w:szCs w:val="22"/>
        </w:rPr>
        <w:t>);</w:t>
      </w:r>
    </w:p>
    <w:p w:rsidR="000B33A8" w:rsidRDefault="000B33A8" w:rsidP="000B33A8">
      <w:pPr>
        <w:spacing w:after="120"/>
        <w:rPr>
          <w:rFonts w:cs="Arial"/>
          <w:szCs w:val="22"/>
        </w:rPr>
      </w:pPr>
    </w:p>
    <w:p w:rsidR="000B33A8" w:rsidRDefault="000B33A8" w:rsidP="000B33A8">
      <w:pPr>
        <w:spacing w:after="120"/>
        <w:rPr>
          <w:rFonts w:cs="Arial"/>
          <w:szCs w:val="22"/>
        </w:rPr>
      </w:pPr>
    </w:p>
    <w:p w:rsidR="000B33A8" w:rsidRPr="00B91F58" w:rsidRDefault="000B33A8" w:rsidP="000B33A8">
      <w:pPr>
        <w:spacing w:after="120"/>
        <w:rPr>
          <w:rFonts w:cs="Arial"/>
          <w:szCs w:val="22"/>
        </w:rPr>
      </w:pPr>
      <w:bookmarkStart w:id="557" w:name="S21a05"/>
      <w:r>
        <w:rPr>
          <w:rFonts w:cs="Arial"/>
          <w:szCs w:val="22"/>
        </w:rPr>
        <w:t>5 -</w:t>
      </w:r>
      <w:bookmarkEnd w:id="557"/>
      <w:r w:rsidRPr="00B91F58">
        <w:rPr>
          <w:rFonts w:cs="Arial"/>
          <w:szCs w:val="22"/>
        </w:rPr>
        <w:t xml:space="preserve"> </w:t>
      </w:r>
      <w:hyperlink w:anchor="premessa21"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F45734">
        <w:rPr>
          <w:rFonts w:cs="Arial"/>
          <w:szCs w:val="22"/>
        </w:rPr>
        <w:t xml:space="preserve">con riferimento al computo dei </w:t>
      </w:r>
      <w:r w:rsidRPr="00F45734">
        <w:rPr>
          <w:rFonts w:cs="Arial"/>
          <w:b/>
          <w:szCs w:val="22"/>
        </w:rPr>
        <w:t>termini per l'esercizio della delega</w:t>
      </w:r>
      <w:r w:rsidRPr="00F45734">
        <w:rPr>
          <w:rFonts w:cs="Arial"/>
          <w:szCs w:val="22"/>
        </w:rPr>
        <w:t>, l'ultimo periodo del comma 3 richiama la previsione di carattere generale contenuta nell'articolo 31, comma 3, della legge n.</w:t>
      </w:r>
      <w:r>
        <w:rPr>
          <w:rFonts w:cs="Arial"/>
          <w:szCs w:val="22"/>
        </w:rPr>
        <w:t xml:space="preserve"> </w:t>
      </w:r>
      <w:r w:rsidRPr="00F45734">
        <w:rPr>
          <w:rFonts w:cs="Arial"/>
          <w:szCs w:val="22"/>
        </w:rPr>
        <w:t xml:space="preserve">234 del 2012, a norma del quale se il termine per l'espressione del parere parlamentare scade nei trenta giorni che precedono la scadenza dei termini di delega o successivamente, questi ultimi sono prorogati di tre mesi, secondo un meccanismo che non permette di individuare il termine per l'esercizio della delega in modo univoco; a tale proposito, si segnala che, secondo una costante linea di indirizzo, il Comitato per la legislazione nei propri pareri, ha sempre segnalato che “appare opportuno individuare univocamente i termini per l'esercizio della delega principale e di </w:t>
      </w:r>
      <w:r w:rsidRPr="00F45734">
        <w:rPr>
          <w:rFonts w:cs="Arial"/>
          <w:szCs w:val="22"/>
        </w:rPr>
        <w:lastRenderedPageBreak/>
        <w:t xml:space="preserve">quelle integrative e correttive, rinunziando alla cosiddetta ‘tecnica dello scorrimento‘” e che, </w:t>
      </w:r>
      <w:r w:rsidRPr="00F45734">
        <w:rPr>
          <w:rFonts w:cs="Arial"/>
          <w:b/>
          <w:szCs w:val="22"/>
        </w:rPr>
        <w:t xml:space="preserve">nell'esame del disegno di legge C. 2617 </w:t>
      </w:r>
      <w:r w:rsidRPr="00F45734">
        <w:rPr>
          <w:rFonts w:cs="Arial"/>
          <w:szCs w:val="22"/>
        </w:rPr>
        <w:t>(delega per la riforma del terzo settore), dopo che il Comitato aveva posto una condizione in tal senso, l'Assemblea della Camera ha approvato, il 1</w:t>
      </w:r>
      <w:r w:rsidRPr="00F45734">
        <w:rPr>
          <w:rFonts w:cs="Arial"/>
          <w:szCs w:val="22"/>
          <w:vertAlign w:val="superscript"/>
        </w:rPr>
        <w:t>o</w:t>
      </w:r>
      <w:r w:rsidRPr="00F45734">
        <w:rPr>
          <w:rFonts w:cs="Arial"/>
          <w:szCs w:val="22"/>
        </w:rPr>
        <w:t xml:space="preserve"> aprile 2015, un emendamento all'articolo 1, comma 6, del disegno di legge, che ha previsto, in luogo dello scorrimento del termine di delega, un termine univoco entro il quale il Governo deve trasmettere alle Camere gli schemi dei decreti legislativi, pena l'inefficacia della delega</w:t>
      </w:r>
      <w:r w:rsidRPr="00B91F58">
        <w:rPr>
          <w:rFonts w:cs="Arial"/>
          <w:szCs w:val="22"/>
        </w:rPr>
        <w:t>»</w:t>
      </w:r>
      <w:r>
        <w:rPr>
          <w:rFonts w:cs="Arial"/>
          <w:szCs w:val="22"/>
        </w:rPr>
        <w:t xml:space="preserve"> (</w:t>
      </w:r>
      <w:hyperlink w:anchor="S21c04" w:history="1">
        <w:r>
          <w:rPr>
            <w:rStyle w:val="Collegamentoipertestuale"/>
            <w:rFonts w:cs="Arial"/>
            <w:b/>
            <w:szCs w:val="22"/>
          </w:rPr>
          <w:t>conseguente condizione</w:t>
        </w:r>
      </w:hyperlink>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558" w:name="S21a06"/>
      <w:r>
        <w:rPr>
          <w:rFonts w:cs="Arial"/>
          <w:szCs w:val="22"/>
        </w:rPr>
        <w:t>6</w:t>
      </w:r>
      <w:r w:rsidRPr="00B91F58">
        <w:rPr>
          <w:rFonts w:cs="Arial"/>
          <w:szCs w:val="22"/>
        </w:rPr>
        <w:t xml:space="preserve"> –</w:t>
      </w:r>
      <w:bookmarkEnd w:id="558"/>
      <w:r w:rsidRPr="00B91F58">
        <w:rPr>
          <w:rFonts w:cs="Arial"/>
          <w:szCs w:val="22"/>
        </w:rPr>
        <w:t xml:space="preserve"> </w:t>
      </w:r>
      <w:hyperlink w:anchor="premessa21" w:history="1">
        <w:r w:rsidRPr="00B91F58">
          <w:rPr>
            <w:rStyle w:val="Collegamentoipertestuale"/>
            <w:rFonts w:cs="Arial"/>
            <w:b/>
            <w:szCs w:val="22"/>
          </w:rPr>
          <w:t>Premessa</w:t>
        </w:r>
        <w:r w:rsidRPr="00B91F58">
          <w:rPr>
            <w:rStyle w:val="Collegamentoipertestuale"/>
            <w:rFonts w:cs="Arial"/>
            <w:szCs w:val="22"/>
          </w:rPr>
          <w:t>:</w:t>
        </w:r>
      </w:hyperlink>
      <w:r w:rsidRPr="005867AA">
        <w:rPr>
          <w:rStyle w:val="Collegamentoipertestuale"/>
          <w:rFonts w:cs="Arial"/>
          <w:szCs w:val="22"/>
        </w:rPr>
        <w:t xml:space="preserve"> </w:t>
      </w:r>
      <w:r w:rsidRPr="00B91F58">
        <w:rPr>
          <w:rFonts w:cs="Arial"/>
          <w:szCs w:val="22"/>
        </w:rPr>
        <w:t>«</w:t>
      </w:r>
      <w:r w:rsidRPr="00F45734">
        <w:rPr>
          <w:rFonts w:cs="Arial"/>
          <w:szCs w:val="22"/>
        </w:rPr>
        <w:t xml:space="preserve">alcuni dei </w:t>
      </w:r>
      <w:r w:rsidRPr="00F45734">
        <w:rPr>
          <w:rFonts w:cs="Arial"/>
          <w:b/>
          <w:szCs w:val="22"/>
        </w:rPr>
        <w:t>principi e criteri direttivi</w:t>
      </w:r>
      <w:r w:rsidRPr="00F45734">
        <w:rPr>
          <w:rFonts w:cs="Arial"/>
          <w:szCs w:val="22"/>
        </w:rPr>
        <w:t xml:space="preserve"> (ad esempio, quelli contenuti all'articolo 1, comma 1, lettere </w:t>
      </w:r>
      <w:r w:rsidRPr="00F45734">
        <w:rPr>
          <w:rFonts w:cs="Arial"/>
          <w:i/>
          <w:iCs/>
          <w:szCs w:val="22"/>
        </w:rPr>
        <w:t>q</w:t>
      </w:r>
      <w:r w:rsidRPr="00F45734">
        <w:rPr>
          <w:rFonts w:cs="Arial"/>
          <w:szCs w:val="22"/>
        </w:rPr>
        <w:t xml:space="preserve">) e </w:t>
      </w:r>
      <w:r w:rsidRPr="00F45734">
        <w:rPr>
          <w:rFonts w:cs="Arial"/>
          <w:i/>
          <w:iCs/>
          <w:szCs w:val="22"/>
        </w:rPr>
        <w:t>lll)</w:t>
      </w:r>
      <w:r w:rsidRPr="00F45734">
        <w:rPr>
          <w:rFonts w:cs="Arial"/>
          <w:szCs w:val="22"/>
        </w:rPr>
        <w:t xml:space="preserve">, che autorizzano il Governo ad emanare un nuovo regolamento di attuazione ed esecuzione del nuovo codice, che disponga, in particolare, “la determinazione annuale dei costi standardizzati per tipo di lavori, di servizi e di fornitura”) recano in realtà </w:t>
      </w:r>
      <w:r w:rsidRPr="00F45734">
        <w:rPr>
          <w:rFonts w:cs="Arial"/>
          <w:b/>
          <w:szCs w:val="22"/>
        </w:rPr>
        <w:t xml:space="preserve">norme di immediata applicazione </w:t>
      </w:r>
      <w:r w:rsidRPr="00F45734">
        <w:rPr>
          <w:rFonts w:cs="Arial"/>
          <w:szCs w:val="22"/>
        </w:rPr>
        <w:t xml:space="preserve">e riguardano </w:t>
      </w:r>
      <w:r w:rsidRPr="00F45734">
        <w:rPr>
          <w:rFonts w:cs="Arial"/>
          <w:b/>
          <w:szCs w:val="22"/>
        </w:rPr>
        <w:t>adempimenti ulteriori</w:t>
      </w:r>
      <w:r w:rsidRPr="00F45734">
        <w:rPr>
          <w:rFonts w:cs="Arial"/>
          <w:szCs w:val="22"/>
        </w:rPr>
        <w:t xml:space="preserve"> rispetto all'esercizio della delega e potrebbero essere ricollocate al di fuori dei principi e criteri direttivi di delega, tra le disposizioni di immediata applicazione, e, in particolare, al comma 6, con il quale fanno sistema</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559" w:name="S21a07"/>
      <w:r>
        <w:rPr>
          <w:rFonts w:cs="Arial"/>
          <w:szCs w:val="22"/>
        </w:rPr>
        <w:t>7</w:t>
      </w:r>
      <w:r w:rsidRPr="00B91F58">
        <w:rPr>
          <w:rFonts w:cs="Arial"/>
          <w:szCs w:val="22"/>
        </w:rPr>
        <w:t xml:space="preserve"> –</w:t>
      </w:r>
      <w:bookmarkEnd w:id="559"/>
      <w:r w:rsidRPr="00B91F58">
        <w:rPr>
          <w:rFonts w:cs="Arial"/>
          <w:szCs w:val="22"/>
        </w:rPr>
        <w:t xml:space="preserve"> </w:t>
      </w:r>
      <w:hyperlink w:anchor="premessa21" w:history="1">
        <w:r w:rsidRPr="00B91F58">
          <w:rPr>
            <w:rStyle w:val="Collegamentoipertestuale"/>
            <w:rFonts w:cs="Arial"/>
            <w:b/>
            <w:szCs w:val="22"/>
          </w:rPr>
          <w:t>Premessa</w:t>
        </w:r>
        <w:r w:rsidRPr="00B91F58">
          <w:rPr>
            <w:rStyle w:val="Collegamentoipertestuale"/>
            <w:rFonts w:cs="Arial"/>
            <w:szCs w:val="22"/>
          </w:rPr>
          <w:t>:</w:t>
        </w:r>
      </w:hyperlink>
      <w:r w:rsidRPr="005867AA">
        <w:rPr>
          <w:rStyle w:val="Collegamentoipertestuale"/>
          <w:rFonts w:cs="Arial"/>
          <w:szCs w:val="22"/>
        </w:rPr>
        <w:t xml:space="preserve"> </w:t>
      </w:r>
      <w:r w:rsidRPr="00B91F58">
        <w:rPr>
          <w:rFonts w:cs="Arial"/>
          <w:szCs w:val="22"/>
        </w:rPr>
        <w:t>«</w:t>
      </w:r>
      <w:r w:rsidRPr="00F45734">
        <w:rPr>
          <w:rFonts w:cs="Arial"/>
          <w:szCs w:val="22"/>
        </w:rPr>
        <w:t xml:space="preserve">sul piano della </w:t>
      </w:r>
      <w:r w:rsidRPr="00F45734">
        <w:rPr>
          <w:rFonts w:cs="Arial"/>
          <w:b/>
          <w:szCs w:val="22"/>
        </w:rPr>
        <w:t>formulazione del testo</w:t>
      </w:r>
      <w:r w:rsidRPr="00F45734">
        <w:rPr>
          <w:rFonts w:cs="Arial"/>
          <w:szCs w:val="22"/>
        </w:rPr>
        <w:t xml:space="preserve">, in diversi principi e criteri direttivi </w:t>
      </w:r>
      <w:r w:rsidRPr="00F45734">
        <w:rPr>
          <w:rFonts w:cs="Arial"/>
          <w:b/>
          <w:szCs w:val="22"/>
        </w:rPr>
        <w:t>l'uso degli aggettivi e degli avverbi determina un'autoqualificazione delle previsioni</w:t>
      </w:r>
      <w:r w:rsidRPr="00F45734">
        <w:rPr>
          <w:rFonts w:cs="Arial"/>
          <w:szCs w:val="22"/>
        </w:rPr>
        <w:t xml:space="preserve">: ciò si riscontra, a titolo esemplificativo, al comma 1, lettera </w:t>
      </w:r>
      <w:r w:rsidRPr="00F45734">
        <w:rPr>
          <w:rFonts w:cs="Arial"/>
          <w:i/>
          <w:iCs/>
          <w:szCs w:val="22"/>
        </w:rPr>
        <w:t>b</w:t>
      </w:r>
      <w:r w:rsidRPr="00F45734">
        <w:rPr>
          <w:rFonts w:cs="Arial"/>
          <w:szCs w:val="22"/>
        </w:rPr>
        <w:t xml:space="preserve">) – che delega il Governo alla “compilazione di un unico testo normativo con contenuti di disciplina adeguata” – lettera </w:t>
      </w:r>
      <w:r w:rsidRPr="00F45734">
        <w:rPr>
          <w:rFonts w:cs="Arial"/>
          <w:i/>
          <w:iCs/>
          <w:szCs w:val="22"/>
        </w:rPr>
        <w:t>c</w:t>
      </w:r>
      <w:r w:rsidRPr="00F45734">
        <w:rPr>
          <w:rFonts w:cs="Arial"/>
          <w:szCs w:val="22"/>
        </w:rPr>
        <w:t xml:space="preserve">) – che pone l'obiettivo di “conseguire una drastica riduzione e razionalizzazione del complesso delle disposizioni legislative, regolamentari e amministrative vigenti e un maggiore livello di certezza del diritto e di semplificazione dei procedimenti, tenendo in debita considerazione gli aspetti peculiari dei contratti pubblici relativi a lavori” – nonché alle lettere </w:t>
      </w:r>
      <w:r w:rsidRPr="00F45734">
        <w:rPr>
          <w:rFonts w:cs="Arial"/>
          <w:i/>
          <w:iCs/>
          <w:szCs w:val="22"/>
        </w:rPr>
        <w:t>d</w:t>
      </w:r>
      <w:r w:rsidRPr="00F45734">
        <w:rPr>
          <w:rFonts w:cs="Arial"/>
          <w:szCs w:val="22"/>
        </w:rPr>
        <w:t xml:space="preserve">) e </w:t>
      </w:r>
      <w:r w:rsidRPr="00F45734">
        <w:rPr>
          <w:rFonts w:cs="Arial"/>
          <w:i/>
          <w:iCs/>
          <w:szCs w:val="22"/>
        </w:rPr>
        <w:t>gg)</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560" w:name="S21a08"/>
      <w:r>
        <w:rPr>
          <w:rFonts w:cs="Arial"/>
          <w:szCs w:val="22"/>
        </w:rPr>
        <w:t>8</w:t>
      </w:r>
      <w:r w:rsidRPr="00B91F58">
        <w:rPr>
          <w:rFonts w:cs="Arial"/>
          <w:szCs w:val="22"/>
        </w:rPr>
        <w:t xml:space="preserve"> –</w:t>
      </w:r>
      <w:bookmarkEnd w:id="560"/>
      <w:r w:rsidRPr="00B91F58">
        <w:rPr>
          <w:rFonts w:cs="Arial"/>
          <w:szCs w:val="22"/>
        </w:rPr>
        <w:t xml:space="preserve"> </w:t>
      </w:r>
      <w:hyperlink w:anchor="premessa21" w:history="1">
        <w:r w:rsidRPr="00B91F58">
          <w:rPr>
            <w:rStyle w:val="Collegamentoipertestuale"/>
            <w:rFonts w:cs="Arial"/>
            <w:b/>
            <w:szCs w:val="22"/>
          </w:rPr>
          <w:t>Premessa</w:t>
        </w:r>
        <w:r w:rsidRPr="00B91F58">
          <w:rPr>
            <w:rStyle w:val="Collegamentoipertestuale"/>
            <w:rFonts w:cs="Arial"/>
            <w:szCs w:val="22"/>
          </w:rPr>
          <w:t>:</w:t>
        </w:r>
      </w:hyperlink>
      <w:r w:rsidRPr="005867AA">
        <w:rPr>
          <w:rStyle w:val="Collegamentoipertestuale"/>
          <w:rFonts w:cs="Arial"/>
          <w:szCs w:val="22"/>
        </w:rPr>
        <w:t xml:space="preserve"> </w:t>
      </w:r>
      <w:r w:rsidRPr="00B91F58">
        <w:rPr>
          <w:rFonts w:cs="Arial"/>
          <w:szCs w:val="22"/>
        </w:rPr>
        <w:t>«</w:t>
      </w:r>
      <w:r w:rsidRPr="00F45734">
        <w:rPr>
          <w:rFonts w:cs="Arial"/>
          <w:szCs w:val="22"/>
        </w:rPr>
        <w:t>il disegno di legge nel testo presentato al Senato reca sia l'analisi tecnico-normativa (</w:t>
      </w:r>
      <w:r w:rsidRPr="00F45734">
        <w:rPr>
          <w:rFonts w:cs="Arial"/>
          <w:b/>
          <w:szCs w:val="22"/>
        </w:rPr>
        <w:t>ATN</w:t>
      </w:r>
      <w:r w:rsidRPr="00F45734">
        <w:rPr>
          <w:rFonts w:cs="Arial"/>
          <w:szCs w:val="22"/>
        </w:rPr>
        <w:t>) sia l'analisi di impatto della regolamentazione (</w:t>
      </w:r>
      <w:r w:rsidRPr="00F45734">
        <w:rPr>
          <w:rFonts w:cs="Arial"/>
          <w:b/>
          <w:szCs w:val="22"/>
        </w:rPr>
        <w:t>AIR</w:t>
      </w:r>
      <w:r w:rsidRPr="00F45734">
        <w:rPr>
          <w:rFonts w:cs="Arial"/>
          <w:szCs w:val="22"/>
        </w:rPr>
        <w:t>)</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Pr="00CC2FFB" w:rsidRDefault="000B33A8" w:rsidP="000B33A8">
      <w:pPr>
        <w:keepNext/>
        <w:ind w:firstLine="0"/>
        <w:rPr>
          <w:rFonts w:cs="Arial"/>
          <w:b/>
          <w:szCs w:val="22"/>
        </w:rPr>
      </w:pPr>
      <w:bookmarkStart w:id="561" w:name="S21C"/>
      <w:r>
        <w:rPr>
          <w:rFonts w:cs="Arial"/>
          <w:b/>
          <w:szCs w:val="22"/>
        </w:rPr>
        <w:lastRenderedPageBreak/>
        <w:t>Condi</w:t>
      </w:r>
      <w:r w:rsidRPr="00CC2FFB">
        <w:rPr>
          <w:rFonts w:cs="Arial"/>
          <w:b/>
          <w:szCs w:val="22"/>
        </w:rPr>
        <w:t>zioni:</w:t>
      </w:r>
    </w:p>
    <w:bookmarkEnd w:id="561"/>
    <w:p w:rsidR="000B33A8" w:rsidRPr="00261390" w:rsidRDefault="000B33A8" w:rsidP="000B33A8">
      <w:pPr>
        <w:keepNext/>
        <w:ind w:firstLine="0"/>
        <w:rPr>
          <w:rFonts w:cs="Arial"/>
          <w:i/>
          <w:szCs w:val="22"/>
        </w:rPr>
      </w:pPr>
      <w:r w:rsidRPr="00261390">
        <w:rPr>
          <w:rFonts w:cs="Arial"/>
          <w:i/>
          <w:szCs w:val="22"/>
        </w:rPr>
        <w:t>sotto il profilo della chiarezza e della proprietà della fo</w:t>
      </w:r>
      <w:r>
        <w:rPr>
          <w:rFonts w:cs="Arial"/>
          <w:i/>
          <w:szCs w:val="22"/>
        </w:rPr>
        <w:t>rmulazione:</w:t>
      </w:r>
    </w:p>
    <w:p w:rsidR="000B33A8" w:rsidRDefault="000B33A8" w:rsidP="00B26E1F">
      <w:pPr>
        <w:pStyle w:val="Paragrafoelenco"/>
        <w:numPr>
          <w:ilvl w:val="0"/>
          <w:numId w:val="56"/>
        </w:numPr>
        <w:ind w:left="567" w:hanging="283"/>
        <w:rPr>
          <w:rFonts w:cs="Arial"/>
          <w:szCs w:val="22"/>
        </w:rPr>
      </w:pPr>
      <w:bookmarkStart w:id="562" w:name="S21c01"/>
      <w:r w:rsidRPr="00677B77">
        <w:rPr>
          <w:rFonts w:cs="Arial"/>
          <w:szCs w:val="22"/>
        </w:rPr>
        <w:t xml:space="preserve">all'articolo 1, comma </w:t>
      </w:r>
      <w:bookmarkEnd w:id="562"/>
      <w:r w:rsidRPr="00677B77">
        <w:rPr>
          <w:rFonts w:cs="Arial"/>
          <w:szCs w:val="22"/>
        </w:rPr>
        <w:t xml:space="preserve">1, lettera </w:t>
      </w:r>
      <w:r w:rsidRPr="00677B77">
        <w:rPr>
          <w:rFonts w:cs="Arial"/>
          <w:i/>
          <w:iCs/>
          <w:szCs w:val="22"/>
        </w:rPr>
        <w:t>b</w:t>
      </w:r>
      <w:r w:rsidRPr="00677B77">
        <w:rPr>
          <w:rFonts w:cs="Arial"/>
          <w:szCs w:val="22"/>
        </w:rPr>
        <w:t>), si sostituisca il riferimento ivi contenuto alla “compilazione” di un nuovo testo unico normativo recante il codice degli appalti pubblici e dei contratti di concessione con quello, più appropriato, alla “elaborazione” di tale codice, tenuto conto della natura non solo ricognitiva ma anche innovativa dello stesso</w:t>
      </w:r>
      <w:r w:rsidRPr="00261390">
        <w:rPr>
          <w:rFonts w:cs="Arial"/>
          <w:szCs w:val="22"/>
        </w:rPr>
        <w:t>;</w:t>
      </w:r>
      <w:r>
        <w:rPr>
          <w:rFonts w:cs="Arial"/>
          <w:szCs w:val="22"/>
        </w:rPr>
        <w:t xml:space="preserve"> [</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56"/>
        </w:numPr>
        <w:ind w:left="567" w:hanging="283"/>
        <w:rPr>
          <w:rFonts w:cs="Arial"/>
          <w:szCs w:val="22"/>
        </w:rPr>
      </w:pPr>
      <w:bookmarkStart w:id="563" w:name="S21c02"/>
      <w:r w:rsidRPr="00677B77">
        <w:rPr>
          <w:rFonts w:cs="Arial"/>
          <w:szCs w:val="22"/>
        </w:rPr>
        <w:t xml:space="preserve">tenuto conto che la lettera </w:t>
      </w:r>
      <w:bookmarkEnd w:id="563"/>
      <w:r w:rsidRPr="00677B77">
        <w:rPr>
          <w:rFonts w:cs="Arial"/>
          <w:i/>
          <w:iCs/>
          <w:szCs w:val="22"/>
        </w:rPr>
        <w:t>iii</w:t>
      </w:r>
      <w:r w:rsidRPr="00677B77">
        <w:rPr>
          <w:rFonts w:cs="Arial"/>
          <w:szCs w:val="22"/>
        </w:rPr>
        <w:t>) del comma 1 delega il Governo alla “</w:t>
      </w:r>
      <w:r w:rsidRPr="00677B77">
        <w:rPr>
          <w:rFonts w:cs="Arial"/>
          <w:i/>
          <w:iCs/>
          <w:szCs w:val="22"/>
        </w:rPr>
        <w:t>espressa abrogazione delle disposizioni del codice dei contratti pubblici relativi a lavori, servizi e forniture, di cui al decreto legislativo 12 aprile 2006, n.</w:t>
      </w:r>
      <w:r>
        <w:rPr>
          <w:rFonts w:cs="Arial"/>
          <w:i/>
          <w:iCs/>
          <w:szCs w:val="22"/>
        </w:rPr>
        <w:t xml:space="preserve"> </w:t>
      </w:r>
      <w:r w:rsidRPr="00677B77">
        <w:rPr>
          <w:rFonts w:cs="Arial"/>
          <w:i/>
          <w:iCs/>
          <w:szCs w:val="22"/>
        </w:rPr>
        <w:t>163, con effetto dalla data di entrata in vigore</w:t>
      </w:r>
      <w:r w:rsidRPr="00677B77">
        <w:rPr>
          <w:rFonts w:cs="Arial"/>
          <w:szCs w:val="22"/>
        </w:rPr>
        <w:t>” del nuovo codice, si verifichi la soppressione del comma 8, il quale dispone, in maniera parziale e con la stessa decorrenza, la cessazione dell'efficacia delle disposizioni di cui all'articolo 129, comma 3, del medesimo codice</w:t>
      </w:r>
      <w:r w:rsidRPr="00261390">
        <w:rPr>
          <w:rFonts w:cs="Arial"/>
          <w:szCs w:val="22"/>
        </w:rPr>
        <w:t>;</w:t>
      </w:r>
      <w:r>
        <w:rPr>
          <w:rFonts w:cs="Arial"/>
          <w:szCs w:val="22"/>
        </w:rPr>
        <w:t xml:space="preserve"> [</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56"/>
        </w:numPr>
        <w:ind w:left="567" w:hanging="283"/>
        <w:rPr>
          <w:rFonts w:cs="Arial"/>
          <w:szCs w:val="22"/>
        </w:rPr>
      </w:pPr>
      <w:bookmarkStart w:id="564" w:name="S21c03"/>
      <w:r w:rsidRPr="00677B77">
        <w:rPr>
          <w:rFonts w:cs="Arial"/>
          <w:szCs w:val="22"/>
        </w:rPr>
        <w:t xml:space="preserve">per quanto detto in premessa </w:t>
      </w:r>
      <w:bookmarkEnd w:id="564"/>
      <w:r w:rsidRPr="00677B77">
        <w:rPr>
          <w:rFonts w:cs="Arial"/>
          <w:szCs w:val="22"/>
        </w:rPr>
        <w:t>– all'articolo 1, comma 3, quarto periodo, si elimini l'inciso “</w:t>
      </w:r>
      <w:r w:rsidRPr="00677B77">
        <w:rPr>
          <w:rFonts w:cs="Arial"/>
          <w:i/>
          <w:iCs/>
          <w:szCs w:val="22"/>
        </w:rPr>
        <w:t>anche in mancanza di nuovo parere</w:t>
      </w:r>
      <w:r w:rsidRPr="00677B77">
        <w:rPr>
          <w:rFonts w:cs="Arial"/>
          <w:szCs w:val="22"/>
        </w:rPr>
        <w:t>”</w:t>
      </w:r>
      <w:r>
        <w:rPr>
          <w:rFonts w:cs="Arial"/>
          <w:szCs w:val="22"/>
        </w:rPr>
        <w:t xml:space="preserve"> [</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56"/>
        </w:numPr>
        <w:ind w:left="567" w:hanging="283"/>
        <w:rPr>
          <w:rFonts w:cs="Arial"/>
          <w:szCs w:val="22"/>
        </w:rPr>
      </w:pPr>
      <w:bookmarkStart w:id="565" w:name="S21c04"/>
      <w:r w:rsidRPr="00677B77">
        <w:rPr>
          <w:rFonts w:cs="Arial"/>
          <w:szCs w:val="22"/>
        </w:rPr>
        <w:t xml:space="preserve">per quanto detto </w:t>
      </w:r>
      <w:bookmarkEnd w:id="565"/>
      <w:r w:rsidRPr="00677B77">
        <w:rPr>
          <w:rFonts w:cs="Arial"/>
          <w:szCs w:val="22"/>
        </w:rPr>
        <w:t>in premessa, all'articolo 1, comma 3, si sostituisca il quinto periodo, che consente il ricorso alla “tecnica dello scorrimento” del termine per l'esercizio della delega, individuando in modo univoco il termine ultimo per l'esercizio della delega, che potrebbe coincidere – anche al fine di evitare l'apertura di procedure di infrazione –, con il termine ultimo per l'attuazione delle direttive (18 aprile 2016)</w:t>
      </w:r>
      <w:r>
        <w:rPr>
          <w:rFonts w:cs="Arial"/>
          <w:szCs w:val="22"/>
        </w:rPr>
        <w:t xml:space="preserve"> [</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keepNext/>
        <w:ind w:firstLine="0"/>
        <w:rPr>
          <w:rFonts w:cs="Arial"/>
          <w:b/>
          <w:szCs w:val="22"/>
        </w:rPr>
      </w:pPr>
      <w:bookmarkStart w:id="566" w:name="S21O"/>
      <w:r w:rsidRPr="00CC2FFB">
        <w:rPr>
          <w:rFonts w:cs="Arial"/>
          <w:b/>
          <w:szCs w:val="22"/>
        </w:rPr>
        <w:t>Osservazioni:</w:t>
      </w:r>
    </w:p>
    <w:bookmarkEnd w:id="566"/>
    <w:p w:rsidR="000B33A8" w:rsidRPr="00261390" w:rsidRDefault="000B33A8" w:rsidP="000B33A8">
      <w:pPr>
        <w:keepNext/>
        <w:ind w:firstLine="0"/>
        <w:rPr>
          <w:rFonts w:cs="Arial"/>
          <w:i/>
          <w:szCs w:val="22"/>
        </w:rPr>
      </w:pPr>
      <w:r>
        <w:rPr>
          <w:rFonts w:cs="Arial"/>
          <w:i/>
          <w:szCs w:val="22"/>
        </w:rPr>
        <w:t>sotto il profilo dell’efficacia del testo per la semplificazione e il riordinamento della legislazione vigente:</w:t>
      </w:r>
    </w:p>
    <w:p w:rsidR="000B33A8" w:rsidRDefault="000B33A8" w:rsidP="00B26E1F">
      <w:pPr>
        <w:pStyle w:val="Paragrafoelenco"/>
        <w:numPr>
          <w:ilvl w:val="0"/>
          <w:numId w:val="57"/>
        </w:numPr>
        <w:ind w:left="567" w:hanging="283"/>
        <w:rPr>
          <w:rFonts w:cs="Arial"/>
          <w:szCs w:val="22"/>
        </w:rPr>
      </w:pPr>
      <w:bookmarkStart w:id="567" w:name="S21o01"/>
      <w:r w:rsidRPr="00BF2EB4">
        <w:rPr>
          <w:rFonts w:cs="Arial"/>
          <w:szCs w:val="22"/>
        </w:rPr>
        <w:t xml:space="preserve">tenuto conto che </w:t>
      </w:r>
      <w:bookmarkEnd w:id="567"/>
      <w:r w:rsidRPr="00BF2EB4">
        <w:rPr>
          <w:rFonts w:cs="Arial"/>
          <w:szCs w:val="22"/>
        </w:rPr>
        <w:t xml:space="preserve">la lettera </w:t>
      </w:r>
      <w:r w:rsidRPr="00BF2EB4">
        <w:rPr>
          <w:rFonts w:cs="Arial"/>
          <w:i/>
          <w:iCs/>
          <w:szCs w:val="22"/>
        </w:rPr>
        <w:t>ee</w:t>
      </w:r>
      <w:r w:rsidRPr="00BF2EB4">
        <w:rPr>
          <w:rFonts w:cs="Arial"/>
          <w:szCs w:val="22"/>
        </w:rPr>
        <w:t>) del comma 1 e il comma 7 recano entrambi (l'uno sotto forma di principio e criterio direttivo di delega, l'altro di disposizione di immediata applicazione) la previsione del divieto, negli appalti pubblici di lavori aggiudicati con la formula del contraente generale, di attribuire compiti di responsabile o direttore dei lavori allo stesso contraente generale o soggetto collegato – si dovrebbe chiarire se, come sembra, l'intento del legislatore sia quello di dettare una nuova disciplina che abbia immediata vigenza nelle more dell'adozione del nuovo codice, ma che poi confluisca nel codice medesimo o se, invece, si tratti di una duplicazione della stessa disposizione</w:t>
      </w:r>
      <w:r>
        <w:rPr>
          <w:rFonts w:cs="Arial"/>
          <w:szCs w:val="22"/>
        </w:rPr>
        <w:t xml:space="preserve"> [</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57"/>
        </w:numPr>
        <w:ind w:left="567" w:hanging="283"/>
        <w:rPr>
          <w:rFonts w:cs="Arial"/>
          <w:szCs w:val="22"/>
        </w:rPr>
      </w:pPr>
      <w:bookmarkStart w:id="568" w:name="S21o02"/>
      <w:r w:rsidRPr="00BF2EB4">
        <w:rPr>
          <w:rFonts w:cs="Arial"/>
          <w:szCs w:val="22"/>
        </w:rPr>
        <w:t xml:space="preserve">all'articolo 1, comma 1, si </w:t>
      </w:r>
      <w:bookmarkEnd w:id="568"/>
      <w:r w:rsidRPr="00BF2EB4">
        <w:rPr>
          <w:rFonts w:cs="Arial"/>
          <w:szCs w:val="22"/>
        </w:rPr>
        <w:t xml:space="preserve">dovrebbero meglio specificare i principi e criteri direttivi contenuti alle lettere </w:t>
      </w:r>
      <w:r w:rsidRPr="00BF2EB4">
        <w:rPr>
          <w:rFonts w:cs="Arial"/>
          <w:i/>
          <w:iCs/>
          <w:szCs w:val="22"/>
        </w:rPr>
        <w:t xml:space="preserve">e), f), i) m), p), t), ddd) </w:t>
      </w:r>
      <w:r w:rsidRPr="00BF2EB4">
        <w:rPr>
          <w:rFonts w:cs="Arial"/>
          <w:szCs w:val="22"/>
        </w:rPr>
        <w:t xml:space="preserve">e </w:t>
      </w:r>
      <w:r w:rsidRPr="00BF2EB4">
        <w:rPr>
          <w:rFonts w:cs="Arial"/>
          <w:i/>
          <w:iCs/>
          <w:szCs w:val="22"/>
        </w:rPr>
        <w:t>fff)</w:t>
      </w:r>
      <w:r w:rsidRPr="00BF2EB4">
        <w:rPr>
          <w:rFonts w:cs="Arial"/>
          <w:szCs w:val="22"/>
        </w:rPr>
        <w:t>, avendo cura di distinguerli chiaramente dagli oggetti di delega, come richiesto dalla circolare del 2001</w:t>
      </w:r>
      <w:r>
        <w:rPr>
          <w:rFonts w:cs="Arial"/>
          <w:szCs w:val="22"/>
        </w:rPr>
        <w:t>; [</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57"/>
        </w:numPr>
        <w:ind w:left="567" w:hanging="283"/>
        <w:rPr>
          <w:rFonts w:cs="Arial"/>
          <w:szCs w:val="22"/>
        </w:rPr>
      </w:pPr>
      <w:bookmarkStart w:id="569" w:name="S21o03"/>
      <w:r w:rsidRPr="00BF2EB4">
        <w:rPr>
          <w:rFonts w:cs="Arial"/>
          <w:szCs w:val="22"/>
        </w:rPr>
        <w:lastRenderedPageBreak/>
        <w:t xml:space="preserve">al medesimo articolo 1, comma </w:t>
      </w:r>
      <w:bookmarkEnd w:id="569"/>
      <w:r w:rsidRPr="00BF2EB4">
        <w:rPr>
          <w:rFonts w:cs="Arial"/>
          <w:szCs w:val="22"/>
        </w:rPr>
        <w:t xml:space="preserve">1, lettere </w:t>
      </w:r>
      <w:r w:rsidRPr="00BF2EB4">
        <w:rPr>
          <w:rFonts w:cs="Arial"/>
          <w:i/>
          <w:iCs/>
          <w:szCs w:val="22"/>
        </w:rPr>
        <w:t xml:space="preserve">b), c), d) o), u), zz) </w:t>
      </w:r>
      <w:r w:rsidRPr="00BF2EB4">
        <w:rPr>
          <w:rFonts w:cs="Arial"/>
          <w:szCs w:val="22"/>
        </w:rPr>
        <w:t>e</w:t>
      </w:r>
      <w:r w:rsidRPr="00BF2EB4">
        <w:rPr>
          <w:rFonts w:cs="Arial"/>
          <w:i/>
          <w:iCs/>
          <w:szCs w:val="22"/>
        </w:rPr>
        <w:t xml:space="preserve"> ggg)</w:t>
      </w:r>
      <w:r w:rsidRPr="00BF2EB4">
        <w:rPr>
          <w:rFonts w:cs="Arial"/>
          <w:szCs w:val="22"/>
        </w:rPr>
        <w:t>, che recano principi e criteri direttivi generici o formulati in termini di finalità della delega, si dovrebbero meglio precisare i suddetti principi e criteri al fine di circoscrivere adeguatamente la discrezionalità del legislatore delegato</w:t>
      </w:r>
      <w:r>
        <w:rPr>
          <w:rFonts w:cs="Arial"/>
          <w:szCs w:val="22"/>
        </w:rPr>
        <w:t>; [</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0B33A8">
      <w:pPr>
        <w:pStyle w:val="Paragrafoelenco"/>
        <w:ind w:firstLine="0"/>
        <w:rPr>
          <w:rFonts w:cs="Arial"/>
          <w:szCs w:val="22"/>
        </w:rPr>
      </w:pPr>
    </w:p>
    <w:p w:rsidR="000B33A8" w:rsidRPr="00CC2FFB" w:rsidRDefault="000B33A8" w:rsidP="000B33A8">
      <w:pPr>
        <w:keepNext/>
        <w:ind w:firstLine="0"/>
        <w:rPr>
          <w:rFonts w:cs="Arial"/>
          <w:b/>
          <w:szCs w:val="22"/>
        </w:rPr>
      </w:pPr>
    </w:p>
    <w:p w:rsidR="000B33A8" w:rsidRPr="00261390" w:rsidRDefault="000B33A8" w:rsidP="000B33A8">
      <w:pPr>
        <w:ind w:firstLine="0"/>
        <w:rPr>
          <w:rFonts w:cs="Arial"/>
          <w:i/>
          <w:szCs w:val="22"/>
        </w:rPr>
      </w:pPr>
      <w:r w:rsidRPr="00261390">
        <w:rPr>
          <w:rFonts w:cs="Arial"/>
          <w:i/>
          <w:szCs w:val="22"/>
        </w:rPr>
        <w:t>sotto il profilo della chiarezza e della proprietà della fo</w:t>
      </w:r>
      <w:r>
        <w:rPr>
          <w:rFonts w:cs="Arial"/>
          <w:i/>
          <w:szCs w:val="22"/>
        </w:rPr>
        <w:t>rmulazione:</w:t>
      </w:r>
    </w:p>
    <w:p w:rsidR="000B33A8" w:rsidRDefault="000B33A8" w:rsidP="00B26E1F">
      <w:pPr>
        <w:pStyle w:val="Paragrafoelenco"/>
        <w:numPr>
          <w:ilvl w:val="0"/>
          <w:numId w:val="57"/>
        </w:numPr>
        <w:ind w:left="567" w:hanging="283"/>
        <w:rPr>
          <w:rFonts w:cs="Arial"/>
          <w:szCs w:val="22"/>
        </w:rPr>
      </w:pPr>
      <w:bookmarkStart w:id="570" w:name="S21o04"/>
      <w:r w:rsidRPr="00BF2EB4">
        <w:rPr>
          <w:rFonts w:cs="Arial"/>
          <w:szCs w:val="22"/>
        </w:rPr>
        <w:t xml:space="preserve">si dovrebbero coordinare le disposizioni </w:t>
      </w:r>
      <w:bookmarkEnd w:id="570"/>
      <w:r w:rsidRPr="00BF2EB4">
        <w:rPr>
          <w:rFonts w:cs="Arial"/>
          <w:szCs w:val="22"/>
        </w:rPr>
        <w:t xml:space="preserve">recate dal comma 1, lettera </w:t>
      </w:r>
      <w:r w:rsidRPr="00BF2EB4">
        <w:rPr>
          <w:rFonts w:cs="Arial"/>
          <w:i/>
          <w:iCs/>
          <w:szCs w:val="22"/>
        </w:rPr>
        <w:t>a</w:t>
      </w:r>
      <w:r w:rsidRPr="00BF2EB4">
        <w:rPr>
          <w:rFonts w:cs="Arial"/>
          <w:szCs w:val="22"/>
        </w:rPr>
        <w:t>), che dispone il “</w:t>
      </w:r>
      <w:r w:rsidRPr="00BF2EB4">
        <w:rPr>
          <w:rFonts w:cs="Arial"/>
          <w:i/>
          <w:iCs/>
          <w:szCs w:val="22"/>
        </w:rPr>
        <w:t>divieto di introduzione o di mantenimento di livelli di regolazione superiori a quelli minimi richiesti dalle direttive</w:t>
      </w:r>
      <w:r w:rsidRPr="00BF2EB4">
        <w:rPr>
          <w:rFonts w:cs="Arial"/>
          <w:szCs w:val="22"/>
        </w:rPr>
        <w:t xml:space="preserve">” con le previsioni delle lettere </w:t>
      </w:r>
      <w:r w:rsidRPr="00BF2EB4">
        <w:rPr>
          <w:rFonts w:cs="Arial"/>
          <w:i/>
          <w:iCs/>
          <w:szCs w:val="22"/>
        </w:rPr>
        <w:t xml:space="preserve">n), ff), gg) </w:t>
      </w:r>
      <w:r w:rsidRPr="00BF2EB4">
        <w:rPr>
          <w:rFonts w:cs="Arial"/>
          <w:szCs w:val="22"/>
        </w:rPr>
        <w:t xml:space="preserve">e </w:t>
      </w:r>
      <w:r w:rsidRPr="00BF2EB4">
        <w:rPr>
          <w:rFonts w:cs="Arial"/>
          <w:i/>
          <w:iCs/>
          <w:szCs w:val="22"/>
        </w:rPr>
        <w:t>oo)</w:t>
      </w:r>
      <w:r w:rsidRPr="00BF2EB4">
        <w:rPr>
          <w:rFonts w:cs="Arial"/>
          <w:szCs w:val="22"/>
        </w:rPr>
        <w:t>, che sembrano invece imporre aggravi procedurali o complicazioni rispetto a quanto stabilito dalla normativa europea di riferimento;</w:t>
      </w:r>
      <w:r>
        <w:rPr>
          <w:rFonts w:cs="Arial"/>
          <w:szCs w:val="22"/>
        </w:rPr>
        <w:t xml:space="preserve"> [</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57"/>
        </w:numPr>
        <w:ind w:left="567" w:hanging="283"/>
        <w:rPr>
          <w:rFonts w:cs="Arial"/>
          <w:szCs w:val="22"/>
        </w:rPr>
      </w:pPr>
      <w:bookmarkStart w:id="571" w:name="S21o05"/>
      <w:r w:rsidRPr="00BF2EB4">
        <w:rPr>
          <w:rFonts w:cs="Arial"/>
          <w:szCs w:val="22"/>
        </w:rPr>
        <w:t xml:space="preserve">per esigenze di coordinamento </w:t>
      </w:r>
      <w:bookmarkEnd w:id="571"/>
      <w:r w:rsidRPr="00BF2EB4">
        <w:rPr>
          <w:rFonts w:cs="Arial"/>
          <w:szCs w:val="22"/>
        </w:rPr>
        <w:t xml:space="preserve">interno al testo, si valuti l'unificazione nell'ambito di un unico principio e criterio direttivo dei due distinti principi e criteri contenuti alle lettere </w:t>
      </w:r>
      <w:r w:rsidRPr="00BF2EB4">
        <w:rPr>
          <w:rFonts w:cs="Arial"/>
          <w:i/>
          <w:iCs/>
          <w:szCs w:val="22"/>
        </w:rPr>
        <w:t>d</w:t>
      </w:r>
      <w:r w:rsidRPr="00BF2EB4">
        <w:rPr>
          <w:rFonts w:cs="Arial"/>
          <w:szCs w:val="22"/>
        </w:rPr>
        <w:t xml:space="preserve">) e </w:t>
      </w:r>
      <w:r w:rsidRPr="00BF2EB4">
        <w:rPr>
          <w:rFonts w:cs="Arial"/>
          <w:i/>
          <w:iCs/>
          <w:szCs w:val="22"/>
        </w:rPr>
        <w:t xml:space="preserve">g) </w:t>
      </w:r>
      <w:r w:rsidRPr="00BF2EB4">
        <w:rPr>
          <w:rFonts w:cs="Arial"/>
          <w:szCs w:val="22"/>
        </w:rPr>
        <w:t>in quanto, mentre il primo indica tra gli obiettivi di delega la definizione di “</w:t>
      </w:r>
      <w:r w:rsidRPr="00BF2EB4">
        <w:rPr>
          <w:rFonts w:cs="Arial"/>
          <w:i/>
          <w:iCs/>
          <w:szCs w:val="22"/>
        </w:rPr>
        <w:t>procedure non derogabili riguardanti gli appalti pubblici e i contratti di concessione</w:t>
      </w:r>
      <w:r w:rsidRPr="00BF2EB4">
        <w:rPr>
          <w:rFonts w:cs="Arial"/>
          <w:szCs w:val="22"/>
        </w:rPr>
        <w:t>”, la seconda ripete tale obiettivo ponendovi un'eccezione, rappresentata dalle “</w:t>
      </w:r>
      <w:r w:rsidRPr="00BF2EB4">
        <w:rPr>
          <w:rFonts w:cs="Arial"/>
          <w:i/>
          <w:iCs/>
          <w:szCs w:val="22"/>
        </w:rPr>
        <w:t>singole fattispecie connesse ad urgenze di protezione civile determinate da calamità naturali</w:t>
      </w:r>
      <w:r w:rsidRPr="00BF2EB4">
        <w:rPr>
          <w:rFonts w:cs="Arial"/>
          <w:szCs w:val="22"/>
        </w:rPr>
        <w:t xml:space="preserve">”; </w:t>
      </w:r>
      <w:r>
        <w:rPr>
          <w:rFonts w:cs="Arial"/>
          <w:szCs w:val="22"/>
        </w:rPr>
        <w:t>[</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57"/>
        </w:numPr>
        <w:ind w:left="567" w:hanging="283"/>
        <w:rPr>
          <w:rFonts w:cs="Arial"/>
          <w:szCs w:val="22"/>
        </w:rPr>
      </w:pPr>
      <w:bookmarkStart w:id="572" w:name="S21o06"/>
      <w:r w:rsidRPr="00BF2EB4">
        <w:rPr>
          <w:rFonts w:cs="Arial"/>
          <w:szCs w:val="22"/>
        </w:rPr>
        <w:t>si dovrebbero altresì coord</w:t>
      </w:r>
      <w:bookmarkEnd w:id="572"/>
      <w:r w:rsidRPr="00BF2EB4">
        <w:rPr>
          <w:rFonts w:cs="Arial"/>
          <w:szCs w:val="22"/>
        </w:rPr>
        <w:t>inare le disposizioni recate dal comma 1, lettera l), numero 2), laddove prevede l'unificazione delle banche dati esistenti nel settore presso l'Autorità nazionale anticorruzione (ANAC), con esclusione della banca dati centralizzata di cui alla lettera r), con quelle recate da tale lettera, la quale dispone a sua volta “l'accesso a un'unica banca dati centralizzata gestita dal Ministero delle infrastrutture e dei trasporti”, conferendo così l'attributo dell'unicità a due distinte banche dati</w:t>
      </w:r>
      <w:r>
        <w:rPr>
          <w:rFonts w:cs="Arial"/>
          <w:szCs w:val="22"/>
        </w:rPr>
        <w:t xml:space="preserve"> [</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57"/>
        </w:numPr>
        <w:ind w:left="567" w:hanging="283"/>
        <w:rPr>
          <w:rFonts w:cs="Arial"/>
          <w:szCs w:val="22"/>
        </w:rPr>
      </w:pPr>
      <w:bookmarkStart w:id="573" w:name="S21o07"/>
      <w:r w:rsidRPr="00BF2EB4">
        <w:rPr>
          <w:rFonts w:cs="Arial"/>
          <w:szCs w:val="22"/>
        </w:rPr>
        <w:t xml:space="preserve">al comma 1, lettera </w:t>
      </w:r>
      <w:r w:rsidRPr="00BF2EB4">
        <w:rPr>
          <w:rFonts w:cs="Arial"/>
          <w:i/>
          <w:iCs/>
          <w:szCs w:val="22"/>
        </w:rPr>
        <w:t>l</w:t>
      </w:r>
      <w:r w:rsidRPr="00BF2EB4">
        <w:rPr>
          <w:rFonts w:cs="Arial"/>
          <w:szCs w:val="22"/>
        </w:rPr>
        <w:t xml:space="preserve">), </w:t>
      </w:r>
      <w:bookmarkEnd w:id="573"/>
      <w:r w:rsidRPr="00BF2EB4">
        <w:rPr>
          <w:rFonts w:cs="Arial"/>
          <w:szCs w:val="22"/>
        </w:rPr>
        <w:t>n.</w:t>
      </w:r>
      <w:r>
        <w:rPr>
          <w:rFonts w:cs="Arial"/>
          <w:szCs w:val="22"/>
        </w:rPr>
        <w:t xml:space="preserve"> </w:t>
      </w:r>
      <w:r w:rsidRPr="00BF2EB4">
        <w:rPr>
          <w:rFonts w:cs="Arial"/>
          <w:szCs w:val="22"/>
        </w:rPr>
        <w:t xml:space="preserve">5), che prefigura l'introduzione di un ulteriore obbligo di denuncia (oltre gli obblighi di denuncia già previsti nel codice penale), limitato ad alcune specifiche categorie di reati e posto a carico delle imprese titolari di appalti pubblici, si dovrebbe indicare – come negli altri casi di denuncia obbligatoria già previsti nel codice penale – la sanzione conseguente alla violazione dell'obbligo in oggetto; </w:t>
      </w:r>
      <w:r>
        <w:rPr>
          <w:rFonts w:cs="Arial"/>
          <w:szCs w:val="22"/>
        </w:rPr>
        <w:t>[</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57"/>
        </w:numPr>
        <w:ind w:left="567" w:hanging="283"/>
        <w:rPr>
          <w:rFonts w:cs="Arial"/>
          <w:szCs w:val="22"/>
        </w:rPr>
      </w:pPr>
      <w:bookmarkStart w:id="574" w:name="S21o08"/>
      <w:r w:rsidRPr="00BF2EB4">
        <w:rPr>
          <w:rFonts w:cs="Arial"/>
          <w:szCs w:val="22"/>
        </w:rPr>
        <w:t xml:space="preserve">per quanto detto in premessa, </w:t>
      </w:r>
      <w:bookmarkEnd w:id="574"/>
      <w:r w:rsidRPr="00BF2EB4">
        <w:rPr>
          <w:rFonts w:cs="Arial"/>
          <w:szCs w:val="22"/>
        </w:rPr>
        <w:t xml:space="preserve">valuti altresì la Commissione l'opportunità di ricollocare i principi e criteri direttivi contenuti all'articolo 1, comma 1, lettere </w:t>
      </w:r>
      <w:r w:rsidRPr="00BF2EB4">
        <w:rPr>
          <w:rFonts w:cs="Arial"/>
          <w:i/>
          <w:iCs/>
          <w:szCs w:val="22"/>
        </w:rPr>
        <w:t>q</w:t>
      </w:r>
      <w:r w:rsidRPr="00BF2EB4">
        <w:rPr>
          <w:rFonts w:cs="Arial"/>
          <w:szCs w:val="22"/>
        </w:rPr>
        <w:t xml:space="preserve">) e </w:t>
      </w:r>
      <w:r w:rsidRPr="00BF2EB4">
        <w:rPr>
          <w:rFonts w:cs="Arial"/>
          <w:i/>
          <w:iCs/>
          <w:szCs w:val="22"/>
        </w:rPr>
        <w:t>lll),</w:t>
      </w:r>
      <w:r w:rsidRPr="00BF2EB4">
        <w:rPr>
          <w:rFonts w:cs="Arial"/>
          <w:szCs w:val="22"/>
        </w:rPr>
        <w:t xml:space="preserve"> al di fuori dei principi e criteri direttivi di delega tra le disposizioni di immediata applicazione, e, in particolare, al comma 6, con il quale fanno sistema.</w:t>
      </w:r>
      <w:r>
        <w:rPr>
          <w:rFonts w:cs="Arial"/>
          <w:szCs w:val="22"/>
        </w:rPr>
        <w:t xml:space="preserve"> [</w:t>
      </w:r>
      <w:hyperlink w:anchor="premessa21" w:history="1">
        <w:r w:rsidRPr="00261390">
          <w:rPr>
            <w:rStyle w:val="Collegamentoipertestuale"/>
            <w:rFonts w:cs="Arial"/>
            <w:szCs w:val="22"/>
          </w:rPr>
          <w:t>torna su</w:t>
        </w:r>
      </w:hyperlink>
      <w:r>
        <w:rPr>
          <w:rFonts w:cs="Arial"/>
          <w:szCs w:val="22"/>
        </w:rPr>
        <w:t xml:space="preserve">] </w:t>
      </w:r>
    </w:p>
    <w:p w:rsidR="000B33A8" w:rsidRDefault="000B33A8" w:rsidP="000B33A8">
      <w:pPr>
        <w:pStyle w:val="Paragrafoelenco"/>
        <w:ind w:firstLine="0"/>
        <w:rPr>
          <w:rFonts w:cs="Arial"/>
          <w:szCs w:val="22"/>
        </w:rPr>
      </w:pPr>
    </w:p>
    <w:p w:rsidR="000B33A8" w:rsidRPr="004325F3" w:rsidRDefault="000B33A8" w:rsidP="000B33A8">
      <w:pPr>
        <w:pStyle w:val="Paragrafoelenco"/>
        <w:ind w:firstLine="0"/>
        <w:rPr>
          <w:rFonts w:cs="Arial"/>
          <w:szCs w:val="22"/>
        </w:rPr>
      </w:pPr>
      <w:r>
        <w:rPr>
          <w:rFonts w:cs="Arial"/>
          <w:szCs w:val="22"/>
        </w:rPr>
        <w:t xml:space="preserve"> </w:t>
      </w:r>
    </w:p>
    <w:p w:rsidR="000B33A8" w:rsidRDefault="000B33A8" w:rsidP="000B33A8">
      <w:pPr>
        <w:ind w:firstLine="0"/>
        <w:rPr>
          <w:rFonts w:cs="Arial"/>
          <w:i/>
          <w:szCs w:val="22"/>
        </w:rPr>
        <w:sectPr w:rsidR="000B33A8" w:rsidSect="000B33A8">
          <w:headerReference w:type="default" r:id="rId388"/>
          <w:footerReference w:type="even" r:id="rId389"/>
          <w:footerReference w:type="default" r:id="rId390"/>
          <w:pgSz w:w="11906" w:h="16838" w:code="9"/>
          <w:pgMar w:top="1985" w:right="1985" w:bottom="1985" w:left="1985" w:header="1134" w:footer="1134" w:gutter="0"/>
          <w:cols w:space="720"/>
          <w:formProt w:val="0"/>
        </w:sect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lastRenderedPageBreak/>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0022</w:t>
            </w:r>
          </w:p>
        </w:tc>
        <w:tc>
          <w:tcPr>
            <w:tcW w:w="750" w:type="pct"/>
            <w:shd w:val="clear" w:color="auto" w:fill="auto"/>
          </w:tcPr>
          <w:p w:rsidR="000B33A8" w:rsidRPr="00B26E1F" w:rsidRDefault="000B33A8" w:rsidP="000B33A8">
            <w:pPr>
              <w:pStyle w:val="Collegamento"/>
              <w:rPr>
                <w:rFonts w:cs="Arial"/>
              </w:rPr>
            </w:pPr>
            <w:r w:rsidRPr="00B26E1F">
              <w:rPr>
                <w:rFonts w:cs="Arial"/>
              </w:rPr>
              <w:t>3315</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91" w:history="1">
              <w:r w:rsidR="000B33A8" w:rsidRPr="00B26E1F">
                <w:rPr>
                  <w:rStyle w:val="Collegamentoipertestuale"/>
                  <w:rFonts w:cs="Arial"/>
                </w:rPr>
                <w:t>DL 146/2015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Scioperi nei musei</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92" w:anchor="data.20150930.com48.bollettino.sede00010.tit00010" w:history="1">
              <w:r w:rsidR="000B33A8">
                <w:rPr>
                  <w:rStyle w:val="Collegamentoipertestuale"/>
                </w:rPr>
                <w:t>30/09/2015</w:t>
              </w:r>
            </w:hyperlink>
          </w:p>
        </w:tc>
      </w:tr>
    </w:tbl>
    <w:p w:rsidR="000B33A8" w:rsidRDefault="000B33A8" w:rsidP="000B33A8">
      <w:pPr>
        <w:spacing w:line="240" w:lineRule="auto"/>
        <w:ind w:firstLine="0"/>
        <w:jc w:val="left"/>
        <w:rPr>
          <w:rFonts w:cs="Arial"/>
          <w:sz w:val="24"/>
          <w:szCs w:val="24"/>
        </w:rPr>
      </w:pPr>
    </w:p>
    <w:p w:rsidR="00A87AE9" w:rsidRPr="008B2DCE" w:rsidRDefault="00A87AE9" w:rsidP="000B33A8">
      <w:pPr>
        <w:spacing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575" w:name="premessa22"/>
            <w:r w:rsidRPr="00B26E1F">
              <w:rPr>
                <w:rFonts w:cs="Arial"/>
                <w:b/>
                <w:color w:val="0000FF"/>
                <w:sz w:val="24"/>
                <w:szCs w:val="24"/>
              </w:rPr>
              <w:t>Premessa</w:t>
            </w:r>
            <w:bookmarkEnd w:id="575"/>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1 Condizione, 1 Osservazione</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2a01" w:history="1">
              <w:r w:rsidR="000B33A8" w:rsidRPr="00D40FBA">
                <w:rPr>
                  <w:rStyle w:val="Collegamentoipertestuale"/>
                </w:rPr>
                <w:t>1</w:t>
              </w:r>
            </w:hyperlink>
            <w:r w:rsidR="000B33A8" w:rsidRPr="00B26E1F">
              <w:rPr>
                <w:rFonts w:cs="Arial"/>
              </w:rPr>
              <w:t xml:space="preserve"> – Contenuto puntuale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Il provvedimento consta di un solo articolo di natura sostanziale.</w:t>
            </w:r>
          </w:p>
        </w:tc>
      </w:tr>
      <w:tr w:rsidR="000B33A8" w:rsidRPr="008B2DCE" w:rsidTr="00B26E1F">
        <w:trPr>
          <w:trHeight w:val="7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2a02" w:history="1">
              <w:r w:rsidR="000B33A8" w:rsidRPr="00812559">
                <w:rPr>
                  <w:rStyle w:val="Collegamentoipertestuale"/>
                </w:rPr>
                <w:t>2</w:t>
              </w:r>
            </w:hyperlink>
            <w:r w:rsidR="000B33A8" w:rsidRPr="00B26E1F">
              <w:rPr>
                <w:rFonts w:cs="Arial"/>
              </w:rPr>
              <w:t xml:space="preserve"> – </w:t>
            </w:r>
            <w:r w:rsidR="000B33A8">
              <w:t>Ambito di applicazione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Condizione 1</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2a03" w:history="1">
              <w:r w:rsidR="000B33A8" w:rsidRPr="00812559">
                <w:rPr>
                  <w:rStyle w:val="Collegamentoipertestuale"/>
                </w:rPr>
                <w:t>3</w:t>
              </w:r>
            </w:hyperlink>
            <w:r w:rsidR="000B33A8" w:rsidRPr="00B26E1F">
              <w:rPr>
                <w:rFonts w:cs="Arial"/>
              </w:rPr>
              <w:t xml:space="preserve"> –</w:t>
            </w:r>
            <w:r w:rsidR="000B33A8">
              <w:t xml:space="preserve">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Assenti. Manca il riferimento all’eventuale esenzione dall’AIR. Richiamo all’articolo 9 del DPCM n. 170/2008.</w:t>
            </w:r>
          </w:p>
        </w:tc>
      </w:tr>
    </w:tbl>
    <w:p w:rsidR="000B33A8" w:rsidRDefault="000B33A8" w:rsidP="000B33A8"/>
    <w:p w:rsidR="000B33A8" w:rsidRPr="008B2DCE" w:rsidRDefault="000B33A8" w:rsidP="000B33A8">
      <w:pPr>
        <w:spacing w:line="240" w:lineRule="auto"/>
        <w:ind w:firstLine="0"/>
        <w:jc w:val="left"/>
        <w:rPr>
          <w:rFonts w:cs="Arial"/>
          <w:sz w:val="24"/>
          <w:szCs w:val="24"/>
        </w:rPr>
      </w:pPr>
    </w:p>
    <w:tbl>
      <w:tblPr>
        <w:tblW w:w="5140" w:type="pct"/>
        <w:tblLook w:val="01E0" w:firstRow="1" w:lastRow="1" w:firstColumn="1" w:lastColumn="1" w:noHBand="0" w:noVBand="0"/>
      </w:tblPr>
      <w:tblGrid>
        <w:gridCol w:w="4190"/>
        <w:gridCol w:w="3962"/>
        <w:gridCol w:w="228"/>
      </w:tblGrid>
      <w:tr w:rsidR="000B33A8" w:rsidRPr="00A33B28" w:rsidTr="0041678A">
        <w:trPr>
          <w:gridAfter w:val="1"/>
          <w:wAfter w:w="136" w:type="pct"/>
        </w:trPr>
        <w:tc>
          <w:tcPr>
            <w:tcW w:w="4864"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3A04FD" w:rsidTr="0041678A">
        <w:trPr>
          <w:trHeight w:val="423"/>
        </w:trPr>
        <w:tc>
          <w:tcPr>
            <w:tcW w:w="2500" w:type="pct"/>
            <w:tcBorders>
              <w:top w:val="nil"/>
              <w:left w:val="nil"/>
              <w:bottom w:val="nil"/>
              <w:right w:val="nil"/>
            </w:tcBorders>
            <w:shd w:val="clear" w:color="auto" w:fill="auto"/>
          </w:tcPr>
          <w:p w:rsidR="000B33A8" w:rsidRDefault="00EB0878" w:rsidP="0041678A">
            <w:pPr>
              <w:keepNext/>
              <w:spacing w:before="100" w:beforeAutospacing="1" w:after="100" w:afterAutospacing="1"/>
              <w:ind w:firstLine="0"/>
              <w:jc w:val="left"/>
            </w:pPr>
            <w:hyperlink w:anchor="S22C" w:history="1">
              <w:r w:rsidR="000B33A8" w:rsidRPr="00DF4FA4">
                <w:rPr>
                  <w:rStyle w:val="Collegamentoipertestuale"/>
                </w:rPr>
                <w:t>C</w:t>
              </w:r>
            </w:hyperlink>
            <w:r w:rsidR="000B33A8">
              <w:t xml:space="preserve"> - Condizioni</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r w:rsidR="000B33A8" w:rsidRPr="003A04FD" w:rsidTr="0041678A">
        <w:trPr>
          <w:trHeight w:val="423"/>
        </w:trPr>
        <w:tc>
          <w:tcPr>
            <w:tcW w:w="2500" w:type="pct"/>
            <w:tcBorders>
              <w:top w:val="nil"/>
              <w:left w:val="nil"/>
              <w:bottom w:val="nil"/>
              <w:right w:val="nil"/>
            </w:tcBorders>
            <w:shd w:val="clear" w:color="auto" w:fill="auto"/>
          </w:tcPr>
          <w:p w:rsidR="000B33A8" w:rsidRPr="003A04FD" w:rsidRDefault="00EB0878" w:rsidP="000B33A8">
            <w:pPr>
              <w:keepNext/>
              <w:spacing w:before="100" w:beforeAutospacing="1" w:after="100" w:afterAutospacing="1"/>
              <w:ind w:firstLine="0"/>
              <w:jc w:val="left"/>
              <w:rPr>
                <w:rFonts w:cs="Arial"/>
              </w:rPr>
            </w:pPr>
            <w:hyperlink w:anchor="S22O" w:history="1">
              <w:r w:rsidR="000B33A8" w:rsidRPr="00852C73">
                <w:rPr>
                  <w:rStyle w:val="Collegamentoipertestuale"/>
                  <w:rFonts w:cs="Arial"/>
                </w:rPr>
                <w:t>O</w:t>
              </w:r>
            </w:hyperlink>
            <w:r w:rsidR="000B33A8" w:rsidRPr="003A04FD">
              <w:rPr>
                <w:rFonts w:cs="Arial"/>
              </w:rPr>
              <w:t xml:space="preserve"> - Osservazioni</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Articolo 9 del DPCM n. 170/2008.</w:t>
            </w:r>
          </w:p>
        </w:tc>
      </w:tr>
    </w:tbl>
    <w:p w:rsidR="000B33A8" w:rsidRDefault="000B33A8" w:rsidP="000B33A8">
      <w:pPr>
        <w:spacing w:line="240" w:lineRule="auto"/>
        <w:ind w:firstLine="0"/>
        <w:jc w:val="left"/>
        <w:rPr>
          <w:rFonts w:cs="Arial"/>
          <w:sz w:val="24"/>
          <w:szCs w:val="24"/>
        </w:rPr>
      </w:pPr>
    </w:p>
    <w:p w:rsidR="000B33A8" w:rsidRPr="008B2DCE" w:rsidRDefault="000B33A8" w:rsidP="000B33A8">
      <w:pPr>
        <w:spacing w:line="240" w:lineRule="auto"/>
        <w:ind w:firstLine="0"/>
        <w:jc w:val="left"/>
        <w:rPr>
          <w:rFonts w:cs="Arial"/>
          <w:sz w:val="24"/>
          <w:szCs w:val="24"/>
        </w:rPr>
      </w:pPr>
    </w:p>
    <w:p w:rsidR="000B33A8" w:rsidRPr="00B91F58" w:rsidRDefault="000B33A8" w:rsidP="000B33A8">
      <w:pPr>
        <w:spacing w:after="120"/>
        <w:rPr>
          <w:rFonts w:cs="Arial"/>
          <w:szCs w:val="22"/>
        </w:rPr>
      </w:pPr>
      <w:bookmarkStart w:id="576" w:name="S22a01"/>
      <w:r w:rsidRPr="00B91F58">
        <w:rPr>
          <w:rFonts w:cs="Arial"/>
          <w:szCs w:val="22"/>
        </w:rPr>
        <w:t xml:space="preserve">1 </w:t>
      </w:r>
      <w:bookmarkEnd w:id="576"/>
      <w:r w:rsidRPr="00B91F58">
        <w:rPr>
          <w:rFonts w:cs="Arial"/>
          <w:szCs w:val="22"/>
        </w:rPr>
        <w:t xml:space="preserve">– </w:t>
      </w:r>
      <w:hyperlink w:anchor="premessa22" w:history="1">
        <w:r w:rsidRPr="00B91F58">
          <w:rPr>
            <w:rStyle w:val="Collegamentoipertestuale"/>
            <w:rFonts w:cs="Arial"/>
            <w:b/>
            <w:szCs w:val="22"/>
          </w:rPr>
          <w:t>Premessa</w:t>
        </w:r>
        <w:r w:rsidRPr="00B91F58">
          <w:rPr>
            <w:rStyle w:val="Collegamentoipertestuale"/>
            <w:rFonts w:cs="Arial"/>
            <w:szCs w:val="22"/>
          </w:rPr>
          <w:t>:</w:t>
        </w:r>
      </w:hyperlink>
      <w:r w:rsidRPr="00327ED4">
        <w:rPr>
          <w:rStyle w:val="Collegamentoipertestuale"/>
          <w:rFonts w:cs="Arial"/>
          <w:szCs w:val="22"/>
        </w:rPr>
        <w:t xml:space="preserve"> </w:t>
      </w:r>
      <w:r w:rsidRPr="00B91F58">
        <w:rPr>
          <w:rFonts w:cs="Arial"/>
          <w:szCs w:val="22"/>
        </w:rPr>
        <w:t>«</w:t>
      </w:r>
      <w:r w:rsidRPr="00471F2A">
        <w:rPr>
          <w:rFonts w:cs="Arial"/>
          <w:szCs w:val="22"/>
        </w:rPr>
        <w:t>esaminato il disegno di legge C. 3315 e rilevato che esso consta di un solo articolo di natura sostanziale, volto ad integrare la legge 12 giugno 1990, n.</w:t>
      </w:r>
      <w:r>
        <w:rPr>
          <w:rFonts w:cs="Arial"/>
          <w:szCs w:val="22"/>
        </w:rPr>
        <w:t xml:space="preserve"> </w:t>
      </w:r>
      <w:r w:rsidRPr="00471F2A">
        <w:rPr>
          <w:rFonts w:cs="Arial"/>
          <w:szCs w:val="22"/>
        </w:rPr>
        <w:t>146, in materia di sciopero nei servizi pubblici essenziali, al fine di includere tra questi ultimi “</w:t>
      </w:r>
      <w:r w:rsidRPr="00471F2A">
        <w:rPr>
          <w:rFonts w:cs="Arial"/>
          <w:i/>
          <w:iCs/>
          <w:szCs w:val="22"/>
        </w:rPr>
        <w:t>l'apertura al pubblico di musei e luoghi della cultura di cui all'articolo 101 del decreto legislativo 22 gennaio 2004, n.</w:t>
      </w:r>
      <w:r>
        <w:rPr>
          <w:rFonts w:cs="Arial"/>
          <w:i/>
          <w:iCs/>
          <w:szCs w:val="22"/>
        </w:rPr>
        <w:t xml:space="preserve"> </w:t>
      </w:r>
      <w:r w:rsidRPr="00471F2A">
        <w:rPr>
          <w:rFonts w:cs="Arial"/>
          <w:i/>
          <w:iCs/>
          <w:szCs w:val="22"/>
        </w:rPr>
        <w:t>42, e successive modificazioni</w:t>
      </w:r>
      <w:r w:rsidRPr="00471F2A">
        <w:rPr>
          <w:rFonts w:cs="Arial"/>
          <w:szCs w:val="22"/>
        </w:rPr>
        <w:t>”, recando conseguentemente un contenuto puntuale e corrispondente al titolo</w:t>
      </w:r>
      <w:r w:rsidRPr="00B91F58">
        <w:rPr>
          <w:rFonts w:cs="Arial"/>
          <w:szCs w:val="22"/>
        </w:rPr>
        <w:t>»;</w:t>
      </w:r>
      <w:r>
        <w:rPr>
          <w:rFonts w:cs="Arial"/>
          <w:szCs w:val="22"/>
        </w:rPr>
        <w:t xml:space="preserve"> </w:t>
      </w:r>
    </w:p>
    <w:p w:rsidR="000B33A8" w:rsidRPr="00B91F58" w:rsidRDefault="000B33A8" w:rsidP="000B33A8">
      <w:pPr>
        <w:spacing w:line="240" w:lineRule="auto"/>
        <w:ind w:firstLine="0"/>
        <w:jc w:val="left"/>
        <w:rPr>
          <w:rFonts w:cs="Arial"/>
          <w:szCs w:val="22"/>
        </w:rPr>
      </w:pPr>
    </w:p>
    <w:p w:rsidR="000B33A8" w:rsidRPr="00B91F58" w:rsidRDefault="000B33A8" w:rsidP="000B33A8">
      <w:pPr>
        <w:spacing w:line="240" w:lineRule="auto"/>
        <w:ind w:firstLine="0"/>
        <w:jc w:val="left"/>
        <w:rPr>
          <w:rFonts w:cs="Arial"/>
          <w:szCs w:val="22"/>
        </w:rPr>
      </w:pPr>
    </w:p>
    <w:p w:rsidR="000B33A8" w:rsidRPr="00B91F58" w:rsidRDefault="000B33A8" w:rsidP="000B33A8">
      <w:pPr>
        <w:rPr>
          <w:rFonts w:cs="Arial"/>
          <w:szCs w:val="22"/>
        </w:rPr>
      </w:pPr>
      <w:bookmarkStart w:id="577" w:name="S22a02"/>
      <w:r w:rsidRPr="00B91F58">
        <w:rPr>
          <w:rFonts w:cs="Arial"/>
          <w:szCs w:val="22"/>
        </w:rPr>
        <w:lastRenderedPageBreak/>
        <w:t xml:space="preserve">2 </w:t>
      </w:r>
      <w:bookmarkEnd w:id="577"/>
      <w:r w:rsidRPr="00B91F58">
        <w:rPr>
          <w:rFonts w:cs="Arial"/>
          <w:szCs w:val="22"/>
        </w:rPr>
        <w:t xml:space="preserve">– </w:t>
      </w:r>
      <w:hyperlink w:anchor="premessa2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0D6030">
        <w:t>constatato che il citato articolo 101 del decreto legislativo n.</w:t>
      </w:r>
      <w:r>
        <w:t xml:space="preserve"> </w:t>
      </w:r>
      <w:r w:rsidRPr="000D6030">
        <w:t>42 prevede che: “</w:t>
      </w:r>
      <w:r w:rsidRPr="000D6030">
        <w:rPr>
          <w:i/>
          <w:iCs/>
        </w:rPr>
        <w:t>sono istituti e luoghi della cultura i musei, le biblioteche e gli archivi, le aree e i parchi archeologici, i complessi monumentali</w:t>
      </w:r>
      <w:r w:rsidRPr="000D6030">
        <w:t>” e che il richiamo ai soli musei e ai luoghi della cultura operato dall'articolo 1</w:t>
      </w:r>
      <w:r>
        <w:rPr>
          <w:vertAlign w:val="superscript"/>
        </w:rPr>
        <w:t xml:space="preserve"> </w:t>
      </w:r>
      <w:r w:rsidRPr="000D6030">
        <w:t>sembrerebbe dunque volto a circoscrivere l'ambito applicativo della norma, oltre che ai luoghi della cultura, ai soli musei, con esclusione delle altre «strutture permanenti» qualificabili come istituti della cultura (biblioteche e archivi)</w:t>
      </w:r>
      <w:r w:rsidRPr="00B91F58">
        <w:rPr>
          <w:rFonts w:cs="Arial"/>
          <w:szCs w:val="22"/>
        </w:rPr>
        <w:t>»</w:t>
      </w:r>
      <w:r>
        <w:rPr>
          <w:rFonts w:cs="Arial"/>
          <w:szCs w:val="22"/>
        </w:rPr>
        <w:t xml:space="preserve"> (</w:t>
      </w:r>
      <w:hyperlink w:anchor="S22c01" w:history="1">
        <w:r>
          <w:rPr>
            <w:rStyle w:val="Collegamentoipertestuale"/>
            <w:rFonts w:cs="Arial"/>
            <w:b/>
            <w:szCs w:val="22"/>
          </w:rPr>
          <w:t>conseguente condizione</w:t>
        </w:r>
      </w:hyperlink>
      <w:r>
        <w:rPr>
          <w:rFonts w:cs="Arial"/>
          <w:szCs w:val="22"/>
        </w:rPr>
        <w:t>) (</w:t>
      </w:r>
      <w:hyperlink w:anchor="S22o01" w:history="1">
        <w:r>
          <w:rPr>
            <w:rStyle w:val="Collegamentoipertestuale"/>
            <w:rFonts w:cs="Arial"/>
            <w:b/>
            <w:szCs w:val="22"/>
          </w:rPr>
          <w:t>conseguente osservazione</w:t>
        </w:r>
      </w:hyperlink>
      <w:r>
        <w:rPr>
          <w:rFonts w:cs="Arial"/>
          <w:szCs w:val="22"/>
        </w:rPr>
        <w:t xml:space="preserve">); </w:t>
      </w:r>
    </w:p>
    <w:p w:rsidR="000B33A8" w:rsidRPr="00B91F58" w:rsidRDefault="000B33A8" w:rsidP="000B33A8">
      <w:pPr>
        <w:spacing w:line="240" w:lineRule="auto"/>
        <w:ind w:firstLine="0"/>
        <w:jc w:val="left"/>
        <w:rPr>
          <w:rFonts w:cs="Arial"/>
          <w:szCs w:val="22"/>
        </w:rPr>
      </w:pPr>
    </w:p>
    <w:p w:rsidR="000B33A8" w:rsidRPr="00B91F58" w:rsidRDefault="000B33A8" w:rsidP="000B33A8">
      <w:pPr>
        <w:spacing w:line="240" w:lineRule="auto"/>
        <w:ind w:firstLine="0"/>
        <w:jc w:val="left"/>
        <w:rPr>
          <w:rFonts w:cs="Arial"/>
          <w:szCs w:val="22"/>
        </w:rPr>
      </w:pPr>
    </w:p>
    <w:p w:rsidR="000B33A8" w:rsidRPr="00B91F58" w:rsidRDefault="000B33A8" w:rsidP="000B33A8">
      <w:pPr>
        <w:rPr>
          <w:rFonts w:cs="Arial"/>
          <w:szCs w:val="22"/>
        </w:rPr>
      </w:pPr>
      <w:bookmarkStart w:id="578" w:name="S22a03"/>
      <w:r w:rsidRPr="00B91F58">
        <w:rPr>
          <w:rFonts w:cs="Arial"/>
          <w:szCs w:val="22"/>
        </w:rPr>
        <w:t xml:space="preserve">3 </w:t>
      </w:r>
      <w:bookmarkEnd w:id="578"/>
      <w:r w:rsidRPr="00B91F58">
        <w:rPr>
          <w:rFonts w:cs="Arial"/>
          <w:szCs w:val="22"/>
        </w:rPr>
        <w:t xml:space="preserve">– </w:t>
      </w:r>
      <w:hyperlink w:anchor="premessa22"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0D6030">
        <w:rPr>
          <w:rFonts w:cs="Arial"/>
          <w:szCs w:val="22"/>
        </w:rPr>
        <w:t>osservato che il disegno di legge all'esame non è provvisto né della relazione sull'analisi tecnico-normativa (ATN), né della relazione sull'analisi di impatto della regolamentazione (AIR); tuttavia, la relazione illustrativa, conformemente al disposto dell'articolo 9, comma 3, del regolamento di cui al decreto del presidente del Consiglio dei ministri 11 settembre 2008, n.</w:t>
      </w:r>
      <w:r>
        <w:rPr>
          <w:rFonts w:cs="Arial"/>
          <w:szCs w:val="22"/>
        </w:rPr>
        <w:t xml:space="preserve"> </w:t>
      </w:r>
      <w:r w:rsidRPr="000D6030">
        <w:rPr>
          <w:rFonts w:cs="Arial"/>
          <w:szCs w:val="22"/>
        </w:rPr>
        <w:t>170, indica sinteticamente la necessità ed i previsti effetti dell'intervento normativo, peraltro circoscritto</w:t>
      </w:r>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Pr="00CC2FFB" w:rsidRDefault="000B33A8" w:rsidP="000B33A8">
      <w:pPr>
        <w:keepNext/>
        <w:ind w:firstLine="0"/>
        <w:rPr>
          <w:rFonts w:cs="Arial"/>
          <w:b/>
          <w:szCs w:val="22"/>
        </w:rPr>
      </w:pPr>
      <w:bookmarkStart w:id="579" w:name="S22C"/>
      <w:r>
        <w:rPr>
          <w:rFonts w:cs="Arial"/>
          <w:b/>
          <w:szCs w:val="22"/>
        </w:rPr>
        <w:t>Condi</w:t>
      </w:r>
      <w:r w:rsidRPr="00CC2FFB">
        <w:rPr>
          <w:rFonts w:cs="Arial"/>
          <w:b/>
          <w:szCs w:val="22"/>
        </w:rPr>
        <w:t>zioni:</w:t>
      </w:r>
    </w:p>
    <w:bookmarkEnd w:id="579"/>
    <w:p w:rsidR="000B33A8" w:rsidRPr="00261390" w:rsidRDefault="000B33A8" w:rsidP="000B33A8">
      <w:pPr>
        <w:ind w:firstLine="0"/>
        <w:rPr>
          <w:rFonts w:cs="Arial"/>
          <w:i/>
          <w:szCs w:val="22"/>
        </w:rPr>
      </w:pPr>
      <w:r>
        <w:rPr>
          <w:rFonts w:cs="Arial"/>
          <w:i/>
          <w:szCs w:val="22"/>
        </w:rPr>
        <w:t>sotto il profilo dell’efficacia del testo per la semplificazione e il riordinamento della legislazione vigente:</w:t>
      </w:r>
    </w:p>
    <w:p w:rsidR="000B33A8" w:rsidRDefault="000B33A8" w:rsidP="00B26E1F">
      <w:pPr>
        <w:pStyle w:val="Paragrafoelenco"/>
        <w:numPr>
          <w:ilvl w:val="0"/>
          <w:numId w:val="59"/>
        </w:numPr>
        <w:ind w:left="567" w:hanging="283"/>
        <w:rPr>
          <w:rFonts w:cs="Arial"/>
          <w:szCs w:val="22"/>
        </w:rPr>
      </w:pPr>
      <w:bookmarkStart w:id="580" w:name="S22c01"/>
      <w:r w:rsidRPr="00FC51A7">
        <w:rPr>
          <w:rFonts w:cs="Arial"/>
          <w:szCs w:val="22"/>
        </w:rPr>
        <w:t xml:space="preserve">si dovrebbe chiarire </w:t>
      </w:r>
      <w:bookmarkEnd w:id="580"/>
      <w:r w:rsidRPr="00FC51A7">
        <w:rPr>
          <w:rFonts w:cs="Arial"/>
          <w:szCs w:val="22"/>
        </w:rPr>
        <w:t>la portata normativa dell'intervento contenuto all'articolo 1 – che novella la legge n.</w:t>
      </w:r>
      <w:r>
        <w:rPr>
          <w:rFonts w:cs="Arial"/>
          <w:szCs w:val="22"/>
        </w:rPr>
        <w:t xml:space="preserve"> </w:t>
      </w:r>
      <w:r w:rsidRPr="00FC51A7">
        <w:rPr>
          <w:rFonts w:cs="Arial"/>
          <w:szCs w:val="22"/>
        </w:rPr>
        <w:t>146 del 1990, sul diritto di sciopero nei servizi pubblici essenziali – allo scopo di precisare se si intendano ricomprendere nel raggio d'azione della novella anche i musei e i luoghi della cultura appartenenti a soggetti privati, come sembrerebbe deporre la lettera della norma, ovvero se si intenda circoscrivere la novella in questione ai soli musei e ai luoghi della cultura appartenenti a soggetti pubblici, come sembrerebbe invece desumersi dalla relazione illustrativa ed in sintonia con quanto previsto dall'articolo 101, comma 4, del decreto legislativo 22 gennaio 2004, n.</w:t>
      </w:r>
      <w:r>
        <w:rPr>
          <w:rFonts w:cs="Arial"/>
          <w:szCs w:val="22"/>
        </w:rPr>
        <w:t xml:space="preserve"> </w:t>
      </w:r>
      <w:r w:rsidRPr="00FC51A7">
        <w:rPr>
          <w:rFonts w:cs="Arial"/>
          <w:szCs w:val="22"/>
        </w:rPr>
        <w:t>42, che qualifica il servizio espletato dai soggetti privati quale servizio privato di utilità sociale</w:t>
      </w:r>
      <w:r w:rsidRPr="00261390">
        <w:rPr>
          <w:rFonts w:cs="Arial"/>
          <w:szCs w:val="22"/>
        </w:rPr>
        <w:t>;</w:t>
      </w:r>
      <w:r>
        <w:rPr>
          <w:rFonts w:cs="Arial"/>
          <w:szCs w:val="22"/>
        </w:rPr>
        <w:t xml:space="preserve"> [</w:t>
      </w:r>
      <w:hyperlink w:anchor="premessa22" w:history="1">
        <w:r w:rsidRPr="00261390">
          <w:rPr>
            <w:rStyle w:val="Collegamentoipertestuale"/>
            <w:rFonts w:cs="Arial"/>
            <w:szCs w:val="22"/>
          </w:rPr>
          <w:t>torna su</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CC2FFB" w:rsidRDefault="000B33A8" w:rsidP="0041678A">
      <w:pPr>
        <w:keepNext/>
        <w:ind w:firstLine="0"/>
        <w:rPr>
          <w:rFonts w:cs="Arial"/>
          <w:b/>
          <w:szCs w:val="22"/>
        </w:rPr>
      </w:pPr>
      <w:bookmarkStart w:id="581" w:name="S22O"/>
      <w:r w:rsidRPr="00CC2FFB">
        <w:rPr>
          <w:rFonts w:cs="Arial"/>
          <w:b/>
          <w:szCs w:val="22"/>
        </w:rPr>
        <w:t>Osservazioni:</w:t>
      </w:r>
    </w:p>
    <w:bookmarkEnd w:id="581"/>
    <w:p w:rsidR="000B33A8" w:rsidRPr="00261390" w:rsidRDefault="000B33A8" w:rsidP="0041678A">
      <w:pPr>
        <w:keepNext/>
        <w:ind w:firstLine="0"/>
        <w:rPr>
          <w:rFonts w:cs="Arial"/>
          <w:i/>
          <w:szCs w:val="22"/>
        </w:rPr>
      </w:pPr>
      <w:r w:rsidRPr="00261390">
        <w:rPr>
          <w:rFonts w:cs="Arial"/>
          <w:i/>
          <w:szCs w:val="22"/>
        </w:rPr>
        <w:t>sotto il profilo della chiarezza e della proprietà della fo</w:t>
      </w:r>
      <w:r>
        <w:rPr>
          <w:rFonts w:cs="Arial"/>
          <w:i/>
          <w:szCs w:val="22"/>
        </w:rPr>
        <w:t>rmulazione:</w:t>
      </w:r>
    </w:p>
    <w:p w:rsidR="000B33A8" w:rsidRDefault="000B33A8" w:rsidP="00B26E1F">
      <w:pPr>
        <w:pStyle w:val="Paragrafoelenco"/>
        <w:numPr>
          <w:ilvl w:val="0"/>
          <w:numId w:val="60"/>
        </w:numPr>
        <w:ind w:left="567" w:hanging="283"/>
        <w:rPr>
          <w:rFonts w:cs="Arial"/>
          <w:szCs w:val="22"/>
        </w:rPr>
      </w:pPr>
      <w:bookmarkStart w:id="582" w:name="S22o01"/>
      <w:r w:rsidRPr="00FC51A7">
        <w:rPr>
          <w:rFonts w:cs="Arial"/>
          <w:szCs w:val="22"/>
        </w:rPr>
        <w:t>per quanto detto in premessa</w:t>
      </w:r>
      <w:bookmarkEnd w:id="582"/>
      <w:r w:rsidRPr="00FC51A7">
        <w:rPr>
          <w:rFonts w:cs="Arial"/>
          <w:szCs w:val="22"/>
        </w:rPr>
        <w:t>, all'articolo 1 si dovrebbe altresì chiarire se con l'impiego della locuzione “musei e luoghi della cultura di cui all'articolo 101 del decreto legislativo 22 gennaio 2004, n.</w:t>
      </w:r>
      <w:r>
        <w:rPr>
          <w:rFonts w:cs="Arial"/>
          <w:szCs w:val="22"/>
        </w:rPr>
        <w:t xml:space="preserve"> </w:t>
      </w:r>
      <w:r w:rsidRPr="00FC51A7">
        <w:rPr>
          <w:rFonts w:cs="Arial"/>
          <w:szCs w:val="22"/>
        </w:rPr>
        <w:t xml:space="preserve">42, e successive modificazioni” si intenda circoscrivere l'ambito applicativo della norma, oltre </w:t>
      </w:r>
      <w:r w:rsidRPr="00FC51A7">
        <w:rPr>
          <w:rFonts w:cs="Arial"/>
          <w:szCs w:val="22"/>
        </w:rPr>
        <w:lastRenderedPageBreak/>
        <w:t>che ai luoghi della cultura, ai soli musei; ove l'intento sia invece quello di ricomprendere nel raggio di azione della norma anche le altre “strutture permanenti” qualificabili come istituti della cultura (le biblioteche e gli archivi), si dovrebbe riformulare la norma sostituendo il riferimento ivi contenuto ai “musei” con quello, più appropriato, agli “istituti della cultura”.</w:t>
      </w:r>
      <w:r>
        <w:rPr>
          <w:rFonts w:cs="Arial"/>
          <w:szCs w:val="22"/>
        </w:rPr>
        <w:t xml:space="preserve"> [</w:t>
      </w:r>
      <w:hyperlink w:anchor="premessa22" w:history="1">
        <w:r w:rsidRPr="00261390">
          <w:rPr>
            <w:rStyle w:val="Collegamentoipertestuale"/>
            <w:rFonts w:cs="Arial"/>
            <w:szCs w:val="22"/>
          </w:rPr>
          <w:t>torna su</w:t>
        </w:r>
      </w:hyperlink>
      <w:r>
        <w:rPr>
          <w:rFonts w:cs="Arial"/>
          <w:szCs w:val="22"/>
        </w:rPr>
        <w:t xml:space="preserve">] </w:t>
      </w:r>
    </w:p>
    <w:p w:rsidR="000B33A8" w:rsidRDefault="000B33A8" w:rsidP="000B33A8">
      <w:pPr>
        <w:pStyle w:val="Paragrafoelenco"/>
        <w:ind w:firstLine="0"/>
        <w:rPr>
          <w:rFonts w:cs="Arial"/>
          <w:szCs w:val="22"/>
        </w:rPr>
      </w:pPr>
    </w:p>
    <w:p w:rsidR="000B33A8" w:rsidRDefault="000B33A8" w:rsidP="000B33A8">
      <w:pPr>
        <w:pStyle w:val="Paragrafoelenco"/>
        <w:ind w:firstLine="0"/>
        <w:rPr>
          <w:rFonts w:cs="Arial"/>
          <w:szCs w:val="22"/>
        </w:rPr>
        <w:sectPr w:rsidR="000B33A8" w:rsidSect="000B33A8">
          <w:headerReference w:type="default" r:id="rId393"/>
          <w:footerReference w:type="even" r:id="rId394"/>
          <w:footerReference w:type="default" r:id="rId395"/>
          <w:pgSz w:w="11906" w:h="16838" w:code="9"/>
          <w:pgMar w:top="1985" w:right="1985" w:bottom="1985" w:left="1985" w:header="1134" w:footer="1134" w:gutter="0"/>
          <w:cols w:space="720"/>
          <w:formProt w:val="0"/>
        </w:sectPr>
      </w:pPr>
    </w:p>
    <w:p w:rsidR="000B33A8" w:rsidRPr="005C7D5A" w:rsidRDefault="000B33A8" w:rsidP="000B33A8">
      <w:pPr>
        <w:ind w:firstLine="0"/>
        <w:rPr>
          <w:rFonts w:cs="Arial"/>
          <w:i/>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0023</w:t>
            </w:r>
          </w:p>
        </w:tc>
        <w:tc>
          <w:tcPr>
            <w:tcW w:w="750" w:type="pct"/>
            <w:shd w:val="clear" w:color="auto" w:fill="auto"/>
          </w:tcPr>
          <w:p w:rsidR="000B33A8" w:rsidRPr="00B26E1F" w:rsidRDefault="000B33A8" w:rsidP="000B33A8">
            <w:pPr>
              <w:pStyle w:val="Collegamento"/>
              <w:rPr>
                <w:rFonts w:cs="Arial"/>
              </w:rPr>
            </w:pPr>
            <w:r w:rsidRPr="00B26E1F">
              <w:rPr>
                <w:rFonts w:cs="Arial"/>
              </w:rPr>
              <w:t>3272</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96" w:history="1">
              <w:r w:rsidR="000B33A8" w:rsidRPr="00B26E1F">
                <w:rPr>
                  <w:rStyle w:val="Collegamentoipertestuale"/>
                  <w:rFonts w:cs="Arial"/>
                </w:rPr>
                <w:t>ddl Gov</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Riforma RAI</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97" w:anchor="data.20150930.com48.bollettino.sede00020.tit00010" w:history="1">
              <w:r w:rsidR="000B33A8">
                <w:rPr>
                  <w:rStyle w:val="Collegamentoipertestuale"/>
                </w:rPr>
                <w:t>30/09/2015</w:t>
              </w:r>
            </w:hyperlink>
          </w:p>
        </w:tc>
      </w:tr>
    </w:tbl>
    <w:p w:rsidR="000B33A8" w:rsidRDefault="000B33A8" w:rsidP="000B33A8">
      <w:pPr>
        <w:spacing w:line="240" w:lineRule="auto"/>
        <w:ind w:firstLine="0"/>
        <w:jc w:val="left"/>
        <w:rPr>
          <w:rFonts w:cs="Arial"/>
          <w:sz w:val="24"/>
          <w:szCs w:val="24"/>
        </w:rPr>
      </w:pPr>
    </w:p>
    <w:p w:rsidR="00A87AE9" w:rsidRPr="008B2DCE" w:rsidRDefault="00A87AE9" w:rsidP="000B33A8">
      <w:pPr>
        <w:spacing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6-</w:t>
            </w:r>
            <w:r w:rsidRPr="00B26E1F">
              <w:rPr>
                <w:rFonts w:cs="Arial"/>
                <w:b/>
                <w:bCs/>
                <w:i/>
                <w:sz w:val="24"/>
              </w:rPr>
              <w:t>BIS</w:t>
            </w:r>
            <w:r w:rsidRPr="00B26E1F">
              <w:rPr>
                <w:rFonts w:cs="Arial"/>
                <w:b/>
                <w:bCs/>
                <w:sz w:val="24"/>
              </w:rPr>
              <w:t>,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583" w:name="premessa23"/>
            <w:r w:rsidRPr="00B26E1F">
              <w:rPr>
                <w:rFonts w:cs="Arial"/>
                <w:b/>
                <w:color w:val="0000FF"/>
                <w:sz w:val="24"/>
                <w:szCs w:val="24"/>
              </w:rPr>
              <w:t>Premessa</w:t>
            </w:r>
            <w:bookmarkEnd w:id="583"/>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2 Condizioni, 1 Osservazione</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3a01" w:history="1">
              <w:r w:rsidR="000B33A8" w:rsidRPr="00D40FBA">
                <w:rPr>
                  <w:rStyle w:val="Collegamentoipertestuale"/>
                </w:rPr>
                <w:t>1</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7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3a02" w:history="1">
              <w:r w:rsidR="000B33A8" w:rsidRPr="00812559">
                <w:rPr>
                  <w:rStyle w:val="Collegamentoipertestuale"/>
                </w:rPr>
                <w:t>2</w:t>
              </w:r>
            </w:hyperlink>
            <w:r w:rsidR="000B33A8" w:rsidRPr="00B26E1F">
              <w:rPr>
                <w:rFonts w:cs="Arial"/>
              </w:rPr>
              <w:t xml:space="preserve"> – </w:t>
            </w:r>
            <w:r w:rsidR="000B33A8">
              <w:t>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3a03" w:history="1">
              <w:r w:rsidR="000B33A8" w:rsidRPr="00812559">
                <w:rPr>
                  <w:rStyle w:val="Collegamentoipertestuale"/>
                </w:rPr>
                <w:t>3</w:t>
              </w:r>
            </w:hyperlink>
            <w:r w:rsidR="000B33A8" w:rsidRPr="00B26E1F">
              <w:rPr>
                <w:rFonts w:cs="Arial"/>
              </w:rPr>
              <w:t xml:space="preserve"> – </w:t>
            </w:r>
            <w:r w:rsidR="000B33A8">
              <w:t>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Principi e criteri direttivi generici o meramente ripetitivi di disposizioni già presenti nel testo unico in vigore o riproduttivi di principi e criteri di delega già contenuti nella delega relativa al testo unico attualmente in vigore.</w:t>
            </w:r>
          </w:p>
          <w:p w:rsidR="000B33A8" w:rsidRPr="00B26E1F" w:rsidRDefault="000B33A8" w:rsidP="00B26E1F">
            <w:pPr>
              <w:spacing w:before="100" w:beforeAutospacing="1" w:after="100" w:afterAutospacing="1"/>
              <w:ind w:firstLine="0"/>
              <w:rPr>
                <w:rFonts w:cs="Arial"/>
              </w:rPr>
            </w:pPr>
            <w:r w:rsidRPr="00B26E1F">
              <w:rPr>
                <w:rFonts w:cs="Arial"/>
              </w:rPr>
              <w:t>Condizione 2</w:t>
            </w:r>
          </w:p>
        </w:tc>
      </w:tr>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3a04" w:history="1">
              <w:r w:rsidR="000B33A8" w:rsidRPr="006533B3">
                <w:rPr>
                  <w:rStyle w:val="Collegamentoipertestuale"/>
                </w:rPr>
                <w:t>4</w:t>
              </w:r>
            </w:hyperlink>
            <w:r w:rsidR="000B33A8">
              <w:t xml:space="preserve"> – 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Il provvedimento reca disposizioni meramente ricognitive o riproduttive di altre già vigenti.</w:t>
            </w:r>
          </w:p>
        </w:tc>
      </w:tr>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3a05" w:history="1">
              <w:r w:rsidR="000B33A8" w:rsidRPr="006533B3">
                <w:rPr>
                  <w:rStyle w:val="Collegamentoipertestuale"/>
                </w:rPr>
                <w:t>5</w:t>
              </w:r>
            </w:hyperlink>
            <w:r w:rsidR="000B33A8">
              <w:t xml:space="preserve"> –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Presenti</w:t>
            </w:r>
          </w:p>
        </w:tc>
      </w:tr>
    </w:tbl>
    <w:p w:rsidR="000B33A8" w:rsidRDefault="000B33A8" w:rsidP="000B33A8"/>
    <w:p w:rsidR="000B33A8" w:rsidRPr="008B2DCE" w:rsidRDefault="000B33A8" w:rsidP="000B33A8">
      <w:pPr>
        <w:spacing w:line="240" w:lineRule="auto"/>
        <w:ind w:firstLine="0"/>
        <w:jc w:val="left"/>
        <w:rPr>
          <w:rFonts w:cs="Arial"/>
          <w:sz w:val="24"/>
          <w:szCs w:val="24"/>
        </w:rPr>
      </w:pPr>
    </w:p>
    <w:tbl>
      <w:tblPr>
        <w:tblW w:w="5000" w:type="pct"/>
        <w:tblLook w:val="01E0" w:firstRow="1" w:lastRow="1" w:firstColumn="1" w:lastColumn="1" w:noHBand="0" w:noVBand="0"/>
      </w:tblPr>
      <w:tblGrid>
        <w:gridCol w:w="4190"/>
        <w:gridCol w:w="3962"/>
      </w:tblGrid>
      <w:tr w:rsidR="000B33A8" w:rsidRPr="003A3958" w:rsidTr="0041678A">
        <w:tc>
          <w:tcPr>
            <w:tcW w:w="5000" w:type="pct"/>
            <w:gridSpan w:val="2"/>
            <w:shd w:val="clear" w:color="auto" w:fill="auto"/>
          </w:tcPr>
          <w:p w:rsidR="000B33A8" w:rsidRPr="00B26E1F" w:rsidRDefault="000B33A8" w:rsidP="00B26E1F">
            <w:pPr>
              <w:keepNext/>
              <w:spacing w:before="100" w:beforeAutospacing="1" w:after="100" w:afterAutospacing="1"/>
              <w:ind w:firstLine="0"/>
              <w:jc w:val="left"/>
              <w:rPr>
                <w:rFonts w:cs="Arial"/>
                <w:sz w:val="24"/>
                <w:szCs w:val="24"/>
              </w:rPr>
            </w:pPr>
            <w:r w:rsidRPr="00B26E1F">
              <w:rPr>
                <w:rFonts w:cs="Arial"/>
                <w:b/>
                <w:color w:val="0000FF"/>
                <w:sz w:val="24"/>
                <w:szCs w:val="24"/>
              </w:rPr>
              <w:t>Rilievi</w:t>
            </w:r>
          </w:p>
        </w:tc>
      </w:tr>
      <w:tr w:rsidR="000B33A8" w:rsidRPr="003A04FD" w:rsidTr="0041678A">
        <w:trPr>
          <w:trHeight w:val="423"/>
        </w:trPr>
        <w:tc>
          <w:tcPr>
            <w:tcW w:w="2570" w:type="pct"/>
            <w:tcBorders>
              <w:top w:val="nil"/>
              <w:left w:val="nil"/>
              <w:bottom w:val="nil"/>
              <w:right w:val="nil"/>
            </w:tcBorders>
            <w:shd w:val="clear" w:color="auto" w:fill="auto"/>
          </w:tcPr>
          <w:p w:rsidR="000B33A8" w:rsidRDefault="00EB0878" w:rsidP="0041678A">
            <w:pPr>
              <w:keepNext/>
              <w:spacing w:before="100" w:beforeAutospacing="1" w:after="100" w:afterAutospacing="1"/>
              <w:ind w:firstLine="0"/>
              <w:jc w:val="left"/>
            </w:pPr>
            <w:hyperlink w:anchor="S23O" w:history="1">
              <w:r w:rsidR="000B33A8" w:rsidRPr="00DF4FA4">
                <w:rPr>
                  <w:rStyle w:val="Collegamentoipertestuale"/>
                </w:rPr>
                <w:t>C</w:t>
              </w:r>
            </w:hyperlink>
            <w:r w:rsidR="000B33A8">
              <w:t xml:space="preserve"> - Condizioni</w:t>
            </w:r>
          </w:p>
        </w:tc>
        <w:tc>
          <w:tcPr>
            <w:tcW w:w="2430" w:type="pct"/>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r w:rsidR="000B33A8" w:rsidRPr="003A04FD" w:rsidTr="0041678A">
        <w:trPr>
          <w:trHeight w:val="423"/>
        </w:trPr>
        <w:tc>
          <w:tcPr>
            <w:tcW w:w="2570" w:type="pct"/>
            <w:tcBorders>
              <w:top w:val="nil"/>
              <w:left w:val="nil"/>
              <w:bottom w:val="nil"/>
              <w:right w:val="nil"/>
            </w:tcBorders>
            <w:shd w:val="clear" w:color="auto" w:fill="auto"/>
          </w:tcPr>
          <w:p w:rsidR="000B33A8" w:rsidRPr="003A04FD" w:rsidRDefault="00EB0878" w:rsidP="000B33A8">
            <w:pPr>
              <w:keepNext/>
              <w:spacing w:before="100" w:beforeAutospacing="1" w:after="100" w:afterAutospacing="1"/>
              <w:ind w:firstLine="0"/>
              <w:jc w:val="left"/>
              <w:rPr>
                <w:rFonts w:cs="Arial"/>
              </w:rPr>
            </w:pPr>
            <w:hyperlink w:anchor="S23O" w:history="1">
              <w:r w:rsidR="000B33A8" w:rsidRPr="00852C73">
                <w:rPr>
                  <w:rStyle w:val="Collegamentoipertestuale"/>
                  <w:rFonts w:cs="Arial"/>
                </w:rPr>
                <w:t>O</w:t>
              </w:r>
            </w:hyperlink>
            <w:r w:rsidR="000B33A8" w:rsidRPr="003A04FD">
              <w:rPr>
                <w:rFonts w:cs="Arial"/>
              </w:rPr>
              <w:t xml:space="preserve"> - Osservazioni</w:t>
            </w:r>
          </w:p>
        </w:tc>
        <w:tc>
          <w:tcPr>
            <w:tcW w:w="2430" w:type="pct"/>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41678A" w:rsidRDefault="0041678A"/>
    <w:p w:rsidR="00A87AE9" w:rsidRDefault="00A87AE9"/>
    <w:tbl>
      <w:tblPr>
        <w:tblW w:w="5022" w:type="pct"/>
        <w:tblLook w:val="01E0" w:firstRow="1" w:lastRow="1" w:firstColumn="1" w:lastColumn="1" w:noHBand="0" w:noVBand="0"/>
      </w:tblPr>
      <w:tblGrid>
        <w:gridCol w:w="4191"/>
        <w:gridCol w:w="3997"/>
      </w:tblGrid>
      <w:tr w:rsidR="000B33A8" w:rsidRPr="003A3958" w:rsidTr="0041678A">
        <w:trPr>
          <w:trHeight w:val="423"/>
        </w:trPr>
        <w:tc>
          <w:tcPr>
            <w:tcW w:w="2559" w:type="pct"/>
            <w:tcBorders>
              <w:top w:val="nil"/>
              <w:left w:val="nil"/>
              <w:right w:val="nil"/>
            </w:tcBorders>
            <w:shd w:val="clear" w:color="auto" w:fill="auto"/>
          </w:tcPr>
          <w:p w:rsidR="000B33A8" w:rsidRPr="003A3958" w:rsidRDefault="000B33A8" w:rsidP="000B33A8">
            <w:pPr>
              <w:keepNext/>
              <w:spacing w:before="100" w:beforeAutospacing="1" w:after="100" w:afterAutospacing="1"/>
              <w:ind w:firstLine="0"/>
              <w:jc w:val="left"/>
              <w:rPr>
                <w:sz w:val="24"/>
                <w:szCs w:val="24"/>
              </w:rPr>
            </w:pPr>
            <w:r w:rsidRPr="003A3958">
              <w:rPr>
                <w:rFonts w:cs="Arial"/>
                <w:b/>
                <w:color w:val="0000FF"/>
                <w:sz w:val="24"/>
                <w:szCs w:val="24"/>
              </w:rPr>
              <w:t>Rilievi</w:t>
            </w:r>
            <w:r>
              <w:rPr>
                <w:rFonts w:cs="Arial"/>
                <w:b/>
                <w:color w:val="0000FF"/>
                <w:sz w:val="24"/>
                <w:szCs w:val="24"/>
              </w:rPr>
              <w:t xml:space="preserve"> non presenti in premessa</w:t>
            </w:r>
          </w:p>
        </w:tc>
        <w:tc>
          <w:tcPr>
            <w:tcW w:w="2441" w:type="pct"/>
            <w:tcBorders>
              <w:top w:val="nil"/>
              <w:left w:val="nil"/>
              <w:right w:val="nil"/>
            </w:tcBorders>
            <w:shd w:val="clear" w:color="auto" w:fill="auto"/>
          </w:tcPr>
          <w:p w:rsidR="000B33A8" w:rsidRPr="003A3958" w:rsidRDefault="000B33A8" w:rsidP="000B33A8">
            <w:pPr>
              <w:keepNext/>
              <w:spacing w:before="100" w:beforeAutospacing="1" w:after="100" w:afterAutospacing="1"/>
              <w:ind w:firstLine="0"/>
              <w:jc w:val="left"/>
              <w:rPr>
                <w:rFonts w:cs="Arial"/>
                <w:sz w:val="24"/>
                <w:szCs w:val="24"/>
              </w:rPr>
            </w:pPr>
          </w:p>
        </w:tc>
      </w:tr>
      <w:tr w:rsidR="000B33A8" w:rsidRPr="003A3958" w:rsidTr="0041678A">
        <w:trPr>
          <w:trHeight w:val="423"/>
        </w:trPr>
        <w:tc>
          <w:tcPr>
            <w:tcW w:w="2559" w:type="pct"/>
            <w:shd w:val="clear" w:color="auto" w:fill="auto"/>
          </w:tcPr>
          <w:p w:rsidR="000B33A8" w:rsidRPr="003A3958" w:rsidRDefault="000B33A8" w:rsidP="0041678A">
            <w:pPr>
              <w:keepNext/>
              <w:spacing w:before="100" w:beforeAutospacing="1" w:after="100" w:afterAutospacing="1"/>
              <w:ind w:firstLine="0"/>
              <w:jc w:val="left"/>
              <w:rPr>
                <w:rFonts w:cs="Arial"/>
                <w:b/>
                <w:color w:val="0000FF"/>
                <w:sz w:val="24"/>
                <w:szCs w:val="24"/>
              </w:rPr>
            </w:pPr>
            <w:r>
              <w:rPr>
                <w:rFonts w:cs="Arial"/>
              </w:rPr>
              <w:t>Rubrica dell’articolo 1</w:t>
            </w:r>
          </w:p>
        </w:tc>
        <w:tc>
          <w:tcPr>
            <w:tcW w:w="2441" w:type="pct"/>
            <w:shd w:val="clear" w:color="auto" w:fill="auto"/>
          </w:tcPr>
          <w:p w:rsidR="000B33A8" w:rsidRPr="003A3958" w:rsidRDefault="00EB0878" w:rsidP="0041678A">
            <w:pPr>
              <w:keepNext/>
              <w:spacing w:before="100" w:beforeAutospacing="1" w:after="100" w:afterAutospacing="1"/>
              <w:ind w:firstLine="0"/>
              <w:jc w:val="left"/>
              <w:rPr>
                <w:rFonts w:cs="Arial"/>
                <w:szCs w:val="22"/>
              </w:rPr>
            </w:pPr>
            <w:hyperlink w:anchor="S23o01" w:history="1">
              <w:r w:rsidR="000B33A8" w:rsidRPr="0006788D">
                <w:rPr>
                  <w:rStyle w:val="Collegamentoipertestuale"/>
                  <w:rFonts w:cs="Arial"/>
                  <w:szCs w:val="22"/>
                </w:rPr>
                <w:t>Osservazione 1</w:t>
              </w:r>
            </w:hyperlink>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nessuno.</w:t>
            </w:r>
          </w:p>
        </w:tc>
      </w:tr>
    </w:tbl>
    <w:p w:rsidR="000B33A8" w:rsidRDefault="000B33A8" w:rsidP="000B33A8">
      <w:pPr>
        <w:spacing w:line="240" w:lineRule="auto"/>
        <w:ind w:firstLine="0"/>
        <w:jc w:val="left"/>
        <w:rPr>
          <w:rFonts w:cs="Arial"/>
          <w:sz w:val="24"/>
          <w:szCs w:val="24"/>
        </w:rPr>
      </w:pPr>
    </w:p>
    <w:p w:rsidR="000B33A8" w:rsidRPr="008B2DCE" w:rsidRDefault="000B33A8" w:rsidP="000B33A8">
      <w:pPr>
        <w:spacing w:line="240" w:lineRule="auto"/>
        <w:ind w:firstLine="0"/>
        <w:jc w:val="left"/>
        <w:rPr>
          <w:rFonts w:cs="Arial"/>
          <w:sz w:val="24"/>
          <w:szCs w:val="24"/>
        </w:rPr>
      </w:pPr>
    </w:p>
    <w:p w:rsidR="000B33A8" w:rsidRPr="00B91F58" w:rsidRDefault="000B33A8" w:rsidP="000B33A8">
      <w:pPr>
        <w:spacing w:after="120"/>
        <w:rPr>
          <w:rFonts w:cs="Arial"/>
          <w:szCs w:val="22"/>
        </w:rPr>
      </w:pPr>
      <w:bookmarkStart w:id="584" w:name="S23a01"/>
      <w:r w:rsidRPr="00B91F58">
        <w:rPr>
          <w:rFonts w:cs="Arial"/>
          <w:szCs w:val="22"/>
        </w:rPr>
        <w:t>1 –</w:t>
      </w:r>
      <w:bookmarkEnd w:id="584"/>
      <w:r w:rsidRPr="00B91F58">
        <w:rPr>
          <w:rFonts w:cs="Arial"/>
          <w:szCs w:val="22"/>
        </w:rPr>
        <w:t xml:space="preserve"> </w:t>
      </w:r>
      <w:hyperlink w:anchor="premessa23" w:history="1">
        <w:r w:rsidRPr="00B91F58">
          <w:rPr>
            <w:rStyle w:val="Collegamentoipertestuale"/>
            <w:rFonts w:cs="Arial"/>
            <w:b/>
            <w:szCs w:val="22"/>
          </w:rPr>
          <w:t>Premessa</w:t>
        </w:r>
        <w:r w:rsidRPr="00B91F58">
          <w:rPr>
            <w:rStyle w:val="Collegamentoipertestuale"/>
            <w:rFonts w:cs="Arial"/>
            <w:szCs w:val="22"/>
          </w:rPr>
          <w:t>:</w:t>
        </w:r>
      </w:hyperlink>
      <w:r w:rsidRPr="0018495B">
        <w:rPr>
          <w:rStyle w:val="Collegamentoipertestuale"/>
          <w:rFonts w:cs="Arial"/>
          <w:szCs w:val="22"/>
        </w:rPr>
        <w:t xml:space="preserve"> </w:t>
      </w:r>
      <w:r w:rsidRPr="00B91F58">
        <w:rPr>
          <w:rFonts w:cs="Arial"/>
          <w:szCs w:val="22"/>
        </w:rPr>
        <w:t>«</w:t>
      </w:r>
      <w:r w:rsidRPr="003A3958">
        <w:rPr>
          <w:rFonts w:cs="Arial"/>
          <w:szCs w:val="22"/>
        </w:rPr>
        <w:t xml:space="preserve">il disegno di legge, che si compone di 5 articoli, reca un </w:t>
      </w:r>
      <w:r w:rsidRPr="003A3958">
        <w:rPr>
          <w:rFonts w:cs="Arial"/>
          <w:b/>
          <w:szCs w:val="22"/>
        </w:rPr>
        <w:t>contenuto omogeneo</w:t>
      </w:r>
      <w:r w:rsidRPr="003A3958">
        <w:rPr>
          <w:rFonts w:cs="Arial"/>
          <w:szCs w:val="22"/>
        </w:rPr>
        <w:t xml:space="preserve">, in quanto interviene sulla disciplina del contratto unico di servizio con la società concessionaria del servizio pubblico generale radiotelevisivo (articolo 1), riforma l'assetto di </w:t>
      </w:r>
      <w:r w:rsidRPr="003A3958">
        <w:rPr>
          <w:rFonts w:cs="Arial"/>
          <w:i/>
          <w:iCs/>
          <w:szCs w:val="22"/>
        </w:rPr>
        <w:t>governance</w:t>
      </w:r>
      <w:r w:rsidRPr="003A3958">
        <w:rPr>
          <w:rFonts w:cs="Arial"/>
          <w:szCs w:val="22"/>
        </w:rPr>
        <w:t xml:space="preserve"> della RAI (articolo 2), interviene sull'attività gestionale della medesima società (articolo 3), reca una delega al Governo per il riassetto normativo in materia (articolo 4) e contiene, infine, le disposizioni transitorie (articolo 5)</w:t>
      </w:r>
      <w:r w:rsidRPr="00B91F58">
        <w:rPr>
          <w:rFonts w:cs="Arial"/>
          <w:szCs w:val="22"/>
        </w:rPr>
        <w:t>»;</w:t>
      </w:r>
      <w:r>
        <w:rPr>
          <w:rFonts w:cs="Arial"/>
          <w:szCs w:val="22"/>
        </w:rPr>
        <w:t xml:space="preserve"> </w:t>
      </w:r>
    </w:p>
    <w:p w:rsidR="000B33A8" w:rsidRPr="00B91F58" w:rsidRDefault="000B33A8" w:rsidP="000B33A8">
      <w:pPr>
        <w:spacing w:line="240" w:lineRule="auto"/>
        <w:ind w:firstLine="0"/>
        <w:jc w:val="left"/>
        <w:rPr>
          <w:rFonts w:cs="Arial"/>
          <w:szCs w:val="22"/>
        </w:rPr>
      </w:pPr>
    </w:p>
    <w:p w:rsidR="000B33A8" w:rsidRPr="00B91F58" w:rsidRDefault="000B33A8" w:rsidP="000B33A8">
      <w:pPr>
        <w:spacing w:line="240" w:lineRule="auto"/>
        <w:ind w:firstLine="0"/>
        <w:jc w:val="left"/>
        <w:rPr>
          <w:rFonts w:cs="Arial"/>
          <w:szCs w:val="22"/>
        </w:rPr>
      </w:pPr>
    </w:p>
    <w:p w:rsidR="000B33A8" w:rsidRPr="00B91F58" w:rsidRDefault="000B33A8" w:rsidP="000B33A8">
      <w:pPr>
        <w:rPr>
          <w:rFonts w:cs="Arial"/>
          <w:szCs w:val="22"/>
        </w:rPr>
      </w:pPr>
      <w:bookmarkStart w:id="585" w:name="S23a02"/>
      <w:r w:rsidRPr="00B91F58">
        <w:rPr>
          <w:rFonts w:cs="Arial"/>
          <w:szCs w:val="22"/>
        </w:rPr>
        <w:t>2 –</w:t>
      </w:r>
      <w:bookmarkEnd w:id="585"/>
      <w:r w:rsidRPr="00B91F58">
        <w:rPr>
          <w:rFonts w:cs="Arial"/>
          <w:szCs w:val="22"/>
        </w:rPr>
        <w:t xml:space="preserve"> </w:t>
      </w:r>
      <w:hyperlink w:anchor="premessa2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A3958">
        <w:t xml:space="preserve">il disegno di legge, all'articolo 1, comma 1, lettera </w:t>
      </w:r>
      <w:r w:rsidRPr="003A3958">
        <w:rPr>
          <w:i/>
          <w:iCs/>
        </w:rPr>
        <w:t>a</w:t>
      </w:r>
      <w:r w:rsidRPr="003A3958">
        <w:t>), modifica l'articolo 45 del testo unico dei servizi di media audiovisivi e radiofonici, di cui al decreto legislativo 31 luglio 2005, n.</w:t>
      </w:r>
      <w:r>
        <w:t xml:space="preserve"> </w:t>
      </w:r>
      <w:r w:rsidRPr="003A3958">
        <w:t xml:space="preserve">177, sostituendo </w:t>
      </w:r>
      <w:r w:rsidRPr="003A3958">
        <w:rPr>
          <w:b/>
        </w:rPr>
        <w:t>l'espressione</w:t>
      </w:r>
      <w:r w:rsidRPr="003A3958">
        <w:t xml:space="preserve"> “servizio pubblico generale radiotelevisivo” con la locuzione “servizio pubblico radiofonico, televisivo e multimediale”: il provvedimento non provvede tuttavia a coordinare con la nuova locuzione né la terminologia usata in altre parti del disegno di legge all'esame (per esempio alla lettera </w:t>
      </w:r>
      <w:r w:rsidRPr="003A3958">
        <w:rPr>
          <w:i/>
          <w:iCs/>
        </w:rPr>
        <w:t>b</w:t>
      </w:r>
      <w:r w:rsidRPr="003A3958">
        <w:t xml:space="preserve">) del medesimo comma 1) né quella presente nelle rimanenti disposizioni del testo unico nelle quali ricorre l'espressione “servizio pubblico generale radiotelevisivo” (ad esempio, all'articolo 2, comma 1, lettera </w:t>
      </w:r>
      <w:r w:rsidRPr="003A3958">
        <w:rPr>
          <w:i/>
          <w:iCs/>
        </w:rPr>
        <w:t>t</w:t>
      </w:r>
      <w:r w:rsidRPr="003A3958">
        <w:t>), che ne reca la stessa definizione)</w:t>
      </w:r>
      <w:r w:rsidRPr="00B91F58">
        <w:rPr>
          <w:rFonts w:cs="Arial"/>
          <w:szCs w:val="22"/>
        </w:rPr>
        <w:t>»</w:t>
      </w:r>
      <w:r>
        <w:rPr>
          <w:rFonts w:cs="Arial"/>
          <w:szCs w:val="22"/>
        </w:rPr>
        <w:t xml:space="preserve"> (</w:t>
      </w:r>
      <w:hyperlink w:anchor="S23c01" w:history="1">
        <w:r>
          <w:rPr>
            <w:rStyle w:val="Collegamentoipertestuale"/>
            <w:rFonts w:cs="Arial"/>
            <w:b/>
            <w:szCs w:val="22"/>
          </w:rPr>
          <w:t>conseguente condizione</w:t>
        </w:r>
      </w:hyperlink>
      <w:r>
        <w:rPr>
          <w:rFonts w:cs="Arial"/>
          <w:szCs w:val="22"/>
        </w:rPr>
        <w:t xml:space="preserve">); </w:t>
      </w:r>
    </w:p>
    <w:p w:rsidR="000B33A8" w:rsidRPr="00B91F58" w:rsidRDefault="000B33A8" w:rsidP="000B33A8">
      <w:pPr>
        <w:spacing w:line="240" w:lineRule="auto"/>
        <w:ind w:firstLine="0"/>
        <w:jc w:val="left"/>
        <w:rPr>
          <w:rFonts w:cs="Arial"/>
          <w:szCs w:val="22"/>
        </w:rPr>
      </w:pPr>
    </w:p>
    <w:p w:rsidR="000B33A8" w:rsidRPr="00B91F58" w:rsidRDefault="000B33A8" w:rsidP="000B33A8">
      <w:pPr>
        <w:spacing w:line="240" w:lineRule="auto"/>
        <w:ind w:firstLine="0"/>
        <w:jc w:val="left"/>
        <w:rPr>
          <w:rFonts w:cs="Arial"/>
          <w:szCs w:val="22"/>
        </w:rPr>
      </w:pPr>
    </w:p>
    <w:p w:rsidR="000B33A8" w:rsidRPr="00B91F58" w:rsidRDefault="000B33A8" w:rsidP="000B33A8">
      <w:pPr>
        <w:rPr>
          <w:rFonts w:cs="Arial"/>
          <w:szCs w:val="22"/>
        </w:rPr>
      </w:pPr>
      <w:bookmarkStart w:id="586" w:name="S23a03"/>
      <w:r w:rsidRPr="00B91F58">
        <w:rPr>
          <w:rFonts w:cs="Arial"/>
          <w:szCs w:val="22"/>
        </w:rPr>
        <w:t>3 –</w:t>
      </w:r>
      <w:bookmarkEnd w:id="586"/>
      <w:r w:rsidRPr="00B91F58">
        <w:rPr>
          <w:rFonts w:cs="Arial"/>
          <w:szCs w:val="22"/>
        </w:rPr>
        <w:t xml:space="preserve"> </w:t>
      </w:r>
      <w:hyperlink w:anchor="premessa2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A3958">
        <w:rPr>
          <w:rFonts w:cs="Arial"/>
          <w:szCs w:val="22"/>
        </w:rPr>
        <w:t>il disegno di legge, all'articolo 4, comma 2, nel delegare il Governo ad adottare un decreto legislativo che modifichi il vigente testo unico di cui al decreto legislativo 31 luglio 2005, n.</w:t>
      </w:r>
      <w:r>
        <w:rPr>
          <w:rFonts w:cs="Arial"/>
          <w:szCs w:val="22"/>
        </w:rPr>
        <w:t xml:space="preserve"> </w:t>
      </w:r>
      <w:r w:rsidRPr="003A3958">
        <w:rPr>
          <w:rFonts w:cs="Arial"/>
          <w:szCs w:val="22"/>
        </w:rPr>
        <w:t xml:space="preserve">177, enuclea </w:t>
      </w:r>
      <w:r w:rsidRPr="003A3958">
        <w:rPr>
          <w:rFonts w:cs="Arial"/>
          <w:b/>
          <w:szCs w:val="22"/>
        </w:rPr>
        <w:t>principi e criteri direttivi</w:t>
      </w:r>
      <w:r w:rsidRPr="003A3958">
        <w:rPr>
          <w:rFonts w:cs="Arial"/>
          <w:szCs w:val="22"/>
        </w:rPr>
        <w:t xml:space="preserve"> ulteriori rispetto a quelli in base ai quali è stato emanato il testo unico stesso, e contenuti all'articolo 16 della legge n.</w:t>
      </w:r>
      <w:r>
        <w:rPr>
          <w:rFonts w:cs="Arial"/>
          <w:szCs w:val="22"/>
        </w:rPr>
        <w:t xml:space="preserve"> </w:t>
      </w:r>
      <w:r w:rsidRPr="003A3958">
        <w:rPr>
          <w:rFonts w:cs="Arial"/>
          <w:szCs w:val="22"/>
        </w:rPr>
        <w:t xml:space="preserve">112 del 2004; i suddetti principi e criteri, tuttavia, in un caso, (e, segnatamente, alla lettera </w:t>
      </w:r>
      <w:r w:rsidRPr="003A3958">
        <w:rPr>
          <w:rFonts w:cs="Arial"/>
          <w:i/>
          <w:iCs/>
          <w:szCs w:val="22"/>
        </w:rPr>
        <w:t>a</w:t>
      </w:r>
      <w:r w:rsidRPr="003A3958">
        <w:rPr>
          <w:rFonts w:cs="Arial"/>
          <w:szCs w:val="22"/>
        </w:rPr>
        <w:t>), che prevede il riordino e la semplificazione delle disposizioni vigenti “</w:t>
      </w:r>
      <w:r w:rsidRPr="003A3958">
        <w:rPr>
          <w:rFonts w:cs="Arial"/>
          <w:i/>
          <w:iCs/>
          <w:szCs w:val="22"/>
        </w:rPr>
        <w:t>anche ai fini dell'adeguamento dei compiti del servizio pubblico con riguardo alle diverse piattaforme tecnologiche e tenuto conto dei mutamenti intervenuti</w:t>
      </w:r>
      <w:r w:rsidRPr="003A3958">
        <w:rPr>
          <w:rFonts w:cs="Arial"/>
          <w:szCs w:val="22"/>
        </w:rPr>
        <w:t xml:space="preserve">”) appaiono </w:t>
      </w:r>
      <w:r w:rsidRPr="003A3958">
        <w:rPr>
          <w:rFonts w:cs="Arial"/>
          <w:b/>
          <w:szCs w:val="22"/>
        </w:rPr>
        <w:t>assai generici</w:t>
      </w:r>
      <w:r w:rsidRPr="003A3958">
        <w:rPr>
          <w:rFonts w:cs="Arial"/>
          <w:szCs w:val="22"/>
        </w:rPr>
        <w:t xml:space="preserve">; in altri casi risultano meramente ripetitivi di disposizioni già presenti nel testo unico in vigore (si vedano le lettere </w:t>
      </w:r>
      <w:r w:rsidRPr="003A3958">
        <w:rPr>
          <w:rFonts w:cs="Arial"/>
          <w:i/>
          <w:iCs/>
          <w:szCs w:val="22"/>
        </w:rPr>
        <w:t>b), c)</w:t>
      </w:r>
      <w:r w:rsidRPr="003A3958">
        <w:rPr>
          <w:rFonts w:cs="Arial"/>
          <w:szCs w:val="22"/>
        </w:rPr>
        <w:t xml:space="preserve"> e </w:t>
      </w:r>
      <w:r w:rsidRPr="003A3958">
        <w:rPr>
          <w:rFonts w:cs="Arial"/>
          <w:i/>
          <w:iCs/>
          <w:szCs w:val="22"/>
        </w:rPr>
        <w:t>d)</w:t>
      </w:r>
      <w:r w:rsidRPr="003A3958">
        <w:rPr>
          <w:rFonts w:cs="Arial"/>
          <w:szCs w:val="22"/>
        </w:rPr>
        <w:t xml:space="preserve">, che riproducono in forma di principi e criteri direttivi le previsioni di cui all'articolo 45, comma 2, lettere </w:t>
      </w:r>
      <w:r w:rsidRPr="003A3958">
        <w:rPr>
          <w:rFonts w:cs="Arial"/>
          <w:i/>
          <w:iCs/>
          <w:szCs w:val="22"/>
        </w:rPr>
        <w:t>h)</w:t>
      </w:r>
      <w:r w:rsidRPr="003A3958">
        <w:rPr>
          <w:rFonts w:cs="Arial"/>
          <w:szCs w:val="22"/>
        </w:rPr>
        <w:t xml:space="preserve"> (contenuti dedicati specificamente ai minori), </w:t>
      </w:r>
      <w:r w:rsidRPr="003A3958">
        <w:rPr>
          <w:rFonts w:cs="Arial"/>
          <w:i/>
          <w:iCs/>
          <w:szCs w:val="22"/>
        </w:rPr>
        <w:t>a)</w:t>
      </w:r>
      <w:r w:rsidRPr="003A3958">
        <w:rPr>
          <w:rFonts w:cs="Arial"/>
          <w:szCs w:val="22"/>
        </w:rPr>
        <w:t xml:space="preserve"> (copertura integrale di tutto il territorio nazionale) ed </w:t>
      </w:r>
      <w:r w:rsidRPr="003A3958">
        <w:rPr>
          <w:rFonts w:cs="Arial"/>
          <w:i/>
          <w:iCs/>
          <w:szCs w:val="22"/>
        </w:rPr>
        <w:t>f)</w:t>
      </w:r>
      <w:r w:rsidRPr="003A3958">
        <w:rPr>
          <w:rFonts w:cs="Arial"/>
          <w:szCs w:val="22"/>
        </w:rPr>
        <w:t xml:space="preserve"> (effettuazione di trasmissioni nelle lingue delle minoranze linguistiche); mentre, in un altro caso (e, segnatamente, alla lettera </w:t>
      </w:r>
      <w:r w:rsidRPr="003A3958">
        <w:rPr>
          <w:rFonts w:cs="Arial"/>
          <w:i/>
          <w:iCs/>
          <w:szCs w:val="22"/>
        </w:rPr>
        <w:t>e)</w:t>
      </w:r>
      <w:r w:rsidRPr="003A3958">
        <w:rPr>
          <w:rFonts w:cs="Arial"/>
          <w:szCs w:val="22"/>
        </w:rPr>
        <w:t xml:space="preserve">, </w:t>
      </w:r>
      <w:r w:rsidRPr="003A3958">
        <w:rPr>
          <w:rFonts w:cs="Arial"/>
          <w:szCs w:val="22"/>
        </w:rPr>
        <w:lastRenderedPageBreak/>
        <w:t>che indica come criterio l'indicazione espressa delle norme abrogate), risultano riproduttivi di principi e criteri di delega già contenuti nella delega di cui all'articolo 16 della legge n.</w:t>
      </w:r>
      <w:r>
        <w:rPr>
          <w:rFonts w:cs="Arial"/>
          <w:szCs w:val="22"/>
        </w:rPr>
        <w:t xml:space="preserve"> </w:t>
      </w:r>
      <w:r w:rsidRPr="003A3958">
        <w:rPr>
          <w:rFonts w:cs="Arial"/>
          <w:szCs w:val="22"/>
        </w:rPr>
        <w:t>112 del 2004</w:t>
      </w:r>
      <w:r w:rsidRPr="00B91F58">
        <w:rPr>
          <w:rFonts w:cs="Arial"/>
          <w:szCs w:val="22"/>
        </w:rPr>
        <w:t>»</w:t>
      </w:r>
      <w:r>
        <w:rPr>
          <w:rFonts w:cs="Arial"/>
          <w:szCs w:val="22"/>
        </w:rPr>
        <w:t xml:space="preserve"> (</w:t>
      </w:r>
      <w:hyperlink w:anchor="S23c02" w:history="1">
        <w:r>
          <w:rPr>
            <w:rStyle w:val="Collegamentoipertestuale"/>
            <w:rFonts w:cs="Arial"/>
            <w:b/>
            <w:szCs w:val="22"/>
          </w:rPr>
          <w:t>conseguente condizione</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587" w:name="S23a04"/>
      <w:r>
        <w:rPr>
          <w:rFonts w:cs="Arial"/>
          <w:szCs w:val="22"/>
        </w:rPr>
        <w:t>4</w:t>
      </w:r>
      <w:r w:rsidRPr="00B91F58">
        <w:rPr>
          <w:rFonts w:cs="Arial"/>
          <w:szCs w:val="22"/>
        </w:rPr>
        <w:t xml:space="preserve"> </w:t>
      </w:r>
      <w:bookmarkEnd w:id="587"/>
      <w:r w:rsidRPr="00B91F58">
        <w:rPr>
          <w:rFonts w:cs="Arial"/>
          <w:szCs w:val="22"/>
        </w:rPr>
        <w:t xml:space="preserve">– </w:t>
      </w:r>
      <w:hyperlink w:anchor="premessa2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A3958">
        <w:rPr>
          <w:rFonts w:cs="Arial"/>
          <w:szCs w:val="22"/>
        </w:rPr>
        <w:t>il provvedimento reca inoltre disposizioni meramente ricognitive o riproduttive di altre già vigenti; ad esempio, l'articolo 2, comma 2, terzo periodo, ribadisce che, per quanto non diversamente disposto, si applica alla RAI la disciplina relativa alle società per azioni recata dal codice civile, ancorché analoga previsione sia presente nell'articolo 49, comma 2, del testo unico</w:t>
      </w:r>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588" w:name="S23a05"/>
      <w:r>
        <w:rPr>
          <w:rFonts w:cs="Arial"/>
          <w:szCs w:val="22"/>
        </w:rPr>
        <w:t xml:space="preserve">5 </w:t>
      </w:r>
      <w:bookmarkEnd w:id="588"/>
      <w:r>
        <w:rPr>
          <w:rFonts w:cs="Arial"/>
          <w:szCs w:val="22"/>
        </w:rPr>
        <w:t>-</w:t>
      </w:r>
      <w:r w:rsidRPr="00B91F58">
        <w:rPr>
          <w:rFonts w:cs="Arial"/>
          <w:szCs w:val="22"/>
        </w:rPr>
        <w:t xml:space="preserve"> </w:t>
      </w:r>
      <w:hyperlink w:anchor="premessa23"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3A3958">
        <w:rPr>
          <w:rFonts w:cs="Arial"/>
          <w:szCs w:val="22"/>
        </w:rPr>
        <w:t>il disegno di legge nel testo presentato al Senato reca sia l'analisi tecnico-normativa (</w:t>
      </w:r>
      <w:r w:rsidRPr="003A3958">
        <w:rPr>
          <w:rFonts w:cs="Arial"/>
          <w:b/>
          <w:szCs w:val="22"/>
        </w:rPr>
        <w:t>ATN</w:t>
      </w:r>
      <w:r w:rsidRPr="003A3958">
        <w:rPr>
          <w:rFonts w:cs="Arial"/>
          <w:szCs w:val="22"/>
        </w:rPr>
        <w:t>) sia l'analisi di impatto della regolamentazione (</w:t>
      </w:r>
      <w:r w:rsidRPr="003A3958">
        <w:rPr>
          <w:rFonts w:cs="Arial"/>
          <w:b/>
          <w:szCs w:val="22"/>
        </w:rPr>
        <w:t>AIR</w:t>
      </w:r>
      <w:r w:rsidRPr="003A3958">
        <w:rPr>
          <w:rFonts w:cs="Arial"/>
          <w:szCs w:val="22"/>
        </w:rPr>
        <w:t>)</w:t>
      </w:r>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Pr="00CC2FFB" w:rsidRDefault="000B33A8" w:rsidP="000B33A8">
      <w:pPr>
        <w:keepNext/>
        <w:ind w:firstLine="0"/>
        <w:rPr>
          <w:rFonts w:cs="Arial"/>
          <w:b/>
          <w:szCs w:val="22"/>
        </w:rPr>
      </w:pPr>
      <w:bookmarkStart w:id="589" w:name="S23C"/>
      <w:r>
        <w:rPr>
          <w:rFonts w:cs="Arial"/>
          <w:b/>
          <w:szCs w:val="22"/>
        </w:rPr>
        <w:t>Condi</w:t>
      </w:r>
      <w:r w:rsidRPr="00CC2FFB">
        <w:rPr>
          <w:rFonts w:cs="Arial"/>
          <w:b/>
          <w:szCs w:val="22"/>
        </w:rPr>
        <w:t>zioni:</w:t>
      </w:r>
    </w:p>
    <w:bookmarkEnd w:id="589"/>
    <w:p w:rsidR="000B33A8" w:rsidRPr="00261390" w:rsidRDefault="000B33A8" w:rsidP="000B33A8">
      <w:pPr>
        <w:ind w:firstLine="0"/>
        <w:rPr>
          <w:rFonts w:cs="Arial"/>
          <w:i/>
          <w:szCs w:val="22"/>
        </w:rPr>
      </w:pPr>
      <w:r w:rsidRPr="00261390">
        <w:rPr>
          <w:rFonts w:cs="Arial"/>
          <w:i/>
          <w:szCs w:val="22"/>
        </w:rPr>
        <w:t>sotto il profilo della chiarezza e della proprietà della fo</w:t>
      </w:r>
      <w:r>
        <w:rPr>
          <w:rFonts w:cs="Arial"/>
          <w:i/>
          <w:szCs w:val="22"/>
        </w:rPr>
        <w:t>rmulazione:</w:t>
      </w:r>
    </w:p>
    <w:p w:rsidR="000B33A8" w:rsidRDefault="000B33A8" w:rsidP="00B26E1F">
      <w:pPr>
        <w:pStyle w:val="Paragrafoelenco"/>
        <w:numPr>
          <w:ilvl w:val="0"/>
          <w:numId w:val="61"/>
        </w:numPr>
        <w:ind w:left="567" w:hanging="283"/>
        <w:rPr>
          <w:rFonts w:cs="Arial"/>
          <w:szCs w:val="22"/>
        </w:rPr>
      </w:pPr>
      <w:bookmarkStart w:id="590" w:name="S23c01"/>
      <w:r w:rsidRPr="00B93CE9">
        <w:rPr>
          <w:rFonts w:cs="Arial"/>
          <w:szCs w:val="22"/>
        </w:rPr>
        <w:t xml:space="preserve">all'articolo 1, comma </w:t>
      </w:r>
      <w:bookmarkEnd w:id="590"/>
      <w:r w:rsidRPr="00B93CE9">
        <w:rPr>
          <w:rFonts w:cs="Arial"/>
          <w:szCs w:val="22"/>
        </w:rPr>
        <w:t xml:space="preserve">1, lettera </w:t>
      </w:r>
      <w:r w:rsidRPr="00B93CE9">
        <w:rPr>
          <w:rFonts w:cs="Arial"/>
          <w:i/>
          <w:iCs/>
          <w:szCs w:val="22"/>
        </w:rPr>
        <w:t>a)</w:t>
      </w:r>
      <w:r w:rsidRPr="00B93CE9">
        <w:rPr>
          <w:rFonts w:cs="Arial"/>
          <w:szCs w:val="22"/>
        </w:rPr>
        <w:t xml:space="preserve"> – che modifica l'articolo 45 del testo unico dei servizi di media audiovisivi e radiofonici, di cui al decreto legislativo 31 luglio 2005, n.</w:t>
      </w:r>
      <w:r>
        <w:rPr>
          <w:rFonts w:cs="Arial"/>
          <w:szCs w:val="22"/>
        </w:rPr>
        <w:t xml:space="preserve"> </w:t>
      </w:r>
      <w:r w:rsidRPr="00B93CE9">
        <w:rPr>
          <w:rFonts w:cs="Arial"/>
          <w:szCs w:val="22"/>
        </w:rPr>
        <w:t xml:space="preserve">177, sostituendo l'espressione “servizio pubblico generale radiotelevisivo” con la locuzione “servizio pubblico radiofonico, televisivo e multimediale” – provvedano le Commissioni a coordinare la terminologia usata in altre parti del testo (per esempio alla successiva lettera </w:t>
      </w:r>
      <w:r w:rsidRPr="00B93CE9">
        <w:rPr>
          <w:rFonts w:cs="Arial"/>
          <w:i/>
          <w:iCs/>
          <w:szCs w:val="22"/>
        </w:rPr>
        <w:t>b)</w:t>
      </w:r>
      <w:r w:rsidRPr="00B93CE9">
        <w:rPr>
          <w:rFonts w:cs="Arial"/>
          <w:szCs w:val="22"/>
        </w:rPr>
        <w:t xml:space="preserve">, con la modifica in argomento, nonché ad estendere la modifica in oggetto a tutte le disposizioni del testo unico in cui ricorre l'espressione “servizio pubblico generale radiotelevisivo”, a partire dall'articolo 2, comma 1, lettera </w:t>
      </w:r>
      <w:r w:rsidRPr="00B93CE9">
        <w:rPr>
          <w:rFonts w:cs="Arial"/>
          <w:i/>
          <w:iCs/>
          <w:szCs w:val="22"/>
        </w:rPr>
        <w:t>t)</w:t>
      </w:r>
      <w:r w:rsidRPr="00B93CE9">
        <w:rPr>
          <w:rFonts w:cs="Arial"/>
          <w:szCs w:val="22"/>
        </w:rPr>
        <w:t>, che ne reca la definizione</w:t>
      </w:r>
      <w:r w:rsidRPr="00261390">
        <w:rPr>
          <w:rFonts w:cs="Arial"/>
          <w:szCs w:val="22"/>
        </w:rPr>
        <w:t>;</w:t>
      </w:r>
      <w:r>
        <w:rPr>
          <w:rFonts w:cs="Arial"/>
          <w:szCs w:val="22"/>
        </w:rPr>
        <w:t xml:space="preserve"> [</w:t>
      </w:r>
      <w:hyperlink w:anchor="premessa23"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61"/>
        </w:numPr>
        <w:ind w:left="567" w:hanging="283"/>
        <w:rPr>
          <w:rFonts w:cs="Arial"/>
          <w:szCs w:val="22"/>
        </w:rPr>
      </w:pPr>
      <w:bookmarkStart w:id="591" w:name="S23c02"/>
      <w:r w:rsidRPr="00B93CE9">
        <w:rPr>
          <w:rFonts w:cs="Arial"/>
          <w:szCs w:val="22"/>
        </w:rPr>
        <w:t xml:space="preserve">provvedano altresì le Commissioni </w:t>
      </w:r>
      <w:bookmarkEnd w:id="591"/>
      <w:r w:rsidRPr="00B93CE9">
        <w:rPr>
          <w:rFonts w:cs="Arial"/>
          <w:szCs w:val="22"/>
        </w:rPr>
        <w:t xml:space="preserve">a specificare il principio e criterio direttivo di delega contenuto all'articolo 4, comma 2, lettera </w:t>
      </w:r>
      <w:r w:rsidRPr="00B93CE9">
        <w:rPr>
          <w:rFonts w:cs="Arial"/>
          <w:i/>
          <w:iCs/>
          <w:szCs w:val="22"/>
        </w:rPr>
        <w:t>a)</w:t>
      </w:r>
      <w:r w:rsidRPr="00B93CE9">
        <w:rPr>
          <w:rFonts w:cs="Arial"/>
          <w:szCs w:val="22"/>
        </w:rPr>
        <w:t xml:space="preserve">, che, nella sua genericità, dilata oltremodo l'orizzonte della scelta discrezionale del Governo, contestualmente verificando la portata normativa dei principi e dei criteri direttivi contenuti alle lettere da </w:t>
      </w:r>
      <w:r w:rsidRPr="00B93CE9">
        <w:rPr>
          <w:rFonts w:cs="Arial"/>
          <w:i/>
          <w:iCs/>
          <w:szCs w:val="22"/>
        </w:rPr>
        <w:t>b)</w:t>
      </w:r>
      <w:r w:rsidRPr="00B93CE9">
        <w:rPr>
          <w:rFonts w:cs="Arial"/>
          <w:szCs w:val="22"/>
        </w:rPr>
        <w:t xml:space="preserve"> ad </w:t>
      </w:r>
      <w:r w:rsidRPr="00B93CE9">
        <w:rPr>
          <w:rFonts w:cs="Arial"/>
          <w:i/>
          <w:iCs/>
          <w:szCs w:val="22"/>
        </w:rPr>
        <w:t>e)</w:t>
      </w:r>
      <w:r w:rsidRPr="00B93CE9">
        <w:rPr>
          <w:rFonts w:cs="Arial"/>
          <w:szCs w:val="22"/>
        </w:rPr>
        <w:t xml:space="preserve"> del medesimo comma 1</w:t>
      </w:r>
      <w:r w:rsidRPr="00261390">
        <w:rPr>
          <w:rFonts w:cs="Arial"/>
          <w:szCs w:val="22"/>
        </w:rPr>
        <w:t>;</w:t>
      </w:r>
      <w:r>
        <w:rPr>
          <w:rFonts w:cs="Arial"/>
          <w:szCs w:val="22"/>
        </w:rPr>
        <w:t xml:space="preserve"> [</w:t>
      </w:r>
      <w:hyperlink w:anchor="premessa23" w:history="1">
        <w:r w:rsidRPr="00261390">
          <w:rPr>
            <w:rStyle w:val="Collegamentoipertestuale"/>
            <w:rFonts w:cs="Arial"/>
            <w:szCs w:val="22"/>
          </w:rPr>
          <w:t>torna su</w:t>
        </w:r>
      </w:hyperlink>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Default="000B33A8" w:rsidP="00A87AE9">
      <w:pPr>
        <w:keepNext/>
        <w:ind w:firstLine="0"/>
        <w:rPr>
          <w:rFonts w:cs="Arial"/>
          <w:b/>
          <w:szCs w:val="22"/>
        </w:rPr>
      </w:pPr>
      <w:bookmarkStart w:id="592" w:name="S23O"/>
      <w:r w:rsidRPr="00CC2FFB">
        <w:rPr>
          <w:rFonts w:cs="Arial"/>
          <w:b/>
          <w:szCs w:val="22"/>
        </w:rPr>
        <w:lastRenderedPageBreak/>
        <w:t>Osservazioni:</w:t>
      </w:r>
    </w:p>
    <w:bookmarkEnd w:id="592"/>
    <w:p w:rsidR="000B33A8" w:rsidRPr="00261390" w:rsidRDefault="000B33A8" w:rsidP="00A87AE9">
      <w:pPr>
        <w:keepNext/>
        <w:ind w:firstLine="0"/>
        <w:rPr>
          <w:rFonts w:cs="Arial"/>
          <w:i/>
          <w:szCs w:val="22"/>
        </w:rPr>
      </w:pPr>
      <w:r w:rsidRPr="00261390">
        <w:rPr>
          <w:rFonts w:cs="Arial"/>
          <w:i/>
          <w:szCs w:val="22"/>
        </w:rPr>
        <w:t>sotto il profilo della chiarezza e della proprietà della fo</w:t>
      </w:r>
      <w:r>
        <w:rPr>
          <w:rFonts w:cs="Arial"/>
          <w:i/>
          <w:szCs w:val="22"/>
        </w:rPr>
        <w:t>rmulazione:</w:t>
      </w:r>
    </w:p>
    <w:p w:rsidR="000B33A8" w:rsidRDefault="000B33A8" w:rsidP="00B26E1F">
      <w:pPr>
        <w:pStyle w:val="Paragrafoelenco"/>
        <w:numPr>
          <w:ilvl w:val="0"/>
          <w:numId w:val="62"/>
        </w:numPr>
        <w:ind w:left="567" w:hanging="283"/>
        <w:rPr>
          <w:rFonts w:cs="Arial"/>
          <w:szCs w:val="22"/>
        </w:rPr>
      </w:pPr>
      <w:bookmarkStart w:id="593" w:name="S23o01"/>
      <w:r w:rsidRPr="00B93CE9">
        <w:rPr>
          <w:rFonts w:cs="Arial"/>
          <w:szCs w:val="22"/>
        </w:rPr>
        <w:t xml:space="preserve">all'articolo 1, </w:t>
      </w:r>
      <w:bookmarkEnd w:id="593"/>
      <w:r w:rsidRPr="00B93CE9">
        <w:rPr>
          <w:rFonts w:cs="Arial"/>
          <w:szCs w:val="22"/>
        </w:rPr>
        <w:t>si verifichi l'opportunità di riformulare la rubrica, tenuto conto che la stessa fa esclusivo riferimento al contratto nazionale di servizio, mentre l'articolo interviene altresì sulla disciplina dei contratti di servizio regionali e delle province autonome.</w:t>
      </w:r>
      <w:r>
        <w:rPr>
          <w:rFonts w:cs="Arial"/>
          <w:szCs w:val="22"/>
        </w:rPr>
        <w:t xml:space="preserve"> [</w:t>
      </w:r>
      <w:hyperlink w:anchor="premessa23" w:history="1">
        <w:r w:rsidRPr="00261390">
          <w:rPr>
            <w:rStyle w:val="Collegamentoipertestuale"/>
            <w:rFonts w:cs="Arial"/>
            <w:szCs w:val="22"/>
          </w:rPr>
          <w:t>torna su</w:t>
        </w:r>
      </w:hyperlink>
      <w:r>
        <w:rPr>
          <w:rFonts w:cs="Arial"/>
          <w:szCs w:val="22"/>
        </w:rPr>
        <w:t xml:space="preserve">] </w:t>
      </w:r>
    </w:p>
    <w:p w:rsidR="000B33A8" w:rsidRDefault="000B33A8" w:rsidP="000B33A8">
      <w:pPr>
        <w:pStyle w:val="Paragrafoelenco"/>
        <w:ind w:firstLine="0"/>
        <w:rPr>
          <w:rFonts w:cs="Arial"/>
          <w:szCs w:val="22"/>
        </w:rPr>
        <w:sectPr w:rsidR="000B33A8" w:rsidSect="000B33A8">
          <w:pgSz w:w="11906" w:h="16838" w:code="9"/>
          <w:pgMar w:top="1985" w:right="1985" w:bottom="1985" w:left="1985" w:header="1134" w:footer="1134" w:gutter="0"/>
          <w:cols w:space="720"/>
          <w:formProt w:val="0"/>
        </w:sectPr>
      </w:pPr>
    </w:p>
    <w:p w:rsidR="000B33A8" w:rsidRPr="00673098" w:rsidRDefault="000B33A8" w:rsidP="000B33A8"/>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0024</w:t>
            </w:r>
          </w:p>
        </w:tc>
        <w:tc>
          <w:tcPr>
            <w:tcW w:w="750" w:type="pct"/>
            <w:shd w:val="clear" w:color="auto" w:fill="auto"/>
          </w:tcPr>
          <w:p w:rsidR="000B33A8" w:rsidRPr="00B26E1F" w:rsidRDefault="000B33A8" w:rsidP="000B33A8">
            <w:pPr>
              <w:pStyle w:val="Collegamento"/>
              <w:rPr>
                <w:rFonts w:cs="Arial"/>
              </w:rPr>
            </w:pPr>
            <w:r w:rsidRPr="00B26E1F">
              <w:rPr>
                <w:rFonts w:cs="Arial"/>
              </w:rPr>
              <w:t>3340</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98" w:history="1">
              <w:r w:rsidR="000B33A8" w:rsidRPr="00B26E1F">
                <w:rPr>
                  <w:rStyle w:val="Collegamentoipertestuale"/>
                  <w:rFonts w:cs="Arial"/>
                </w:rPr>
                <w:t>DL 154/2015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Materia economico-sociale</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399" w:anchor="data.20151007.com48.bollettino.sede00010.tit00010" w:history="1">
              <w:r w:rsidR="000B33A8" w:rsidRPr="00C47C9C">
                <w:rPr>
                  <w:rStyle w:val="Collegamentoipertestuale"/>
                </w:rPr>
                <w:t>07/10/2015</w:t>
              </w:r>
            </w:hyperlink>
          </w:p>
        </w:tc>
      </w:tr>
    </w:tbl>
    <w:p w:rsidR="000B33A8" w:rsidRDefault="000B33A8" w:rsidP="000B33A8">
      <w:pPr>
        <w:spacing w:line="240" w:lineRule="auto"/>
        <w:ind w:firstLine="0"/>
        <w:jc w:val="left"/>
        <w:rPr>
          <w:rFonts w:cs="Arial"/>
          <w:sz w:val="24"/>
          <w:szCs w:val="24"/>
        </w:rPr>
      </w:pPr>
    </w:p>
    <w:p w:rsidR="00A87AE9" w:rsidRPr="008B2DCE" w:rsidRDefault="00A87AE9" w:rsidP="000B33A8">
      <w:pPr>
        <w:spacing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594" w:name="premessa24"/>
            <w:r w:rsidRPr="00B26E1F">
              <w:rPr>
                <w:rFonts w:cs="Arial"/>
                <w:b/>
                <w:color w:val="0000FF"/>
                <w:sz w:val="24"/>
                <w:szCs w:val="24"/>
              </w:rPr>
              <w:t>Premessa</w:t>
            </w:r>
            <w:bookmarkEnd w:id="594"/>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nessuno</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jc w:val="left"/>
              <w:rPr>
                <w:rFonts w:cs="Arial"/>
              </w:rPr>
            </w:pPr>
            <w:hyperlink w:anchor="S24a01" w:history="1">
              <w:r w:rsidR="000B33A8" w:rsidRPr="00D40FBA">
                <w:rPr>
                  <w:rStyle w:val="Collegamentoipertestuale"/>
                </w:rPr>
                <w:t>1</w:t>
              </w:r>
            </w:hyperlink>
            <w:r w:rsidR="000B33A8" w:rsidRPr="00B26E1F">
              <w:rPr>
                <w:rFonts w:cs="Arial"/>
              </w:rPr>
              <w:t xml:space="preserve"> – Contenuto implicitamente eterogeneo </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Ciascuno dei tre articoli incide su un diverso ambito materiale.</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jc w:val="left"/>
            </w:pPr>
            <w:hyperlink w:anchor="S24a02" w:history="1">
              <w:r w:rsidR="000B33A8">
                <w:rPr>
                  <w:rStyle w:val="Collegamentoipertestuale"/>
                </w:rPr>
                <w:t>2</w:t>
              </w:r>
            </w:hyperlink>
            <w:r w:rsidR="000B33A8" w:rsidRPr="00B26E1F">
              <w:rPr>
                <w:rFonts w:cs="Arial"/>
              </w:rPr>
              <w:t xml:space="preserve"> –</w:t>
            </w:r>
            <w:r w:rsidR="000B33A8">
              <w:t xml:space="preserve">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Presenti.</w:t>
            </w:r>
          </w:p>
        </w:tc>
      </w:tr>
    </w:tbl>
    <w:p w:rsidR="000B33A8" w:rsidRDefault="000B33A8" w:rsidP="000B33A8"/>
    <w:p w:rsidR="000B33A8" w:rsidRPr="008B2DCE" w:rsidRDefault="000B33A8" w:rsidP="000B33A8">
      <w:pPr>
        <w:spacing w:line="240" w:lineRule="auto"/>
        <w:ind w:firstLine="0"/>
        <w:jc w:val="left"/>
        <w:rPr>
          <w:rFonts w:cs="Arial"/>
          <w:sz w:val="24"/>
          <w:szCs w:val="24"/>
        </w:rPr>
      </w:pPr>
    </w:p>
    <w:tbl>
      <w:tblPr>
        <w:tblW w:w="5140" w:type="pct"/>
        <w:tblLook w:val="01E0" w:firstRow="1" w:lastRow="1" w:firstColumn="1" w:lastColumn="1" w:noHBand="0" w:noVBand="0"/>
      </w:tblPr>
      <w:tblGrid>
        <w:gridCol w:w="4190"/>
        <w:gridCol w:w="3962"/>
        <w:gridCol w:w="228"/>
      </w:tblGrid>
      <w:tr w:rsidR="000B33A8" w:rsidRPr="00A33B28" w:rsidTr="002479C8">
        <w:trPr>
          <w:gridAfter w:val="1"/>
          <w:wAfter w:w="136" w:type="pct"/>
        </w:trPr>
        <w:tc>
          <w:tcPr>
            <w:tcW w:w="4864"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3A04FD" w:rsidTr="002479C8">
        <w:trPr>
          <w:trHeight w:val="423"/>
        </w:trPr>
        <w:tc>
          <w:tcPr>
            <w:tcW w:w="2500" w:type="pct"/>
            <w:tcBorders>
              <w:top w:val="nil"/>
              <w:left w:val="nil"/>
              <w:bottom w:val="nil"/>
              <w:right w:val="nil"/>
            </w:tcBorders>
            <w:shd w:val="clear" w:color="auto" w:fill="auto"/>
          </w:tcPr>
          <w:p w:rsidR="000B33A8" w:rsidRDefault="000B33A8" w:rsidP="000B33A8">
            <w:pPr>
              <w:keepNext/>
              <w:spacing w:before="100" w:beforeAutospacing="1" w:after="100" w:afterAutospacing="1"/>
              <w:ind w:firstLine="0"/>
              <w:jc w:val="left"/>
            </w:pPr>
            <w:r>
              <w:t>Nessuno.</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Nessuno.</w:t>
            </w:r>
          </w:p>
        </w:tc>
      </w:tr>
    </w:tbl>
    <w:p w:rsidR="000B33A8" w:rsidRDefault="000B33A8" w:rsidP="000B33A8">
      <w:pPr>
        <w:spacing w:line="240" w:lineRule="auto"/>
        <w:ind w:firstLine="0"/>
        <w:jc w:val="left"/>
        <w:rPr>
          <w:rFonts w:cs="Arial"/>
          <w:sz w:val="24"/>
          <w:szCs w:val="24"/>
        </w:rPr>
      </w:pPr>
    </w:p>
    <w:p w:rsidR="000B33A8" w:rsidRPr="008B2DCE" w:rsidRDefault="000B33A8" w:rsidP="000B33A8">
      <w:pPr>
        <w:spacing w:line="240" w:lineRule="auto"/>
        <w:ind w:firstLine="0"/>
        <w:jc w:val="left"/>
        <w:rPr>
          <w:rFonts w:cs="Arial"/>
          <w:sz w:val="24"/>
          <w:szCs w:val="24"/>
        </w:rPr>
      </w:pPr>
    </w:p>
    <w:p w:rsidR="000B33A8" w:rsidRPr="00B91F58" w:rsidRDefault="000B33A8" w:rsidP="000B33A8">
      <w:pPr>
        <w:spacing w:after="120"/>
        <w:rPr>
          <w:rFonts w:cs="Arial"/>
          <w:szCs w:val="22"/>
        </w:rPr>
      </w:pPr>
      <w:bookmarkStart w:id="595" w:name="S24a01"/>
      <w:r w:rsidRPr="00B91F58">
        <w:rPr>
          <w:rFonts w:cs="Arial"/>
          <w:szCs w:val="22"/>
        </w:rPr>
        <w:t xml:space="preserve">1 </w:t>
      </w:r>
      <w:bookmarkEnd w:id="595"/>
      <w:r w:rsidRPr="00B91F58">
        <w:rPr>
          <w:rFonts w:cs="Arial"/>
          <w:szCs w:val="22"/>
        </w:rPr>
        <w:t xml:space="preserve">– </w:t>
      </w:r>
      <w:hyperlink w:anchor="premessa24" w:history="1">
        <w:r w:rsidRPr="00B91F58">
          <w:rPr>
            <w:rStyle w:val="Collegamentoipertestuale"/>
            <w:rFonts w:cs="Arial"/>
            <w:b/>
            <w:szCs w:val="22"/>
          </w:rPr>
          <w:t>Premessa</w:t>
        </w:r>
        <w:r w:rsidRPr="00B91F58">
          <w:rPr>
            <w:rStyle w:val="Collegamentoipertestuale"/>
            <w:rFonts w:cs="Arial"/>
            <w:szCs w:val="22"/>
          </w:rPr>
          <w:t>:</w:t>
        </w:r>
      </w:hyperlink>
      <w:r w:rsidRPr="00A60C28">
        <w:rPr>
          <w:rStyle w:val="Collegamentoipertestuale"/>
          <w:rFonts w:cs="Arial"/>
          <w:szCs w:val="22"/>
        </w:rPr>
        <w:t xml:space="preserve"> </w:t>
      </w:r>
      <w:r w:rsidRPr="00B91F58">
        <w:rPr>
          <w:rFonts w:cs="Arial"/>
          <w:szCs w:val="22"/>
        </w:rPr>
        <w:t>«</w:t>
      </w:r>
      <w:r w:rsidRPr="00F4081D">
        <w:rPr>
          <w:rFonts w:cs="Arial"/>
          <w:szCs w:val="22"/>
        </w:rPr>
        <w:t>il decreto-legge consta di tre articoli di natura sostanziale, recanti, rispettivamente, misure per garantire il decoro degli istituti scolastici, interventi volti ad assicurare l’esecuzione dei programmi di Amministrazione straordinaria delle grandi imprese in stato di insolvenza, nonché interventi nei territori colpiti dagli eccezionali eventi metereologici dei giorni 13 e 14 settembre 2015;</w:t>
      </w:r>
      <w:r>
        <w:rPr>
          <w:rFonts w:cs="Arial"/>
          <w:szCs w:val="22"/>
        </w:rPr>
        <w:t xml:space="preserve"> </w:t>
      </w:r>
      <w:r w:rsidRPr="00F4081D">
        <w:rPr>
          <w:rFonts w:cs="Arial"/>
          <w:szCs w:val="22"/>
        </w:rPr>
        <w:t xml:space="preserve">il titolo del decreto-legge riconduce alla generica e vasta materia economico-sociale i contenuti dei tre articoli, i quali, invece, </w:t>
      </w:r>
      <w:r w:rsidRPr="00F4081D">
        <w:rPr>
          <w:rFonts w:cs="Arial"/>
          <w:b/>
          <w:szCs w:val="22"/>
        </w:rPr>
        <w:t>incidono ciascuno su un diverso ambito materiale</w:t>
      </w:r>
      <w:r w:rsidRPr="00B91F58">
        <w:rPr>
          <w:rFonts w:cs="Arial"/>
          <w:szCs w:val="22"/>
        </w:rPr>
        <w:t>»;</w:t>
      </w:r>
      <w:r>
        <w:rPr>
          <w:rFonts w:cs="Arial"/>
          <w:szCs w:val="22"/>
        </w:rPr>
        <w:t xml:space="preserve"> </w:t>
      </w:r>
    </w:p>
    <w:p w:rsidR="000B33A8" w:rsidRPr="00B91F58" w:rsidRDefault="000B33A8" w:rsidP="000B33A8">
      <w:pPr>
        <w:spacing w:line="240" w:lineRule="auto"/>
        <w:ind w:firstLine="0"/>
        <w:jc w:val="left"/>
        <w:rPr>
          <w:rFonts w:cs="Arial"/>
          <w:szCs w:val="22"/>
        </w:rPr>
      </w:pPr>
    </w:p>
    <w:p w:rsidR="000B33A8" w:rsidRPr="00B91F58" w:rsidRDefault="000B33A8" w:rsidP="000B33A8">
      <w:pPr>
        <w:spacing w:line="240" w:lineRule="auto"/>
        <w:ind w:firstLine="0"/>
        <w:jc w:val="left"/>
        <w:rPr>
          <w:rFonts w:cs="Arial"/>
          <w:szCs w:val="22"/>
        </w:rPr>
      </w:pPr>
    </w:p>
    <w:p w:rsidR="000B33A8" w:rsidRPr="00B91F58" w:rsidRDefault="000B33A8" w:rsidP="000B33A8">
      <w:pPr>
        <w:rPr>
          <w:rFonts w:cs="Arial"/>
          <w:szCs w:val="22"/>
        </w:rPr>
      </w:pPr>
      <w:bookmarkStart w:id="596" w:name="S24a02"/>
      <w:r>
        <w:rPr>
          <w:rFonts w:cs="Arial"/>
          <w:szCs w:val="22"/>
        </w:rPr>
        <w:t>2</w:t>
      </w:r>
      <w:r w:rsidRPr="00B91F58">
        <w:rPr>
          <w:rFonts w:cs="Arial"/>
          <w:szCs w:val="22"/>
        </w:rPr>
        <w:t xml:space="preserve"> </w:t>
      </w:r>
      <w:bookmarkEnd w:id="596"/>
      <w:r w:rsidRPr="00B91F58">
        <w:rPr>
          <w:rFonts w:cs="Arial"/>
          <w:szCs w:val="22"/>
        </w:rPr>
        <w:t xml:space="preserve">– </w:t>
      </w:r>
      <w:hyperlink w:anchor="premessa24"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F4081D">
        <w:rPr>
          <w:rFonts w:cs="Arial"/>
          <w:szCs w:val="22"/>
        </w:rPr>
        <w:t>il disegno di legge all’esame è provvisto sia della relazione sull’analisi tecnico-normativa (</w:t>
      </w:r>
      <w:r w:rsidRPr="00F4081D">
        <w:rPr>
          <w:rFonts w:cs="Arial"/>
          <w:b/>
          <w:szCs w:val="22"/>
        </w:rPr>
        <w:t>ATN</w:t>
      </w:r>
      <w:r w:rsidRPr="00F4081D">
        <w:rPr>
          <w:rFonts w:cs="Arial"/>
          <w:szCs w:val="22"/>
        </w:rPr>
        <w:t>), sia della relazione sull’analisi di impatto della regolamentazione (</w:t>
      </w:r>
      <w:r w:rsidRPr="00F4081D">
        <w:rPr>
          <w:rFonts w:cs="Arial"/>
          <w:b/>
          <w:szCs w:val="22"/>
        </w:rPr>
        <w:t>AIR</w:t>
      </w:r>
      <w:r w:rsidRPr="00F4081D">
        <w:rPr>
          <w:rFonts w:cs="Arial"/>
          <w:szCs w:val="22"/>
        </w:rPr>
        <w:t>)</w:t>
      </w:r>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sectPr w:rsidR="000B33A8" w:rsidSect="000B33A8">
          <w:pgSz w:w="11906" w:h="16838" w:code="9"/>
          <w:pgMar w:top="1985" w:right="1985" w:bottom="1985" w:left="1985" w:header="1134" w:footer="1134" w:gutter="0"/>
          <w:cols w:space="720"/>
          <w:formProt w:val="0"/>
        </w:sectPr>
      </w:pPr>
    </w:p>
    <w:p w:rsidR="000B33A8" w:rsidRPr="005C7D5A" w:rsidRDefault="000B33A8" w:rsidP="000B33A8">
      <w:pPr>
        <w:ind w:firstLine="0"/>
        <w:rPr>
          <w:rFonts w:cs="Arial"/>
          <w:i/>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0025</w:t>
            </w:r>
          </w:p>
        </w:tc>
        <w:tc>
          <w:tcPr>
            <w:tcW w:w="750" w:type="pct"/>
            <w:shd w:val="clear" w:color="auto" w:fill="auto"/>
          </w:tcPr>
          <w:p w:rsidR="000B33A8" w:rsidRPr="00B26E1F" w:rsidRDefault="000B33A8" w:rsidP="000B33A8">
            <w:pPr>
              <w:pStyle w:val="Collegamento"/>
              <w:rPr>
                <w:rFonts w:cs="Arial"/>
              </w:rPr>
            </w:pPr>
            <w:r w:rsidRPr="00B26E1F">
              <w:rPr>
                <w:rFonts w:cs="Arial"/>
              </w:rPr>
              <w:t>2613-B</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400" w:history="1">
              <w:r w:rsidR="000B33A8" w:rsidRPr="00B26E1F">
                <w:rPr>
                  <w:rStyle w:val="Collegamentoipertestuale"/>
                  <w:rFonts w:cs="Arial"/>
                </w:rPr>
                <w:t>ddl Gov</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Riforme costituzionali</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401" w:anchor="data.20151104.com48.bollettino.sede00010.tit00010" w:history="1">
              <w:r w:rsidR="000B33A8">
                <w:rPr>
                  <w:rStyle w:val="Collegamentoipertestuale"/>
                </w:rPr>
                <w:t>04/11/2015</w:t>
              </w:r>
            </w:hyperlink>
          </w:p>
        </w:tc>
      </w:tr>
    </w:tbl>
    <w:p w:rsidR="000B33A8" w:rsidRDefault="000B33A8" w:rsidP="000B33A8">
      <w:pPr>
        <w:spacing w:line="240" w:lineRule="auto"/>
        <w:ind w:firstLine="0"/>
        <w:jc w:val="left"/>
        <w:rPr>
          <w:rFonts w:cs="Arial"/>
          <w:sz w:val="24"/>
          <w:szCs w:val="24"/>
        </w:rPr>
      </w:pPr>
    </w:p>
    <w:p w:rsidR="00A87AE9" w:rsidRPr="008B2DCE" w:rsidRDefault="00A87AE9" w:rsidP="000B33A8">
      <w:pPr>
        <w:spacing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4,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597" w:name="premessa25"/>
            <w:r w:rsidRPr="00B26E1F">
              <w:rPr>
                <w:rFonts w:cs="Arial"/>
                <w:b/>
                <w:color w:val="0000FF"/>
                <w:sz w:val="24"/>
                <w:szCs w:val="24"/>
              </w:rPr>
              <w:t>Premessa</w:t>
            </w:r>
            <w:bookmarkEnd w:id="597"/>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nessun rilievo</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5a01" w:history="1">
              <w:r w:rsidR="000B33A8" w:rsidRPr="00D40FBA">
                <w:rPr>
                  <w:rStyle w:val="Collegamentoipertestuale"/>
                </w:rPr>
                <w:t>1</w:t>
              </w:r>
            </w:hyperlink>
            <w:r w:rsidR="000B33A8" w:rsidRPr="00B26E1F">
              <w:rPr>
                <w:rFonts w:cs="Arial"/>
              </w:rPr>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7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rPr>
                <w:rFonts w:cs="Arial"/>
              </w:rPr>
            </w:pPr>
            <w:hyperlink w:anchor="S25a02" w:history="1">
              <w:r w:rsidR="000B33A8" w:rsidRPr="00812559">
                <w:rPr>
                  <w:rStyle w:val="Collegamentoipertestuale"/>
                </w:rPr>
                <w:t>2</w:t>
              </w:r>
            </w:hyperlink>
            <w:r w:rsidR="000B33A8" w:rsidRPr="00B26E1F">
              <w:rPr>
                <w:rFonts w:cs="Arial"/>
              </w:rPr>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p>
        </w:tc>
      </w:tr>
      <w:tr w:rsidR="000B33A8" w:rsidRPr="008B2DCE" w:rsidTr="00B26E1F">
        <w:trPr>
          <w:trHeight w:val="166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pPr>
            <w:hyperlink w:anchor="S25a03" w:history="1">
              <w:r w:rsidR="000B33A8" w:rsidRPr="00812559">
                <w:rPr>
                  <w:rStyle w:val="Collegamentoipertestuale"/>
                </w:rPr>
                <w:t>3</w:t>
              </w:r>
            </w:hyperlink>
            <w:r w:rsidR="000B33A8" w:rsidRPr="00B26E1F">
              <w:rPr>
                <w:rFonts w:cs="Arial"/>
              </w:rPr>
              <w:t xml:space="preserve"> – </w:t>
            </w:r>
            <w:r w:rsidR="000B33A8">
              <w:t>Efficacia temporale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Si dispone l’ultrattività del vigente testo dell’articolo 116 della Costituzione, con riferimento alle sole Regioni a statuto speciale ed alle Province autonome, sino alla revisione dei rispettivi Statuti di autonomia.</w:t>
            </w:r>
          </w:p>
        </w:tc>
      </w:tr>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jc w:val="left"/>
            </w:pPr>
            <w:hyperlink w:anchor="S25a04" w:history="1">
              <w:r w:rsidR="000B33A8" w:rsidRPr="006533B3">
                <w:rPr>
                  <w:rStyle w:val="Collegamentoipertestuale"/>
                </w:rPr>
                <w:t>4</w:t>
              </w:r>
            </w:hyperlink>
            <w:r w:rsidR="000B33A8">
              <w:t xml:space="preserve"> – Formulazione del testo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rPr>
            </w:pPr>
          </w:p>
        </w:tc>
      </w:tr>
    </w:tbl>
    <w:p w:rsidR="000B33A8" w:rsidRDefault="000B33A8" w:rsidP="000B33A8"/>
    <w:p w:rsidR="000B33A8" w:rsidRPr="008B2DCE" w:rsidRDefault="000B33A8" w:rsidP="000B33A8">
      <w:pPr>
        <w:spacing w:line="240" w:lineRule="auto"/>
        <w:ind w:firstLine="0"/>
        <w:jc w:val="left"/>
        <w:rPr>
          <w:rFonts w:cs="Arial"/>
          <w:sz w:val="24"/>
          <w:szCs w:val="24"/>
        </w:rPr>
      </w:pPr>
    </w:p>
    <w:tbl>
      <w:tblPr>
        <w:tblW w:w="5140" w:type="pct"/>
        <w:tblLook w:val="01E0" w:firstRow="1" w:lastRow="1" w:firstColumn="1" w:lastColumn="1" w:noHBand="0" w:noVBand="0"/>
      </w:tblPr>
      <w:tblGrid>
        <w:gridCol w:w="4190"/>
        <w:gridCol w:w="3962"/>
        <w:gridCol w:w="228"/>
      </w:tblGrid>
      <w:tr w:rsidR="000B33A8" w:rsidRPr="003A3958" w:rsidTr="002479C8">
        <w:trPr>
          <w:gridAfter w:val="1"/>
          <w:wAfter w:w="136" w:type="pct"/>
        </w:trPr>
        <w:tc>
          <w:tcPr>
            <w:tcW w:w="4864" w:type="pct"/>
            <w:gridSpan w:val="2"/>
            <w:shd w:val="clear" w:color="auto" w:fill="auto"/>
          </w:tcPr>
          <w:p w:rsidR="000B33A8" w:rsidRPr="00B26E1F" w:rsidRDefault="000B33A8" w:rsidP="00B26E1F">
            <w:pPr>
              <w:keepNext/>
              <w:spacing w:before="100" w:beforeAutospacing="1" w:after="100" w:afterAutospacing="1"/>
              <w:ind w:firstLine="0"/>
              <w:jc w:val="left"/>
              <w:rPr>
                <w:rFonts w:cs="Arial"/>
                <w:sz w:val="24"/>
                <w:szCs w:val="24"/>
              </w:rPr>
            </w:pPr>
            <w:r w:rsidRPr="00B26E1F">
              <w:rPr>
                <w:rFonts w:cs="Arial"/>
                <w:b/>
                <w:color w:val="0000FF"/>
                <w:sz w:val="24"/>
                <w:szCs w:val="24"/>
              </w:rPr>
              <w:t>Rilievi</w:t>
            </w:r>
          </w:p>
        </w:tc>
      </w:tr>
      <w:tr w:rsidR="000B33A8" w:rsidRPr="002479C8" w:rsidTr="002479C8">
        <w:trPr>
          <w:trHeight w:val="423"/>
        </w:trPr>
        <w:tc>
          <w:tcPr>
            <w:tcW w:w="2500" w:type="pct"/>
            <w:tcBorders>
              <w:top w:val="nil"/>
              <w:left w:val="nil"/>
              <w:right w:val="nil"/>
            </w:tcBorders>
            <w:shd w:val="clear" w:color="auto" w:fill="auto"/>
          </w:tcPr>
          <w:p w:rsidR="000B33A8" w:rsidRPr="002479C8" w:rsidRDefault="000B33A8" w:rsidP="000B33A8">
            <w:pPr>
              <w:keepNext/>
              <w:spacing w:before="100" w:beforeAutospacing="1" w:after="100" w:afterAutospacing="1"/>
              <w:ind w:firstLine="0"/>
              <w:jc w:val="left"/>
              <w:rPr>
                <w:i/>
              </w:rPr>
            </w:pPr>
            <w:r w:rsidRPr="002479C8">
              <w:rPr>
                <w:i/>
              </w:rPr>
              <w:t>nessun rilievo</w:t>
            </w:r>
            <w:r w:rsidR="002479C8">
              <w:rPr>
                <w:i/>
              </w:rPr>
              <w:t>.</w:t>
            </w:r>
          </w:p>
        </w:tc>
        <w:tc>
          <w:tcPr>
            <w:tcW w:w="2500" w:type="pct"/>
            <w:gridSpan w:val="2"/>
            <w:tcBorders>
              <w:top w:val="nil"/>
              <w:left w:val="nil"/>
              <w:right w:val="nil"/>
            </w:tcBorders>
            <w:shd w:val="clear" w:color="auto" w:fill="auto"/>
          </w:tcPr>
          <w:p w:rsidR="000B33A8" w:rsidRPr="002479C8" w:rsidRDefault="000B33A8" w:rsidP="000B33A8">
            <w:pPr>
              <w:keepNext/>
              <w:spacing w:before="100" w:beforeAutospacing="1" w:after="100" w:afterAutospacing="1"/>
              <w:ind w:firstLine="0"/>
              <w:jc w:val="left"/>
              <w:rPr>
                <w:rFonts w:cs="Arial"/>
                <w:i/>
              </w:rPr>
            </w:pPr>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2479C8">
            <w:pPr>
              <w:keepNext/>
              <w:spacing w:before="100" w:beforeAutospacing="1" w:after="100" w:afterAutospacing="1"/>
              <w:ind w:firstLine="0"/>
              <w:jc w:val="left"/>
              <w:rPr>
                <w:rFonts w:cs="Arial"/>
                <w:i/>
                <w:sz w:val="24"/>
              </w:rPr>
            </w:pPr>
            <w:r w:rsidRPr="00B26E1F">
              <w:rPr>
                <w:rFonts w:cs="Arial"/>
                <w:i/>
              </w:rPr>
              <w:t>nessun</w:t>
            </w:r>
            <w:r w:rsidR="002479C8">
              <w:rPr>
                <w:rFonts w:cs="Arial"/>
                <w:i/>
              </w:rPr>
              <w:t xml:space="preserve"> riferimento</w:t>
            </w:r>
            <w:r w:rsidRPr="00B26E1F">
              <w:rPr>
                <w:rFonts w:cs="Arial"/>
                <w:i/>
              </w:rPr>
              <w:t>.</w:t>
            </w:r>
          </w:p>
        </w:tc>
      </w:tr>
    </w:tbl>
    <w:p w:rsidR="000B33A8" w:rsidRDefault="000B33A8" w:rsidP="000B33A8">
      <w:pPr>
        <w:spacing w:line="240" w:lineRule="auto"/>
        <w:ind w:firstLine="0"/>
        <w:jc w:val="left"/>
        <w:rPr>
          <w:rFonts w:cs="Arial"/>
          <w:sz w:val="24"/>
          <w:szCs w:val="24"/>
        </w:rPr>
      </w:pPr>
    </w:p>
    <w:p w:rsidR="000B33A8" w:rsidRPr="008B2DCE" w:rsidRDefault="000B33A8" w:rsidP="000B33A8">
      <w:pPr>
        <w:spacing w:line="240" w:lineRule="auto"/>
        <w:ind w:firstLine="0"/>
        <w:jc w:val="left"/>
        <w:rPr>
          <w:rFonts w:cs="Arial"/>
          <w:sz w:val="24"/>
          <w:szCs w:val="24"/>
        </w:rPr>
      </w:pPr>
    </w:p>
    <w:p w:rsidR="000B33A8" w:rsidRPr="00B91F58" w:rsidRDefault="000B33A8" w:rsidP="000B33A8">
      <w:pPr>
        <w:spacing w:after="120"/>
        <w:rPr>
          <w:rFonts w:cs="Arial"/>
          <w:szCs w:val="22"/>
        </w:rPr>
      </w:pPr>
      <w:bookmarkStart w:id="598" w:name="S25a01"/>
      <w:r w:rsidRPr="00B91F58">
        <w:rPr>
          <w:rFonts w:cs="Arial"/>
          <w:szCs w:val="22"/>
        </w:rPr>
        <w:t>1</w:t>
      </w:r>
      <w:bookmarkEnd w:id="598"/>
      <w:r w:rsidRPr="00B91F58">
        <w:rPr>
          <w:rFonts w:cs="Arial"/>
          <w:szCs w:val="22"/>
        </w:rPr>
        <w:t xml:space="preserve"> – </w:t>
      </w:r>
      <w:hyperlink w:anchor="premessa25" w:history="1">
        <w:r w:rsidRPr="00B91F58">
          <w:rPr>
            <w:rStyle w:val="Collegamentoipertestuale"/>
            <w:rFonts w:cs="Arial"/>
            <w:b/>
            <w:szCs w:val="22"/>
          </w:rPr>
          <w:t>Premessa</w:t>
        </w:r>
        <w:r w:rsidRPr="00B91F58">
          <w:rPr>
            <w:rStyle w:val="Collegamentoipertestuale"/>
            <w:rFonts w:cs="Arial"/>
            <w:szCs w:val="22"/>
          </w:rPr>
          <w:t>:</w:t>
        </w:r>
      </w:hyperlink>
      <w:r w:rsidRPr="00681B3D">
        <w:rPr>
          <w:rStyle w:val="Collegamentoipertestuale"/>
          <w:rFonts w:cs="Arial"/>
          <w:szCs w:val="22"/>
        </w:rPr>
        <w:t xml:space="preserve"> </w:t>
      </w:r>
      <w:r w:rsidRPr="00B91F58">
        <w:rPr>
          <w:rFonts w:cs="Arial"/>
          <w:szCs w:val="22"/>
        </w:rPr>
        <w:t>«</w:t>
      </w:r>
      <w:r>
        <w:t xml:space="preserve">a seguito delle modifiche apportate dal Senato, alcune </w:t>
      </w:r>
      <w:r w:rsidRPr="00F226D1">
        <w:rPr>
          <w:b/>
        </w:rPr>
        <w:t>questioni di coordinamento</w:t>
      </w:r>
      <w:r>
        <w:t xml:space="preserve"> potrebbero porsi in relazione al quinto comma dell'</w:t>
      </w:r>
      <w:r w:rsidRPr="00F226D1">
        <w:rPr>
          <w:b/>
        </w:rPr>
        <w:t>articolo 55 (articolo 1, comma 1, del disegno di legge</w:t>
      </w:r>
      <w:r>
        <w:t xml:space="preserve">): il primo periodo assegna infatti al Senato l'esercizio in via esclusiva delle funzioni di raccordo tra lo Stato e gli altri enti costitutivi della Repubblica, laddove il secondo periodo del medesimo comma gli attribuisce le funzioni, da esercitare in concorso con la Camera, «di raccordo tra lo Stato, gli altri enti costitutivi della Repubblica e </w:t>
      </w:r>
      <w:r>
        <w:lastRenderedPageBreak/>
        <w:t>l'Unione europea»; in proposito, si osserva peraltro che, come si può desumere dai lavori preparatori oltre che da un'interpretazione sistematica delle due disposizioni, mentre il primo periodo sembrerebbe volto ad individuare il ruolo del Senato, qualificandolo come il luogo del raccordo tra lo Stato e gli enti costitutivi della Repubblica, il secondo periodo, invece, sembrerebbe volto ad enumerare le competenze che sono assegnate a tale ramo del Parlamento, annoverando, tra di esse, anche quelle di raccordo tra lo Stato, gli enti territoriali e l'Unione europea, da esercitare in concorso con la Camera</w:t>
      </w:r>
      <w:r w:rsidRPr="00B91F58">
        <w:rPr>
          <w:rFonts w:cs="Arial"/>
          <w:szCs w:val="22"/>
        </w:rPr>
        <w:t>»;</w:t>
      </w:r>
      <w:r>
        <w:rPr>
          <w:rFonts w:cs="Arial"/>
          <w:szCs w:val="22"/>
        </w:rPr>
        <w:t xml:space="preserve"> </w:t>
      </w:r>
    </w:p>
    <w:p w:rsidR="000B33A8" w:rsidRPr="00B91F58" w:rsidRDefault="000B33A8" w:rsidP="000B33A8">
      <w:pPr>
        <w:spacing w:line="240" w:lineRule="auto"/>
        <w:ind w:firstLine="0"/>
        <w:jc w:val="left"/>
        <w:rPr>
          <w:rFonts w:cs="Arial"/>
          <w:szCs w:val="22"/>
        </w:rPr>
      </w:pPr>
    </w:p>
    <w:p w:rsidR="000B33A8" w:rsidRPr="00B91F58" w:rsidRDefault="000B33A8" w:rsidP="000B33A8">
      <w:pPr>
        <w:spacing w:line="240" w:lineRule="auto"/>
        <w:ind w:firstLine="0"/>
        <w:jc w:val="left"/>
        <w:rPr>
          <w:rFonts w:cs="Arial"/>
          <w:szCs w:val="22"/>
        </w:rPr>
      </w:pPr>
    </w:p>
    <w:p w:rsidR="000B33A8" w:rsidRPr="00B91F58" w:rsidRDefault="000B33A8" w:rsidP="000B33A8">
      <w:pPr>
        <w:rPr>
          <w:rFonts w:cs="Arial"/>
          <w:szCs w:val="22"/>
        </w:rPr>
      </w:pPr>
      <w:bookmarkStart w:id="599" w:name="S25a02"/>
      <w:r w:rsidRPr="00B91F58">
        <w:rPr>
          <w:rFonts w:cs="Arial"/>
          <w:szCs w:val="22"/>
        </w:rPr>
        <w:t xml:space="preserve">2 </w:t>
      </w:r>
      <w:bookmarkEnd w:id="599"/>
      <w:r w:rsidRPr="00B91F58">
        <w:rPr>
          <w:rFonts w:cs="Arial"/>
          <w:szCs w:val="22"/>
        </w:rPr>
        <w:t xml:space="preserve">– </w:t>
      </w:r>
      <w:hyperlink w:anchor="premessa2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t xml:space="preserve">ulteriori </w:t>
      </w:r>
      <w:r w:rsidRPr="00F226D1">
        <w:rPr>
          <w:b/>
        </w:rPr>
        <w:t>questioni di coordinamento</w:t>
      </w:r>
      <w:r>
        <w:t xml:space="preserve"> poste dal </w:t>
      </w:r>
      <w:r w:rsidRPr="00F226D1">
        <w:rPr>
          <w:b/>
        </w:rPr>
        <w:t>comma 6 dell'articolo 39</w:t>
      </w:r>
      <w:r>
        <w:t xml:space="preserve"> vengono poi risolte dal comma 11, terzo periodo, del medesimo articolo, il quale, tuttavia, si sovrappone alla prima disposizione – che formava oggetto di doppia deliberazione conforme da parte dei due rami del Parlamento già in prima lettura – modificandola in maniera non testuale: mentre, infatti, il comma 6 stabilisce che la legge volta a disciplinare le modalità di attribuzione dei seggi e di elezione dei membri del Senato della Repubblica «è approvata entro sei mesi dalla data di svolgimento delle elezioni della Camera dei deputati» tenute dopo la data di entrata in vigore della legge costituzionale, il periodo in esame chiarisce che «il termine di cui al comma 6 decorre dalla data di entrata in vigore della presente legge costituzionale</w:t>
      </w:r>
      <w:r w:rsidRPr="00B91F58">
        <w:rPr>
          <w:rFonts w:cs="Arial"/>
          <w:szCs w:val="22"/>
        </w:rPr>
        <w:t>»</w:t>
      </w:r>
      <w:r>
        <w:rPr>
          <w:rFonts w:cs="Arial"/>
          <w:szCs w:val="22"/>
        </w:rPr>
        <w:t xml:space="preserve"> </w:t>
      </w:r>
    </w:p>
    <w:p w:rsidR="000B33A8" w:rsidRPr="00B91F58" w:rsidRDefault="000B33A8" w:rsidP="000B33A8">
      <w:pPr>
        <w:spacing w:line="240" w:lineRule="auto"/>
        <w:ind w:firstLine="0"/>
        <w:jc w:val="left"/>
        <w:rPr>
          <w:rFonts w:cs="Arial"/>
          <w:szCs w:val="22"/>
        </w:rPr>
      </w:pPr>
    </w:p>
    <w:p w:rsidR="000B33A8" w:rsidRPr="00B91F58" w:rsidRDefault="000B33A8" w:rsidP="000B33A8">
      <w:pPr>
        <w:spacing w:line="240" w:lineRule="auto"/>
        <w:ind w:firstLine="0"/>
        <w:jc w:val="left"/>
        <w:rPr>
          <w:rFonts w:cs="Arial"/>
          <w:szCs w:val="22"/>
        </w:rPr>
      </w:pPr>
    </w:p>
    <w:p w:rsidR="000B33A8" w:rsidRPr="00B91F58" w:rsidRDefault="000B33A8" w:rsidP="000B33A8">
      <w:pPr>
        <w:rPr>
          <w:rFonts w:cs="Arial"/>
          <w:szCs w:val="22"/>
        </w:rPr>
      </w:pPr>
      <w:bookmarkStart w:id="600" w:name="S25a03"/>
      <w:r w:rsidRPr="00B91F58">
        <w:rPr>
          <w:rFonts w:cs="Arial"/>
          <w:szCs w:val="22"/>
        </w:rPr>
        <w:t>3</w:t>
      </w:r>
      <w:bookmarkEnd w:id="600"/>
      <w:r w:rsidRPr="00B91F58">
        <w:rPr>
          <w:rFonts w:cs="Arial"/>
          <w:szCs w:val="22"/>
        </w:rPr>
        <w:t xml:space="preserve"> – </w:t>
      </w:r>
      <w:hyperlink w:anchor="premessa2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t xml:space="preserve">il disegno di legge costituzionale, all'articolo 39, comma 13, con norma di immediata applicazione – la quale dovrebbe dunque essere inserita nell'elenco, contenuto all'articolo 41, delle disposizioni aventi decorrenza immediata – dispone </w:t>
      </w:r>
      <w:r w:rsidRPr="00F226D1">
        <w:rPr>
          <w:b/>
        </w:rPr>
        <w:t>l'ultrattività del vigente testo dell'articolo 116 della Costituzione</w:t>
      </w:r>
      <w:r>
        <w:t>, con riferimento alle sole regioni a statuto speciale ed alle province autonome, sino alla revisione (che potrebbe non essere contestuale), dei rispettivi Statuti di autonomia; in proposito, si ricorda peraltro che il primo periodo del medesimo comma 13 (il quale forma in massima parte oggetto di doppia deliberazione conforme da parte dei due rami del Parlamento), nel prevedere che le disposizioni contenute nel Capo IV del disegno di legge (che riformano il Titolo V della Parte II della Costituzione) non si applichino alle regioni a statuto speciale ed alle province autonome sino alla revisione dei rispettivi Statuti, sembrerebbe già disporre, per tali enti, un'ultrattività del vigente Titolo V della Costituzione</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601" w:name="S25a04"/>
      <w:r>
        <w:rPr>
          <w:rFonts w:cs="Arial"/>
          <w:szCs w:val="22"/>
        </w:rPr>
        <w:t>4</w:t>
      </w:r>
      <w:bookmarkEnd w:id="601"/>
      <w:r w:rsidRPr="00B91F58">
        <w:rPr>
          <w:rFonts w:cs="Arial"/>
          <w:szCs w:val="22"/>
        </w:rPr>
        <w:t xml:space="preserve"> – </w:t>
      </w:r>
      <w:hyperlink w:anchor="premessa25"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rsidRPr="00F226D1">
        <w:rPr>
          <w:b/>
        </w:rPr>
        <w:t>l'articolo 55, al penultimo periodo del quinto comma</w:t>
      </w:r>
      <w:r>
        <w:t xml:space="preserve"> (</w:t>
      </w:r>
      <w:r w:rsidRPr="00F226D1">
        <w:rPr>
          <w:b/>
        </w:rPr>
        <w:t>articolo 1, comma 1, del disegno di legge</w:t>
      </w:r>
      <w:r>
        <w:t xml:space="preserve">), assegna al Senato la funzione di verificare l'impatto delle politiche dell'Unione europea sulle politiche regionali, riferendosi genericamente ed in senso a-tecnico all'impatto di tali politiche «sui territori»; in proposito, si osserva peraltro che, ferma restando l'opportunità di un </w:t>
      </w:r>
      <w:r>
        <w:lastRenderedPageBreak/>
        <w:t>chiarimento circa la dimensione territoriale alla quale si intende fare riferimento, la medesima dizione è già contenuta, nella medesima accezione, nel testo vigente dell'articolo 119, terzo comma, della Costituzione</w:t>
      </w:r>
      <w:r w:rsidRPr="00B91F58">
        <w:rPr>
          <w:rFonts w:cs="Arial"/>
          <w:szCs w:val="22"/>
        </w:rPr>
        <w:t>»</w:t>
      </w:r>
      <w:r>
        <w:rPr>
          <w:rFonts w:cs="Arial"/>
          <w:szCs w:val="22"/>
        </w:rPr>
        <w:t>;</w:t>
      </w:r>
    </w:p>
    <w:p w:rsidR="000B33A8" w:rsidRDefault="000B33A8" w:rsidP="000B33A8">
      <w:pPr>
        <w:rPr>
          <w:rFonts w:cs="Arial"/>
          <w:szCs w:val="22"/>
        </w:rPr>
        <w:sectPr w:rsidR="000B33A8" w:rsidSect="000B33A8">
          <w:pgSz w:w="11906" w:h="16838" w:code="9"/>
          <w:pgMar w:top="1985" w:right="1985" w:bottom="1985" w:left="1985" w:header="1134" w:footer="1134" w:gutter="0"/>
          <w:cols w:space="720"/>
          <w:formProt w:val="0"/>
        </w:sectPr>
      </w:pPr>
    </w:p>
    <w:p w:rsidR="000B33A8" w:rsidRPr="00673098" w:rsidRDefault="000B33A8" w:rsidP="000B33A8"/>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0026</w:t>
            </w:r>
          </w:p>
        </w:tc>
        <w:tc>
          <w:tcPr>
            <w:tcW w:w="750" w:type="pct"/>
            <w:shd w:val="clear" w:color="auto" w:fill="auto"/>
          </w:tcPr>
          <w:p w:rsidR="000B33A8" w:rsidRPr="00B26E1F" w:rsidRDefault="000B33A8" w:rsidP="000B33A8">
            <w:pPr>
              <w:pStyle w:val="Collegamento"/>
              <w:rPr>
                <w:rFonts w:cs="Arial"/>
              </w:rPr>
            </w:pPr>
            <w:r w:rsidRPr="00B26E1F">
              <w:rPr>
                <w:rFonts w:cs="Arial"/>
              </w:rPr>
              <w:t>3386</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402" w:history="1">
              <w:r w:rsidR="000B33A8" w:rsidRPr="00B26E1F">
                <w:rPr>
                  <w:rStyle w:val="Collegamentoipertestuale"/>
                  <w:rFonts w:cs="Arial"/>
                </w:rPr>
                <w:t>DL 153/2015</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Finanza pubblica</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403" w:anchor="data.20151104.com48.bollettino.sede00020.tit00010" w:history="1">
              <w:r w:rsidR="000B33A8">
                <w:rPr>
                  <w:rStyle w:val="Collegamentoipertestuale"/>
                </w:rPr>
                <w:t>04/11/2015</w:t>
              </w:r>
            </w:hyperlink>
          </w:p>
        </w:tc>
      </w:tr>
    </w:tbl>
    <w:p w:rsidR="000B33A8" w:rsidRDefault="000B33A8" w:rsidP="000B33A8">
      <w:pPr>
        <w:spacing w:line="240" w:lineRule="auto"/>
        <w:ind w:firstLine="0"/>
        <w:jc w:val="left"/>
        <w:rPr>
          <w:rFonts w:cs="Arial"/>
          <w:sz w:val="24"/>
          <w:szCs w:val="24"/>
        </w:rPr>
      </w:pPr>
    </w:p>
    <w:p w:rsidR="00A87AE9" w:rsidRPr="008B2DCE" w:rsidRDefault="00A87AE9" w:rsidP="000B33A8">
      <w:pPr>
        <w:spacing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96-</w:t>
            </w:r>
            <w:r w:rsidRPr="00B26E1F">
              <w:rPr>
                <w:rFonts w:cs="Arial"/>
                <w:b/>
                <w:bCs/>
                <w:i/>
                <w:sz w:val="24"/>
              </w:rPr>
              <w:t>BIS</w:t>
            </w:r>
            <w:r w:rsidRPr="00B26E1F">
              <w:rPr>
                <w:rFonts w:cs="Arial"/>
                <w:b/>
                <w:bCs/>
                <w:sz w:val="24"/>
              </w:rPr>
              <w:t>, COMMA 1,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602" w:name="premessa26"/>
            <w:r w:rsidRPr="00B26E1F">
              <w:rPr>
                <w:rFonts w:cs="Arial"/>
                <w:b/>
                <w:color w:val="0000FF"/>
                <w:sz w:val="24"/>
                <w:szCs w:val="24"/>
              </w:rPr>
              <w:t>Premessa</w:t>
            </w:r>
            <w:bookmarkEnd w:id="602"/>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1 Condizione, 2 Osservazioni</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jc w:val="left"/>
              <w:rPr>
                <w:rFonts w:cs="Arial"/>
              </w:rPr>
            </w:pPr>
            <w:hyperlink w:anchor="S26a01" w:history="1">
              <w:r w:rsidR="000B33A8" w:rsidRPr="00D40FBA">
                <w:rPr>
                  <w:rStyle w:val="Collegamentoipertestuale"/>
                </w:rPr>
                <w:t>1</w:t>
              </w:r>
            </w:hyperlink>
            <w:r w:rsidR="000B33A8" w:rsidRPr="00B26E1F">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Il provvedimento consta di due articoli di natura sostanziale, il cui contenuto è corrispondente al titolo.</w:t>
            </w:r>
          </w:p>
        </w:tc>
      </w:tr>
      <w:tr w:rsidR="000B33A8" w:rsidRPr="008B2DCE" w:rsidTr="00B26E1F">
        <w:trPr>
          <w:trHeight w:val="7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jc w:val="left"/>
              <w:rPr>
                <w:rFonts w:cs="Arial"/>
              </w:rPr>
            </w:pPr>
            <w:hyperlink w:anchor="S26a02" w:history="1">
              <w:r w:rsidR="000B33A8" w:rsidRPr="00812559">
                <w:rPr>
                  <w:rStyle w:val="Collegamentoipertestuale"/>
                </w:rPr>
                <w:t>2</w:t>
              </w:r>
            </w:hyperlink>
            <w:r w:rsidR="000B33A8" w:rsidRPr="00B26E1F">
              <w:rPr>
                <w:rFonts w:cs="Arial"/>
              </w:rPr>
              <w:t xml:space="preserve"> – </w:t>
            </w:r>
            <w:r w:rsidR="000B33A8">
              <w:t>Efficacia temporale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Disposizione che dispiega i propri effetti prima dell’entrata in vigore della legge di conversione.</w:t>
            </w:r>
          </w:p>
          <w:p w:rsidR="000B33A8" w:rsidRPr="00B26E1F" w:rsidRDefault="000B33A8" w:rsidP="00B26E1F">
            <w:pPr>
              <w:spacing w:before="100" w:beforeAutospacing="1" w:after="100" w:afterAutospacing="1"/>
              <w:ind w:firstLine="0"/>
              <w:rPr>
                <w:rFonts w:cs="Arial"/>
              </w:rPr>
            </w:pPr>
            <w:r w:rsidRPr="00B26E1F">
              <w:rPr>
                <w:rFonts w:cs="Arial"/>
              </w:rPr>
              <w:t>Condizione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jc w:val="left"/>
            </w:pPr>
            <w:hyperlink w:anchor="S26a03" w:history="1">
              <w:r w:rsidR="000B33A8" w:rsidRPr="00812559">
                <w:rPr>
                  <w:rStyle w:val="Collegamentoipertestuale"/>
                </w:rPr>
                <w:t>3</w:t>
              </w:r>
            </w:hyperlink>
            <w:r w:rsidR="000B33A8" w:rsidRPr="00B26E1F">
              <w:rPr>
                <w:rFonts w:cs="Arial"/>
              </w:rPr>
              <w:t xml:space="preserve"> – Efficacia temporale: reviviscenza di disposizioni abrogate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 xml:space="preserve">Richiamo al paragrafo 15, lettera </w:t>
            </w:r>
            <w:r w:rsidRPr="00B26E1F">
              <w:rPr>
                <w:rFonts w:cs="Arial"/>
                <w:i/>
              </w:rPr>
              <w:t>d)</w:t>
            </w:r>
            <w:r w:rsidRPr="00B26E1F">
              <w:rPr>
                <w:rFonts w:cs="Arial"/>
              </w:rPr>
              <w:t xml:space="preserve">, della circolare sulla formulazione tecnica dei testi normativi. </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jc w:val="left"/>
            </w:pPr>
            <w:hyperlink w:anchor="S26a04" w:history="1">
              <w:r w:rsidR="000B33A8">
                <w:rPr>
                  <w:rStyle w:val="Collegamentoipertestuale"/>
                </w:rPr>
                <w:t>4</w:t>
              </w:r>
            </w:hyperlink>
            <w:r w:rsidR="000B33A8" w:rsidRPr="00B26E1F">
              <w:rPr>
                <w:rFonts w:cs="Arial"/>
              </w:rPr>
              <w:t xml:space="preserve"> –</w:t>
            </w:r>
            <w:r w:rsidR="000B33A8">
              <w:t xml:space="preserve"> AIR e ATN</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Presenti.</w:t>
            </w:r>
          </w:p>
        </w:tc>
      </w:tr>
    </w:tbl>
    <w:p w:rsidR="000B33A8" w:rsidRDefault="000B33A8" w:rsidP="000B33A8"/>
    <w:p w:rsidR="000B33A8" w:rsidRPr="008B2DCE" w:rsidRDefault="000B33A8" w:rsidP="000B33A8">
      <w:pPr>
        <w:spacing w:line="240" w:lineRule="auto"/>
        <w:ind w:firstLine="0"/>
        <w:jc w:val="left"/>
        <w:rPr>
          <w:rFonts w:cs="Arial"/>
          <w:sz w:val="24"/>
          <w:szCs w:val="24"/>
        </w:rPr>
      </w:pPr>
    </w:p>
    <w:tbl>
      <w:tblPr>
        <w:tblW w:w="5140" w:type="pct"/>
        <w:tblLook w:val="01E0" w:firstRow="1" w:lastRow="1" w:firstColumn="1" w:lastColumn="1" w:noHBand="0" w:noVBand="0"/>
      </w:tblPr>
      <w:tblGrid>
        <w:gridCol w:w="4190"/>
        <w:gridCol w:w="3962"/>
        <w:gridCol w:w="228"/>
      </w:tblGrid>
      <w:tr w:rsidR="000B33A8" w:rsidRPr="00A33B28" w:rsidTr="002479C8">
        <w:trPr>
          <w:gridAfter w:val="1"/>
          <w:wAfter w:w="136" w:type="pct"/>
        </w:trPr>
        <w:tc>
          <w:tcPr>
            <w:tcW w:w="4864" w:type="pct"/>
            <w:gridSpan w:val="2"/>
            <w:shd w:val="clear" w:color="auto" w:fill="auto"/>
          </w:tcPr>
          <w:p w:rsidR="000B33A8" w:rsidRPr="00B26E1F" w:rsidRDefault="000B33A8" w:rsidP="00B26E1F">
            <w:pPr>
              <w:keepNext/>
              <w:spacing w:before="100" w:beforeAutospacing="1" w:after="100" w:afterAutospacing="1"/>
              <w:ind w:firstLine="0"/>
              <w:jc w:val="left"/>
              <w:rPr>
                <w:rFonts w:cs="Arial"/>
              </w:rPr>
            </w:pPr>
            <w:r w:rsidRPr="00B26E1F">
              <w:rPr>
                <w:rFonts w:cs="Arial"/>
                <w:b/>
                <w:color w:val="0000FF"/>
              </w:rPr>
              <w:t>Rilievi</w:t>
            </w:r>
          </w:p>
        </w:tc>
      </w:tr>
      <w:tr w:rsidR="000B33A8" w:rsidRPr="003A04FD" w:rsidTr="002479C8">
        <w:trPr>
          <w:trHeight w:val="423"/>
        </w:trPr>
        <w:tc>
          <w:tcPr>
            <w:tcW w:w="2500" w:type="pct"/>
            <w:tcBorders>
              <w:top w:val="nil"/>
              <w:left w:val="nil"/>
              <w:bottom w:val="nil"/>
              <w:right w:val="nil"/>
            </w:tcBorders>
            <w:shd w:val="clear" w:color="auto" w:fill="auto"/>
          </w:tcPr>
          <w:p w:rsidR="000B33A8" w:rsidRDefault="00EB0878" w:rsidP="000B33A8">
            <w:pPr>
              <w:keepNext/>
              <w:spacing w:before="100" w:beforeAutospacing="1" w:after="100" w:afterAutospacing="1"/>
              <w:ind w:firstLine="0"/>
              <w:jc w:val="left"/>
            </w:pPr>
            <w:hyperlink w:anchor="S26C" w:history="1">
              <w:r w:rsidR="000B33A8" w:rsidRPr="00DF4FA4">
                <w:rPr>
                  <w:rStyle w:val="Collegamentoipertestuale"/>
                </w:rPr>
                <w:t>C</w:t>
              </w:r>
            </w:hyperlink>
            <w:r w:rsidR="000B33A8">
              <w:t xml:space="preserve"> - Condizioni</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r w:rsidR="000B33A8" w:rsidRPr="003A04FD" w:rsidTr="002479C8">
        <w:trPr>
          <w:trHeight w:val="423"/>
        </w:trPr>
        <w:tc>
          <w:tcPr>
            <w:tcW w:w="2500" w:type="pct"/>
            <w:tcBorders>
              <w:top w:val="nil"/>
              <w:left w:val="nil"/>
              <w:bottom w:val="nil"/>
              <w:right w:val="nil"/>
            </w:tcBorders>
            <w:shd w:val="clear" w:color="auto" w:fill="auto"/>
          </w:tcPr>
          <w:p w:rsidR="000B33A8" w:rsidRPr="003A04FD" w:rsidRDefault="00EB0878" w:rsidP="000B33A8">
            <w:pPr>
              <w:keepNext/>
              <w:spacing w:before="100" w:beforeAutospacing="1" w:after="100" w:afterAutospacing="1"/>
              <w:ind w:firstLine="0"/>
              <w:jc w:val="left"/>
              <w:rPr>
                <w:rFonts w:cs="Arial"/>
              </w:rPr>
            </w:pPr>
            <w:hyperlink w:anchor="S26O" w:history="1">
              <w:r w:rsidR="000B33A8" w:rsidRPr="00852C73">
                <w:rPr>
                  <w:rStyle w:val="Collegamentoipertestuale"/>
                  <w:rFonts w:cs="Arial"/>
                </w:rPr>
                <w:t>O</w:t>
              </w:r>
            </w:hyperlink>
            <w:r w:rsidR="000B33A8" w:rsidRPr="003A04FD">
              <w:rPr>
                <w:rFonts w:cs="Arial"/>
              </w:rPr>
              <w:t xml:space="preserve"> - Osservazioni</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0B33A8" w:rsidRDefault="000B33A8" w:rsidP="000B33A8">
      <w:pPr>
        <w:ind w:firstLine="0"/>
        <w:rPr>
          <w:b/>
        </w:rPr>
      </w:pPr>
    </w:p>
    <w:tbl>
      <w:tblPr>
        <w:tblW w:w="5140" w:type="pct"/>
        <w:tblLook w:val="01E0" w:firstRow="1" w:lastRow="1" w:firstColumn="1" w:lastColumn="1" w:noHBand="0" w:noVBand="0"/>
      </w:tblPr>
      <w:tblGrid>
        <w:gridCol w:w="4190"/>
        <w:gridCol w:w="4190"/>
      </w:tblGrid>
      <w:tr w:rsidR="000B33A8" w:rsidRPr="00CD3FB7" w:rsidTr="002479C8">
        <w:trPr>
          <w:trHeight w:val="423"/>
        </w:trPr>
        <w:tc>
          <w:tcPr>
            <w:tcW w:w="2500" w:type="pct"/>
            <w:tcBorders>
              <w:top w:val="nil"/>
              <w:left w:val="nil"/>
              <w:right w:val="nil"/>
            </w:tcBorders>
            <w:shd w:val="clear" w:color="auto" w:fill="auto"/>
          </w:tcPr>
          <w:p w:rsidR="000B33A8" w:rsidRPr="00CD3FB7" w:rsidRDefault="000B33A8" w:rsidP="000B33A8">
            <w:pPr>
              <w:keepNext/>
              <w:spacing w:before="100" w:beforeAutospacing="1" w:after="100" w:afterAutospacing="1"/>
              <w:ind w:firstLine="0"/>
              <w:jc w:val="left"/>
              <w:rPr>
                <w:sz w:val="24"/>
                <w:szCs w:val="24"/>
              </w:rPr>
            </w:pPr>
            <w:r w:rsidRPr="00CD3FB7">
              <w:rPr>
                <w:rFonts w:cs="Arial"/>
                <w:b/>
                <w:color w:val="0000FF"/>
                <w:sz w:val="24"/>
                <w:szCs w:val="24"/>
              </w:rPr>
              <w:t>Rilievi non presenti in premessa</w:t>
            </w:r>
          </w:p>
        </w:tc>
        <w:tc>
          <w:tcPr>
            <w:tcW w:w="2500" w:type="pct"/>
            <w:tcBorders>
              <w:top w:val="nil"/>
              <w:left w:val="nil"/>
              <w:right w:val="nil"/>
            </w:tcBorders>
            <w:shd w:val="clear" w:color="auto" w:fill="auto"/>
          </w:tcPr>
          <w:p w:rsidR="000B33A8" w:rsidRPr="00CD3FB7" w:rsidRDefault="000B33A8" w:rsidP="000B33A8">
            <w:pPr>
              <w:keepNext/>
              <w:spacing w:before="100" w:beforeAutospacing="1" w:after="100" w:afterAutospacing="1"/>
              <w:ind w:firstLine="0"/>
              <w:jc w:val="left"/>
              <w:rPr>
                <w:rFonts w:cs="Arial"/>
                <w:sz w:val="24"/>
                <w:szCs w:val="24"/>
              </w:rPr>
            </w:pPr>
          </w:p>
        </w:tc>
      </w:tr>
      <w:tr w:rsidR="000B33A8" w:rsidRPr="00CD3FB7" w:rsidTr="002479C8">
        <w:trPr>
          <w:trHeight w:val="423"/>
        </w:trPr>
        <w:tc>
          <w:tcPr>
            <w:tcW w:w="2500" w:type="pct"/>
            <w:shd w:val="clear" w:color="auto" w:fill="auto"/>
          </w:tcPr>
          <w:p w:rsidR="000B33A8" w:rsidRPr="00CD3FB7" w:rsidRDefault="000B33A8" w:rsidP="000B33A8">
            <w:pPr>
              <w:keepNext/>
              <w:spacing w:before="100" w:beforeAutospacing="1" w:after="100" w:afterAutospacing="1"/>
              <w:ind w:firstLine="0"/>
              <w:jc w:val="left"/>
              <w:rPr>
                <w:rFonts w:cs="Arial"/>
                <w:b/>
                <w:color w:val="0000FF"/>
                <w:sz w:val="24"/>
                <w:szCs w:val="24"/>
              </w:rPr>
            </w:pPr>
            <w:r>
              <w:rPr>
                <w:rFonts w:cs="Arial"/>
              </w:rPr>
              <w:t>Modifica non testuale</w:t>
            </w:r>
          </w:p>
        </w:tc>
        <w:tc>
          <w:tcPr>
            <w:tcW w:w="2500" w:type="pct"/>
            <w:shd w:val="clear" w:color="auto" w:fill="auto"/>
          </w:tcPr>
          <w:p w:rsidR="000B33A8" w:rsidRPr="00CD3FB7" w:rsidRDefault="00EB0878" w:rsidP="000B33A8">
            <w:pPr>
              <w:keepNext/>
              <w:spacing w:before="100" w:beforeAutospacing="1" w:after="100" w:afterAutospacing="1"/>
              <w:ind w:firstLine="0"/>
              <w:jc w:val="left"/>
              <w:rPr>
                <w:rFonts w:cs="Arial"/>
                <w:szCs w:val="22"/>
              </w:rPr>
            </w:pPr>
            <w:hyperlink w:anchor="S26o02" w:history="1">
              <w:r w:rsidR="000B33A8">
                <w:rPr>
                  <w:rFonts w:cs="Arial"/>
                  <w:color w:val="0000FF"/>
                  <w:szCs w:val="22"/>
                  <w:u w:val="single"/>
                </w:rPr>
                <w:t>Osservazione 2</w:t>
              </w:r>
            </w:hyperlink>
          </w:p>
        </w:tc>
      </w:tr>
    </w:tbl>
    <w:p w:rsidR="000B33A8" w:rsidRDefault="000B33A8" w:rsidP="000B33A8">
      <w:pPr>
        <w:ind w:firstLine="0"/>
        <w:rPr>
          <w:b/>
        </w:rPr>
      </w:pPr>
    </w:p>
    <w:p w:rsidR="000B33A8" w:rsidRDefault="000B33A8" w:rsidP="000B33A8">
      <w:pPr>
        <w:ind w:firstLine="0"/>
        <w:rPr>
          <w:b/>
        </w:rPr>
      </w:pPr>
    </w:p>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lastRenderedPageBreak/>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 xml:space="preserve">Circolare sulla formulazione tecnica dei testi normativi: paragrafo 15, lettera </w:t>
            </w:r>
            <w:r w:rsidRPr="00B26E1F">
              <w:rPr>
                <w:rFonts w:cs="Arial"/>
              </w:rPr>
              <w:t>d)</w:t>
            </w:r>
            <w:r w:rsidRPr="00B26E1F">
              <w:rPr>
                <w:rFonts w:cs="Arial"/>
                <w:i/>
              </w:rPr>
              <w:t>.</w:t>
            </w:r>
          </w:p>
        </w:tc>
      </w:tr>
    </w:tbl>
    <w:p w:rsidR="000B33A8" w:rsidRDefault="000B33A8" w:rsidP="000B33A8">
      <w:pPr>
        <w:spacing w:line="240" w:lineRule="auto"/>
        <w:ind w:firstLine="0"/>
        <w:jc w:val="left"/>
        <w:rPr>
          <w:rFonts w:cs="Arial"/>
          <w:sz w:val="24"/>
          <w:szCs w:val="24"/>
        </w:rPr>
      </w:pPr>
    </w:p>
    <w:p w:rsidR="000B33A8" w:rsidRPr="008B2DCE" w:rsidRDefault="000B33A8" w:rsidP="000B33A8">
      <w:pPr>
        <w:spacing w:line="240" w:lineRule="auto"/>
        <w:ind w:firstLine="0"/>
        <w:jc w:val="left"/>
        <w:rPr>
          <w:rFonts w:cs="Arial"/>
          <w:sz w:val="24"/>
          <w:szCs w:val="24"/>
        </w:rPr>
      </w:pPr>
    </w:p>
    <w:p w:rsidR="000B33A8" w:rsidRPr="00B91F58" w:rsidRDefault="000B33A8" w:rsidP="000B33A8">
      <w:pPr>
        <w:spacing w:after="120"/>
        <w:rPr>
          <w:rFonts w:cs="Arial"/>
          <w:szCs w:val="22"/>
        </w:rPr>
      </w:pPr>
      <w:bookmarkStart w:id="603" w:name="S26a01"/>
      <w:r w:rsidRPr="00B91F58">
        <w:rPr>
          <w:rFonts w:cs="Arial"/>
          <w:szCs w:val="22"/>
        </w:rPr>
        <w:t>1</w:t>
      </w:r>
      <w:bookmarkEnd w:id="603"/>
      <w:r w:rsidRPr="00B91F58">
        <w:rPr>
          <w:rFonts w:cs="Arial"/>
          <w:szCs w:val="22"/>
        </w:rPr>
        <w:t xml:space="preserve"> – </w:t>
      </w:r>
      <w:hyperlink w:anchor="premessa26" w:history="1">
        <w:r w:rsidRPr="00B91F58">
          <w:rPr>
            <w:rStyle w:val="Collegamentoipertestuale"/>
            <w:rFonts w:cs="Arial"/>
            <w:b/>
            <w:szCs w:val="22"/>
          </w:rPr>
          <w:t>Premessa</w:t>
        </w:r>
        <w:r w:rsidRPr="00B91F58">
          <w:rPr>
            <w:rStyle w:val="Collegamentoipertestuale"/>
            <w:rFonts w:cs="Arial"/>
            <w:szCs w:val="22"/>
          </w:rPr>
          <w:t>:</w:t>
        </w:r>
      </w:hyperlink>
      <w:r w:rsidRPr="00681B3D">
        <w:rPr>
          <w:rStyle w:val="Collegamentoipertestuale"/>
          <w:rFonts w:cs="Arial"/>
          <w:szCs w:val="22"/>
        </w:rPr>
        <w:t xml:space="preserve"> </w:t>
      </w:r>
      <w:r w:rsidRPr="00B91F58">
        <w:rPr>
          <w:rFonts w:cs="Arial"/>
          <w:szCs w:val="22"/>
        </w:rPr>
        <w:t>«</w:t>
      </w:r>
      <w:r>
        <w:t xml:space="preserve">il decreto-legge, che si compone di due articoli di natura sostanziale, reca un </w:t>
      </w:r>
      <w:r w:rsidRPr="00E070EC">
        <w:rPr>
          <w:b/>
        </w:rPr>
        <w:t>contenuto omogeneo</w:t>
      </w:r>
      <w:r>
        <w:t xml:space="preserve"> e corrispondente al titolo, in quanto contiene puntuali interventi in materia di finanza pubblica. In particolare, esso è volto a compensare gli effetti finanziari negativi derivanti dalla mancata autorizzazione, da parte della Commissione europea, all'estensione alla grande distribuzione di una misura di inversione contabile relativa all'IVA (così detto meccanismo del </w:t>
      </w:r>
      <w:r>
        <w:rPr>
          <w:rStyle w:val="Enfasicorsivo"/>
        </w:rPr>
        <w:t>reverse charge</w:t>
      </w:r>
      <w:r>
        <w:t xml:space="preserve">), mediante la proroga dei termini della procedura, attualmente in atto, per l'emersione e il rientro dei capitali detenuti illegalmente all'estero (così detta </w:t>
      </w:r>
      <w:r>
        <w:rPr>
          <w:rStyle w:val="Enfasicorsivo"/>
        </w:rPr>
        <w:t>voluntary disclosure</w:t>
      </w:r>
      <w:r>
        <w:t>), neutralizzando così l'aumento delle accise sui carburanti, previsto dalla clausola di salvaguardia contenuta nell'articolo 1, comma 632, della legge di stabilità per il 2015</w:t>
      </w:r>
      <w:r w:rsidRPr="00B91F58">
        <w:rPr>
          <w:rFonts w:cs="Arial"/>
          <w:szCs w:val="22"/>
        </w:rPr>
        <w:t>»;</w:t>
      </w:r>
      <w:r>
        <w:rPr>
          <w:rFonts w:cs="Arial"/>
          <w:szCs w:val="22"/>
        </w:rPr>
        <w:t xml:space="preserve"> </w:t>
      </w:r>
    </w:p>
    <w:p w:rsidR="000B33A8" w:rsidRPr="00B91F58" w:rsidRDefault="000B33A8" w:rsidP="000B33A8">
      <w:pPr>
        <w:spacing w:line="240" w:lineRule="auto"/>
        <w:ind w:firstLine="0"/>
        <w:jc w:val="left"/>
        <w:rPr>
          <w:rFonts w:cs="Arial"/>
          <w:szCs w:val="22"/>
        </w:rPr>
      </w:pPr>
    </w:p>
    <w:p w:rsidR="000B33A8" w:rsidRPr="00B91F58" w:rsidRDefault="000B33A8" w:rsidP="000B33A8">
      <w:pPr>
        <w:spacing w:line="240" w:lineRule="auto"/>
        <w:ind w:firstLine="0"/>
        <w:jc w:val="left"/>
        <w:rPr>
          <w:rFonts w:cs="Arial"/>
          <w:szCs w:val="22"/>
        </w:rPr>
      </w:pPr>
    </w:p>
    <w:p w:rsidR="000B33A8" w:rsidRPr="00B91F58" w:rsidRDefault="000B33A8" w:rsidP="000B33A8">
      <w:pPr>
        <w:rPr>
          <w:rFonts w:cs="Arial"/>
          <w:szCs w:val="22"/>
        </w:rPr>
      </w:pPr>
      <w:bookmarkStart w:id="604" w:name="S26a02"/>
      <w:r w:rsidRPr="00B91F58">
        <w:rPr>
          <w:rFonts w:cs="Arial"/>
          <w:szCs w:val="22"/>
        </w:rPr>
        <w:t xml:space="preserve">2 </w:t>
      </w:r>
      <w:bookmarkEnd w:id="604"/>
      <w:r w:rsidRPr="00B91F58">
        <w:rPr>
          <w:rFonts w:cs="Arial"/>
          <w:szCs w:val="22"/>
        </w:rPr>
        <w:t xml:space="preserve">– </w:t>
      </w:r>
      <w:hyperlink w:anchor="premessa2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t xml:space="preserve">il provvedimento d'urgenza, all'articolo 2, comma 1, lettera </w:t>
      </w:r>
      <w:r>
        <w:rPr>
          <w:rStyle w:val="Enfasicorsivo"/>
        </w:rPr>
        <w:t>a</w:t>
      </w:r>
      <w:r>
        <w:t>), n. 2), capoverso 5, terzo periodo, con disposizione introdotta in sede di esame parlamentare, fissa al 10 novembre 2015 (e, quindi, presumibilmente prima della data di entrata in vigore della legge di conversione) la data a partire dalla quale, in deroga alla normativa vigente, la competenza alla gestione delle istanze presentate nell'ambito della procedura di collaborazione volontaria spetta “</w:t>
      </w:r>
      <w:r>
        <w:rPr>
          <w:rStyle w:val="Enfasicorsivo"/>
        </w:rPr>
        <w:t>all'articolazione dell'Agenzia delle entrate individuata con provvedimento del direttore dell'Agenzia medesima, da emanare entro la data di entrata in vigore della presente disposizione</w:t>
      </w:r>
      <w:r>
        <w:t>”</w:t>
      </w:r>
      <w:r w:rsidRPr="00B91F58">
        <w:rPr>
          <w:rFonts w:cs="Arial"/>
          <w:szCs w:val="22"/>
        </w:rPr>
        <w:t>»</w:t>
      </w:r>
      <w:r>
        <w:rPr>
          <w:rFonts w:cs="Arial"/>
          <w:szCs w:val="22"/>
        </w:rPr>
        <w:t xml:space="preserve"> (</w:t>
      </w:r>
      <w:hyperlink w:anchor="S26c01" w:history="1">
        <w:r>
          <w:rPr>
            <w:rStyle w:val="Collegamentoipertestuale"/>
            <w:rFonts w:cs="Arial"/>
            <w:b/>
            <w:szCs w:val="22"/>
          </w:rPr>
          <w:t>conseguente condizione</w:t>
        </w:r>
      </w:hyperlink>
      <w:r>
        <w:rPr>
          <w:rFonts w:cs="Arial"/>
          <w:szCs w:val="22"/>
        </w:rPr>
        <w:t xml:space="preserve">); </w:t>
      </w:r>
    </w:p>
    <w:p w:rsidR="000B33A8" w:rsidRPr="00B91F58" w:rsidRDefault="000B33A8" w:rsidP="000B33A8">
      <w:pPr>
        <w:spacing w:line="240" w:lineRule="auto"/>
        <w:ind w:firstLine="0"/>
        <w:jc w:val="left"/>
        <w:rPr>
          <w:rFonts w:cs="Arial"/>
          <w:szCs w:val="22"/>
        </w:rPr>
      </w:pPr>
    </w:p>
    <w:p w:rsidR="000B33A8" w:rsidRPr="00B91F58" w:rsidRDefault="000B33A8" w:rsidP="000B33A8">
      <w:pPr>
        <w:spacing w:line="240" w:lineRule="auto"/>
        <w:ind w:firstLine="0"/>
        <w:jc w:val="left"/>
        <w:rPr>
          <w:rFonts w:cs="Arial"/>
          <w:szCs w:val="22"/>
        </w:rPr>
      </w:pPr>
    </w:p>
    <w:p w:rsidR="000B33A8" w:rsidRPr="00B91F58" w:rsidRDefault="000B33A8" w:rsidP="000B33A8">
      <w:pPr>
        <w:rPr>
          <w:rFonts w:cs="Arial"/>
          <w:szCs w:val="22"/>
        </w:rPr>
      </w:pPr>
      <w:bookmarkStart w:id="605" w:name="S26a03"/>
      <w:r w:rsidRPr="00B91F58">
        <w:rPr>
          <w:rFonts w:cs="Arial"/>
          <w:szCs w:val="22"/>
        </w:rPr>
        <w:t>3</w:t>
      </w:r>
      <w:bookmarkEnd w:id="605"/>
      <w:r w:rsidRPr="00B91F58">
        <w:rPr>
          <w:rFonts w:cs="Arial"/>
          <w:szCs w:val="22"/>
        </w:rPr>
        <w:t xml:space="preserve"> – </w:t>
      </w:r>
      <w:hyperlink w:anchor="premessa2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t xml:space="preserve">il medesimo articolo 2, al comma 2, lettera </w:t>
      </w:r>
      <w:r>
        <w:rPr>
          <w:rStyle w:val="Enfasicorsivo"/>
        </w:rPr>
        <w:t>a</w:t>
      </w:r>
      <w:r>
        <w:t xml:space="preserve">), dispone la </w:t>
      </w:r>
      <w:r w:rsidRPr="00E070EC">
        <w:rPr>
          <w:b/>
        </w:rPr>
        <w:t>reviviscenza</w:t>
      </w:r>
      <w:r>
        <w:t xml:space="preserve"> – fino al 31 dicembre 2016 e ai soli fini della collaborazione volontaria di cui alla legge n. 186 del 2014 – dei commi da 1-</w:t>
      </w:r>
      <w:r>
        <w:rPr>
          <w:rStyle w:val="Enfasicorsivo"/>
        </w:rPr>
        <w:t>bis</w:t>
      </w:r>
      <w:r>
        <w:t xml:space="preserve"> a 1-quinquies dell'articolo 5 del decreto legislativo 19 giugno 1997, n. 218, che sono stati abrogati, a decorrere dal 1</w:t>
      </w:r>
      <w:r>
        <w:rPr>
          <w:vertAlign w:val="superscript"/>
        </w:rPr>
        <w:t>o</w:t>
      </w:r>
      <w:r>
        <w:t xml:space="preserve"> gennaio 2015, ad opera dell'articolo 1, comma 637, lettera </w:t>
      </w:r>
      <w:r>
        <w:rPr>
          <w:rStyle w:val="Enfasicorsivo"/>
        </w:rPr>
        <w:t>c</w:t>
      </w:r>
      <w:r>
        <w:t xml:space="preserve">), n. 1.2 della legge di stabilità per il 2015. In proposito, si ricorda che la circolare sulla formulazione tecnica dei testi legislativi, al paragrafo 15, lettera </w:t>
      </w:r>
      <w:r>
        <w:rPr>
          <w:rStyle w:val="Enfasicorsivo"/>
        </w:rPr>
        <w:t>d</w:t>
      </w:r>
      <w:r>
        <w:t>), dispone che “Se si intende fare rivivere una disposizione abrogata o modificata occorre specificare espressamente tale intento”</w:t>
      </w:r>
      <w:r w:rsidRPr="00B91F58">
        <w:rPr>
          <w:rFonts w:cs="Arial"/>
          <w:szCs w:val="22"/>
        </w:rPr>
        <w:t>»</w:t>
      </w:r>
      <w:r>
        <w:rPr>
          <w:rFonts w:cs="Arial"/>
          <w:szCs w:val="22"/>
        </w:rPr>
        <w:t xml:space="preserve"> (</w:t>
      </w:r>
      <w:hyperlink w:anchor="S26o01" w:history="1">
        <w:r>
          <w:rPr>
            <w:rStyle w:val="Collegamentoipertestuale"/>
            <w:rFonts w:cs="Arial"/>
            <w:b/>
            <w:szCs w:val="22"/>
          </w:rPr>
          <w:t>conseguente osservazione</w:t>
        </w:r>
      </w:hyperlink>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rPr>
          <w:rFonts w:cs="Arial"/>
          <w:szCs w:val="22"/>
        </w:rPr>
      </w:pPr>
      <w:bookmarkStart w:id="606" w:name="S26a04"/>
      <w:r>
        <w:rPr>
          <w:rFonts w:cs="Arial"/>
          <w:szCs w:val="22"/>
        </w:rPr>
        <w:t xml:space="preserve">4 </w:t>
      </w:r>
      <w:bookmarkEnd w:id="606"/>
      <w:r w:rsidRPr="00B91F58">
        <w:rPr>
          <w:rFonts w:cs="Arial"/>
          <w:szCs w:val="22"/>
        </w:rPr>
        <w:t xml:space="preserve">– </w:t>
      </w:r>
      <w:hyperlink w:anchor="premessa26"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t>il disegno di legge è corredato sia della relazione sull'analisi tecnico-normativa (</w:t>
      </w:r>
      <w:r w:rsidRPr="00E070EC">
        <w:rPr>
          <w:b/>
        </w:rPr>
        <w:t>ATN</w:t>
      </w:r>
      <w:r>
        <w:t>), sia della relazione sull'analisi di impatto della regolamentazione (</w:t>
      </w:r>
      <w:r w:rsidRPr="00E070EC">
        <w:rPr>
          <w:b/>
        </w:rPr>
        <w:t>AIR</w:t>
      </w:r>
      <w:r>
        <w:t>)</w:t>
      </w:r>
      <w:r w:rsidRPr="00B91F58">
        <w:rPr>
          <w:rFonts w:cs="Arial"/>
          <w:szCs w:val="22"/>
        </w:rPr>
        <w:t>»</w:t>
      </w:r>
      <w:r>
        <w:rPr>
          <w:rFonts w:cs="Arial"/>
          <w:szCs w:val="22"/>
        </w:rPr>
        <w:t>.</w:t>
      </w:r>
    </w:p>
    <w:p w:rsidR="000B33A8" w:rsidRDefault="000B33A8" w:rsidP="000B33A8">
      <w:pPr>
        <w:rPr>
          <w:rFonts w:cs="Arial"/>
          <w:szCs w:val="22"/>
        </w:rPr>
      </w:pPr>
    </w:p>
    <w:p w:rsidR="000B33A8" w:rsidRDefault="000B33A8" w:rsidP="000B33A8">
      <w:pPr>
        <w:rPr>
          <w:rFonts w:cs="Arial"/>
          <w:szCs w:val="22"/>
        </w:rPr>
      </w:pPr>
    </w:p>
    <w:p w:rsidR="000B33A8" w:rsidRDefault="000B33A8" w:rsidP="000B33A8">
      <w:pPr>
        <w:rPr>
          <w:rFonts w:cs="Arial"/>
          <w:szCs w:val="22"/>
        </w:rPr>
      </w:pPr>
    </w:p>
    <w:p w:rsidR="000B33A8" w:rsidRPr="00CC2FFB" w:rsidRDefault="000B33A8" w:rsidP="000B33A8">
      <w:pPr>
        <w:keepNext/>
        <w:ind w:firstLine="0"/>
        <w:rPr>
          <w:rFonts w:cs="Arial"/>
          <w:b/>
          <w:szCs w:val="22"/>
        </w:rPr>
      </w:pPr>
      <w:bookmarkStart w:id="607" w:name="S26C"/>
      <w:r>
        <w:rPr>
          <w:rFonts w:cs="Arial"/>
          <w:b/>
          <w:szCs w:val="22"/>
        </w:rPr>
        <w:t>Condi</w:t>
      </w:r>
      <w:r w:rsidRPr="00CC2FFB">
        <w:rPr>
          <w:rFonts w:cs="Arial"/>
          <w:b/>
          <w:szCs w:val="22"/>
        </w:rPr>
        <w:t>zioni:</w:t>
      </w:r>
    </w:p>
    <w:bookmarkEnd w:id="607"/>
    <w:p w:rsidR="000B33A8" w:rsidRPr="00261390" w:rsidRDefault="000B33A8" w:rsidP="000B33A8">
      <w:pPr>
        <w:ind w:firstLine="0"/>
        <w:rPr>
          <w:rFonts w:cs="Arial"/>
          <w:i/>
          <w:szCs w:val="22"/>
        </w:rPr>
      </w:pPr>
      <w:r>
        <w:rPr>
          <w:rFonts w:cs="Arial"/>
          <w:i/>
          <w:szCs w:val="22"/>
        </w:rPr>
        <w:t>sotto il profilo dell’efficacia del testo per la semplificazione e il riordinamento della legislazione vigente:</w:t>
      </w:r>
    </w:p>
    <w:p w:rsidR="000B33A8" w:rsidRDefault="000B33A8" w:rsidP="00B26E1F">
      <w:pPr>
        <w:pStyle w:val="Paragrafoelenco"/>
        <w:numPr>
          <w:ilvl w:val="0"/>
          <w:numId w:val="63"/>
        </w:numPr>
        <w:ind w:left="567" w:hanging="283"/>
        <w:rPr>
          <w:rFonts w:cs="Arial"/>
          <w:szCs w:val="22"/>
        </w:rPr>
      </w:pPr>
      <w:bookmarkStart w:id="608" w:name="S26c01"/>
      <w:r>
        <w:t xml:space="preserve">si verifichi la portata </w:t>
      </w:r>
      <w:bookmarkEnd w:id="608"/>
      <w:r>
        <w:t xml:space="preserve">normativa dell'articolo 2, comma 1, lettera </w:t>
      </w:r>
      <w:r>
        <w:rPr>
          <w:rStyle w:val="Enfasicorsivo"/>
        </w:rPr>
        <w:t>a</w:t>
      </w:r>
      <w:r>
        <w:t>), n. 2), capoverso 5, terzo periodo, che, pur essendo stato inserito in sede di esame parlamentare, è volto a dispiegare i propri effetti prima dell'entrata in vigore della legge di conversione</w:t>
      </w:r>
      <w:r w:rsidRPr="00261390">
        <w:rPr>
          <w:rFonts w:cs="Arial"/>
          <w:szCs w:val="22"/>
        </w:rPr>
        <w:t>;</w:t>
      </w:r>
      <w:r>
        <w:rPr>
          <w:rFonts w:cs="Arial"/>
          <w:szCs w:val="22"/>
        </w:rPr>
        <w:t xml:space="preserve"> [</w:t>
      </w:r>
      <w:hyperlink w:anchor="premessa26" w:history="1">
        <w:r w:rsidRPr="00261390">
          <w:rPr>
            <w:rStyle w:val="Collegamentoipertestuale"/>
            <w:rFonts w:cs="Arial"/>
            <w:szCs w:val="22"/>
          </w:rPr>
          <w:t>torna su</w:t>
        </w:r>
      </w:hyperlink>
      <w:r>
        <w:rPr>
          <w:rFonts w:cs="Arial"/>
          <w:szCs w:val="22"/>
        </w:rPr>
        <w:t xml:space="preserve">] </w:t>
      </w:r>
    </w:p>
    <w:p w:rsidR="000B33A8" w:rsidRDefault="000B33A8" w:rsidP="000B33A8">
      <w:pPr>
        <w:rPr>
          <w:rFonts w:cs="Arial"/>
          <w:szCs w:val="22"/>
        </w:rPr>
      </w:pPr>
    </w:p>
    <w:p w:rsidR="00A87AE9" w:rsidRDefault="00A87AE9" w:rsidP="000B33A8">
      <w:pPr>
        <w:rPr>
          <w:rFonts w:cs="Arial"/>
          <w:szCs w:val="22"/>
        </w:rPr>
      </w:pPr>
    </w:p>
    <w:p w:rsidR="000B33A8" w:rsidRDefault="000B33A8" w:rsidP="000B33A8">
      <w:pPr>
        <w:rPr>
          <w:rFonts w:cs="Arial"/>
          <w:szCs w:val="22"/>
        </w:rPr>
      </w:pPr>
    </w:p>
    <w:p w:rsidR="000B33A8" w:rsidRPr="00CC2FFB" w:rsidRDefault="000B33A8" w:rsidP="000B33A8">
      <w:pPr>
        <w:keepNext/>
        <w:ind w:firstLine="0"/>
        <w:rPr>
          <w:rFonts w:cs="Arial"/>
          <w:b/>
          <w:szCs w:val="22"/>
        </w:rPr>
      </w:pPr>
      <w:bookmarkStart w:id="609" w:name="S26O"/>
      <w:r w:rsidRPr="00CC2FFB">
        <w:rPr>
          <w:rFonts w:cs="Arial"/>
          <w:b/>
          <w:szCs w:val="22"/>
        </w:rPr>
        <w:t>Osservazioni</w:t>
      </w:r>
      <w:bookmarkEnd w:id="609"/>
      <w:r w:rsidRPr="00CC2FFB">
        <w:rPr>
          <w:rFonts w:cs="Arial"/>
          <w:b/>
          <w:szCs w:val="22"/>
        </w:rPr>
        <w:t>:</w:t>
      </w:r>
    </w:p>
    <w:p w:rsidR="000B33A8" w:rsidRPr="00261390" w:rsidRDefault="000B33A8" w:rsidP="000B33A8">
      <w:pPr>
        <w:keepNext/>
        <w:ind w:firstLine="0"/>
        <w:rPr>
          <w:rFonts w:cs="Arial"/>
          <w:i/>
          <w:szCs w:val="22"/>
        </w:rPr>
      </w:pPr>
      <w:r>
        <w:rPr>
          <w:rFonts w:cs="Arial"/>
          <w:i/>
          <w:szCs w:val="22"/>
        </w:rPr>
        <w:t>sotto il profilo dell’efficacia del testo per la semplificazione e il riordinamento della legislazione vigente:</w:t>
      </w:r>
    </w:p>
    <w:p w:rsidR="000B33A8" w:rsidRDefault="000B33A8" w:rsidP="00B26E1F">
      <w:pPr>
        <w:pStyle w:val="Paragrafoelenco"/>
        <w:numPr>
          <w:ilvl w:val="0"/>
          <w:numId w:val="64"/>
        </w:numPr>
        <w:ind w:left="567" w:hanging="283"/>
        <w:rPr>
          <w:rFonts w:cs="Arial"/>
          <w:szCs w:val="22"/>
        </w:rPr>
      </w:pPr>
      <w:bookmarkStart w:id="610" w:name="S26o01"/>
      <w:r w:rsidRPr="00911C54">
        <w:rPr>
          <w:rFonts w:cs="Arial"/>
          <w:szCs w:val="22"/>
        </w:rPr>
        <w:t xml:space="preserve">si valuti l'opportunità </w:t>
      </w:r>
      <w:bookmarkEnd w:id="610"/>
      <w:r w:rsidRPr="00911C54">
        <w:rPr>
          <w:rFonts w:cs="Arial"/>
          <w:szCs w:val="22"/>
        </w:rPr>
        <w:t>di riformulare la disposizione contenuta all'articolo 2, comma 2, lettera a), in termini di novella all'articolo 1, comma 638, della legge n.</w:t>
      </w:r>
      <w:r>
        <w:rPr>
          <w:rFonts w:cs="Arial"/>
          <w:szCs w:val="22"/>
        </w:rPr>
        <w:t xml:space="preserve"> </w:t>
      </w:r>
      <w:r w:rsidRPr="00911C54">
        <w:rPr>
          <w:rFonts w:cs="Arial"/>
          <w:szCs w:val="22"/>
        </w:rPr>
        <w:t>190 del 2014, il quale già introduce, per diverse finalità, alcuni casi di ultrattività delle disposizioni di cui all'articolo 5, commi da 1-</w:t>
      </w:r>
      <w:r w:rsidRPr="00903C04">
        <w:rPr>
          <w:rFonts w:cs="Arial"/>
          <w:i/>
          <w:szCs w:val="22"/>
        </w:rPr>
        <w:t>bis</w:t>
      </w:r>
      <w:r w:rsidRPr="00911C54">
        <w:rPr>
          <w:rFonts w:cs="Arial"/>
          <w:szCs w:val="22"/>
        </w:rPr>
        <w:t xml:space="preserve"> a 1-</w:t>
      </w:r>
      <w:r w:rsidRPr="00903C04">
        <w:rPr>
          <w:rFonts w:cs="Arial"/>
          <w:i/>
          <w:szCs w:val="22"/>
        </w:rPr>
        <w:t>quinquies</w:t>
      </w:r>
      <w:r w:rsidRPr="00911C54">
        <w:rPr>
          <w:rFonts w:cs="Arial"/>
          <w:szCs w:val="22"/>
        </w:rPr>
        <w:t>, del decreto legislativo n.</w:t>
      </w:r>
      <w:r>
        <w:rPr>
          <w:rFonts w:cs="Arial"/>
          <w:szCs w:val="22"/>
        </w:rPr>
        <w:t xml:space="preserve"> </w:t>
      </w:r>
      <w:r w:rsidRPr="00911C54">
        <w:rPr>
          <w:rFonts w:cs="Arial"/>
          <w:szCs w:val="22"/>
        </w:rPr>
        <w:t>218 del 1997</w:t>
      </w:r>
      <w:r>
        <w:rPr>
          <w:rFonts w:cs="Arial"/>
          <w:szCs w:val="22"/>
        </w:rPr>
        <w:t>; [</w:t>
      </w:r>
      <w:hyperlink w:anchor="premessa26" w:history="1">
        <w:r w:rsidRPr="00261390">
          <w:rPr>
            <w:rStyle w:val="Collegamentoipertestuale"/>
            <w:rFonts w:cs="Arial"/>
            <w:szCs w:val="22"/>
          </w:rPr>
          <w:t>torna su</w:t>
        </w:r>
      </w:hyperlink>
      <w:r>
        <w:rPr>
          <w:rFonts w:cs="Arial"/>
          <w:szCs w:val="22"/>
        </w:rPr>
        <w:t xml:space="preserve">] </w:t>
      </w:r>
    </w:p>
    <w:p w:rsidR="000B33A8" w:rsidRDefault="000B33A8" w:rsidP="00B26E1F">
      <w:pPr>
        <w:pStyle w:val="Paragrafoelenco"/>
        <w:numPr>
          <w:ilvl w:val="0"/>
          <w:numId w:val="64"/>
        </w:numPr>
        <w:ind w:left="567" w:hanging="283"/>
        <w:rPr>
          <w:rFonts w:cs="Arial"/>
          <w:szCs w:val="22"/>
        </w:rPr>
      </w:pPr>
      <w:r>
        <w:rPr>
          <w:rFonts w:cs="Arial"/>
          <w:szCs w:val="22"/>
        </w:rPr>
        <w:t xml:space="preserve"> </w:t>
      </w:r>
      <w:bookmarkStart w:id="611" w:name="S26o02"/>
      <w:r>
        <w:t xml:space="preserve">si valuti altresì </w:t>
      </w:r>
      <w:bookmarkEnd w:id="611"/>
      <w:r>
        <w:t xml:space="preserve">l'opportunità di riformulare la disposizione contenuta all'articolo 2, comma 2, lettera </w:t>
      </w:r>
      <w:r>
        <w:rPr>
          <w:rStyle w:val="Enfasicorsivo"/>
        </w:rPr>
        <w:t>b-bis)</w:t>
      </w:r>
      <w:r>
        <w:t>, che integra in maniera non testuale la disciplina della collaborazione volontaria, con specifico riguardo all'esonero dagli obblighi dichiarativi per i residenti in Italia che lavorano all'estero, in termini di novella alla legge n. 186 del 2014, che ne disciplina la procedura</w:t>
      </w:r>
      <w:r>
        <w:rPr>
          <w:rFonts w:cs="Arial"/>
          <w:szCs w:val="22"/>
        </w:rPr>
        <w:t xml:space="preserve"> [</w:t>
      </w:r>
      <w:hyperlink w:anchor="premessa26" w:history="1">
        <w:r w:rsidRPr="00261390">
          <w:rPr>
            <w:rStyle w:val="Collegamentoipertestuale"/>
            <w:rFonts w:cs="Arial"/>
            <w:szCs w:val="22"/>
          </w:rPr>
          <w:t>torna su</w:t>
        </w:r>
      </w:hyperlink>
      <w:r>
        <w:rPr>
          <w:rFonts w:cs="Arial"/>
          <w:szCs w:val="22"/>
        </w:rPr>
        <w:t xml:space="preserve">]  </w:t>
      </w:r>
    </w:p>
    <w:p w:rsidR="000B33A8" w:rsidRDefault="000B33A8" w:rsidP="000B33A8">
      <w:pPr>
        <w:pStyle w:val="Paragrafoelenco"/>
        <w:ind w:firstLine="0"/>
        <w:rPr>
          <w:rFonts w:cs="Arial"/>
          <w:szCs w:val="22"/>
        </w:rPr>
      </w:pPr>
    </w:p>
    <w:p w:rsidR="000B33A8" w:rsidRDefault="000B33A8" w:rsidP="000B33A8">
      <w:pPr>
        <w:pStyle w:val="Paragrafoelenco"/>
        <w:ind w:firstLine="0"/>
        <w:rPr>
          <w:rFonts w:cs="Arial"/>
          <w:szCs w:val="22"/>
        </w:rPr>
        <w:sectPr w:rsidR="000B33A8" w:rsidSect="000B33A8">
          <w:pgSz w:w="11906" w:h="16838" w:code="9"/>
          <w:pgMar w:top="1985" w:right="1985" w:bottom="1985" w:left="1985" w:header="1134" w:footer="1134" w:gutter="0"/>
          <w:cols w:space="720"/>
          <w:formProt w:val="0"/>
        </w:sectPr>
      </w:pPr>
    </w:p>
    <w:p w:rsidR="000B33A8" w:rsidRPr="005C7D5A" w:rsidRDefault="000B33A8" w:rsidP="000B33A8">
      <w:pPr>
        <w:ind w:firstLine="0"/>
        <w:rPr>
          <w:rFonts w:cs="Arial"/>
          <w:i/>
          <w:szCs w:val="22"/>
        </w:rPr>
      </w:pPr>
    </w:p>
    <w:tbl>
      <w:tblPr>
        <w:tblW w:w="5000" w:type="pct"/>
        <w:tblLook w:val="01E0" w:firstRow="1" w:lastRow="1" w:firstColumn="1" w:lastColumn="1" w:noHBand="0" w:noVBand="0"/>
      </w:tblPr>
      <w:tblGrid>
        <w:gridCol w:w="1230"/>
        <w:gridCol w:w="1157"/>
        <w:gridCol w:w="1598"/>
        <w:gridCol w:w="2818"/>
        <w:gridCol w:w="1349"/>
      </w:tblGrid>
      <w:tr w:rsidR="000B33A8" w:rsidRPr="008B2DCE" w:rsidTr="00B26E1F">
        <w:trPr>
          <w:cantSplit/>
          <w:trHeight w:val="567"/>
        </w:trPr>
        <w:tc>
          <w:tcPr>
            <w:tcW w:w="595"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N. SCHEDA</w:t>
            </w:r>
          </w:p>
        </w:tc>
        <w:tc>
          <w:tcPr>
            <w:tcW w:w="75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AC</w:t>
            </w:r>
          </w:p>
        </w:tc>
        <w:tc>
          <w:tcPr>
            <w:tcW w:w="1020"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TIPO ATTO</w:t>
            </w:r>
          </w:p>
        </w:tc>
        <w:tc>
          <w:tcPr>
            <w:tcW w:w="1768"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TITOLO BREVE</w:t>
            </w:r>
          </w:p>
        </w:tc>
        <w:tc>
          <w:tcPr>
            <w:tcW w:w="867" w:type="pct"/>
            <w:shd w:val="clear" w:color="auto" w:fill="FFFF99"/>
          </w:tcPr>
          <w:p w:rsidR="000B33A8" w:rsidRPr="00B26E1F" w:rsidRDefault="000B33A8" w:rsidP="00B26E1F">
            <w:pPr>
              <w:spacing w:before="100" w:beforeAutospacing="1" w:after="100" w:afterAutospacing="1"/>
              <w:ind w:firstLine="0"/>
              <w:jc w:val="center"/>
              <w:rPr>
                <w:rFonts w:cs="Arial"/>
                <w:b/>
                <w:color w:val="0000FF"/>
                <w:sz w:val="24"/>
                <w:szCs w:val="24"/>
              </w:rPr>
            </w:pPr>
            <w:r w:rsidRPr="00B26E1F">
              <w:rPr>
                <w:rFonts w:cs="Arial"/>
                <w:b/>
                <w:color w:val="0000FF"/>
                <w:sz w:val="24"/>
                <w:szCs w:val="24"/>
              </w:rPr>
              <w:t>DATA PARERE</w:t>
            </w:r>
          </w:p>
        </w:tc>
      </w:tr>
      <w:tr w:rsidR="000B33A8" w:rsidRPr="008B2DCE" w:rsidTr="00B26E1F">
        <w:trPr>
          <w:cantSplit/>
          <w:trHeight w:val="832"/>
        </w:trPr>
        <w:tc>
          <w:tcPr>
            <w:tcW w:w="595" w:type="pct"/>
            <w:shd w:val="clear" w:color="auto" w:fill="auto"/>
          </w:tcPr>
          <w:p w:rsidR="000B33A8" w:rsidRPr="00B26E1F" w:rsidRDefault="000B33A8" w:rsidP="000B33A8">
            <w:pPr>
              <w:pStyle w:val="StileCentratoPrimariga0cm"/>
              <w:rPr>
                <w:rFonts w:cs="Arial"/>
                <w:b/>
              </w:rPr>
            </w:pPr>
            <w:r w:rsidRPr="00B26E1F">
              <w:rPr>
                <w:rFonts w:cs="Arial"/>
                <w:b/>
              </w:rPr>
              <w:t>0027</w:t>
            </w:r>
          </w:p>
        </w:tc>
        <w:tc>
          <w:tcPr>
            <w:tcW w:w="750" w:type="pct"/>
            <w:shd w:val="clear" w:color="auto" w:fill="auto"/>
          </w:tcPr>
          <w:p w:rsidR="000B33A8" w:rsidRPr="00B26E1F" w:rsidRDefault="000B33A8" w:rsidP="000B33A8">
            <w:pPr>
              <w:pStyle w:val="Collegamento"/>
              <w:rPr>
                <w:rFonts w:cs="Arial"/>
              </w:rPr>
            </w:pPr>
            <w:r w:rsidRPr="00B26E1F">
              <w:rPr>
                <w:rFonts w:cs="Arial"/>
              </w:rPr>
              <w:t>TU 1138</w:t>
            </w:r>
          </w:p>
        </w:tc>
        <w:tc>
          <w:tcPr>
            <w:tcW w:w="1020"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404" w:history="1">
              <w:r w:rsidR="000B33A8" w:rsidRPr="00B26E1F">
                <w:rPr>
                  <w:rStyle w:val="Collegamentoipertestuale"/>
                  <w:rFonts w:cs="Arial"/>
                </w:rPr>
                <w:t>pdl misto</w:t>
              </w:r>
            </w:hyperlink>
          </w:p>
        </w:tc>
        <w:tc>
          <w:tcPr>
            <w:tcW w:w="1768" w:type="pct"/>
            <w:shd w:val="clear" w:color="auto" w:fill="auto"/>
          </w:tcPr>
          <w:p w:rsidR="000B33A8" w:rsidRPr="00B26E1F" w:rsidRDefault="000B33A8" w:rsidP="00B26E1F">
            <w:pPr>
              <w:spacing w:before="100" w:beforeAutospacing="1" w:after="100" w:afterAutospacing="1"/>
              <w:ind w:firstLine="0"/>
              <w:jc w:val="center"/>
              <w:rPr>
                <w:rFonts w:cs="Arial"/>
                <w:sz w:val="18"/>
                <w:szCs w:val="18"/>
              </w:rPr>
            </w:pPr>
            <w:r w:rsidRPr="00B26E1F">
              <w:rPr>
                <w:rFonts w:cs="Arial"/>
                <w:sz w:val="18"/>
                <w:szCs w:val="18"/>
              </w:rPr>
              <w:t>Modifiche al codice antimafia</w:t>
            </w:r>
          </w:p>
        </w:tc>
        <w:tc>
          <w:tcPr>
            <w:tcW w:w="867" w:type="pct"/>
            <w:shd w:val="clear" w:color="auto" w:fill="auto"/>
          </w:tcPr>
          <w:p w:rsidR="000B33A8" w:rsidRPr="00B26E1F" w:rsidRDefault="00EB0878" w:rsidP="00B26E1F">
            <w:pPr>
              <w:spacing w:before="100" w:beforeAutospacing="1" w:after="100" w:afterAutospacing="1"/>
              <w:ind w:firstLine="0"/>
              <w:jc w:val="center"/>
              <w:rPr>
                <w:rFonts w:cs="Arial"/>
                <w:sz w:val="24"/>
              </w:rPr>
            </w:pPr>
            <w:hyperlink r:id="rId405" w:anchor="data.20151104.com48.bollettino.sede00030.tit00010" w:history="1">
              <w:r w:rsidR="000B33A8">
                <w:rPr>
                  <w:rStyle w:val="Collegamentoipertestuale"/>
                </w:rPr>
                <w:t>04/11/2015</w:t>
              </w:r>
            </w:hyperlink>
          </w:p>
        </w:tc>
      </w:tr>
    </w:tbl>
    <w:p w:rsidR="000B33A8" w:rsidRDefault="000B33A8" w:rsidP="000B33A8">
      <w:pPr>
        <w:spacing w:line="240" w:lineRule="auto"/>
        <w:ind w:firstLine="0"/>
        <w:jc w:val="left"/>
        <w:rPr>
          <w:rFonts w:cs="Arial"/>
          <w:sz w:val="24"/>
          <w:szCs w:val="24"/>
        </w:rPr>
      </w:pPr>
    </w:p>
    <w:p w:rsidR="00A87AE9" w:rsidRPr="008B2DCE" w:rsidRDefault="00A87AE9" w:rsidP="000B33A8">
      <w:pPr>
        <w:spacing w:line="240" w:lineRule="auto"/>
        <w:ind w:firstLine="0"/>
        <w:jc w:val="left"/>
        <w:rPr>
          <w:rFonts w:cs="Arial"/>
          <w:sz w:val="24"/>
          <w:szCs w:val="24"/>
        </w:rPr>
      </w:pPr>
    </w:p>
    <w:tbl>
      <w:tblPr>
        <w:tblW w:w="5000" w:type="pct"/>
        <w:jc w:val="center"/>
        <w:tblLook w:val="01E0" w:firstRow="1" w:lastRow="1" w:firstColumn="1" w:lastColumn="1" w:noHBand="0" w:noVBand="0"/>
      </w:tblPr>
      <w:tblGrid>
        <w:gridCol w:w="4076"/>
        <w:gridCol w:w="4076"/>
      </w:tblGrid>
      <w:tr w:rsidR="000B33A8" w:rsidRPr="008B2DCE" w:rsidTr="00B26E1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color w:val="0000FF"/>
                <w:sz w:val="24"/>
                <w:szCs w:val="24"/>
              </w:rPr>
            </w:pPr>
            <w:r w:rsidRPr="00B26E1F">
              <w:rPr>
                <w:rFonts w:cs="Arial"/>
                <w:b/>
                <w:bCs/>
                <w:sz w:val="24"/>
              </w:rPr>
              <w:t>AI SENSI DELL'ARTICOLO 16-</w:t>
            </w:r>
            <w:r w:rsidRPr="00B26E1F">
              <w:rPr>
                <w:rFonts w:cs="Arial"/>
                <w:b/>
                <w:bCs/>
                <w:i/>
                <w:sz w:val="24"/>
              </w:rPr>
              <w:t>BIS</w:t>
            </w:r>
            <w:r w:rsidRPr="00B26E1F">
              <w:rPr>
                <w:rFonts w:cs="Arial"/>
                <w:b/>
                <w:bCs/>
                <w:sz w:val="24"/>
              </w:rPr>
              <w:t>, COMMA 6-</w:t>
            </w:r>
            <w:r w:rsidRPr="00B26E1F">
              <w:rPr>
                <w:rFonts w:cs="Arial"/>
                <w:b/>
                <w:bCs/>
                <w:i/>
                <w:sz w:val="24"/>
              </w:rPr>
              <w:t>BIS</w:t>
            </w:r>
            <w:r w:rsidRPr="00B26E1F">
              <w:rPr>
                <w:rFonts w:cs="Arial"/>
                <w:b/>
                <w:bCs/>
                <w:sz w:val="24"/>
              </w:rPr>
              <w:t>, DEL REGOLAMENTO</w:t>
            </w:r>
          </w:p>
        </w:tc>
      </w:tr>
      <w:tr w:rsidR="000B33A8" w:rsidRPr="008B2DCE" w:rsidTr="00B26E1F">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b/>
                <w:i/>
                <w:color w:val="0000FF"/>
                <w:sz w:val="24"/>
              </w:rPr>
            </w:pPr>
            <w:bookmarkStart w:id="612" w:name="premessa27"/>
            <w:r w:rsidRPr="00B26E1F">
              <w:rPr>
                <w:rFonts w:cs="Arial"/>
                <w:b/>
                <w:color w:val="0000FF"/>
                <w:sz w:val="24"/>
                <w:szCs w:val="24"/>
              </w:rPr>
              <w:t>Premessa</w:t>
            </w:r>
            <w:bookmarkEnd w:id="612"/>
          </w:p>
        </w:tc>
      </w:tr>
      <w:tr w:rsidR="000B33A8" w:rsidRPr="008B2DCE" w:rsidTr="00B26E1F">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sz w:val="24"/>
                <w:highlight w:val="yellow"/>
              </w:rPr>
            </w:pPr>
            <w:r w:rsidRPr="00B26E1F">
              <w:rPr>
                <w:rFonts w:cs="Arial"/>
                <w:b/>
                <w:color w:val="0000FF"/>
                <w:sz w:val="24"/>
              </w:rPr>
              <w:t>Rilievi: 1 Osservazione</w:t>
            </w:r>
          </w:p>
        </w:tc>
      </w:tr>
      <w:tr w:rsidR="000B33A8" w:rsidRPr="008B2DCE" w:rsidTr="00B26E1F">
        <w:trPr>
          <w:trHeight w:val="703"/>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jc w:val="left"/>
              <w:rPr>
                <w:rFonts w:cs="Arial"/>
              </w:rPr>
            </w:pPr>
            <w:hyperlink w:anchor="S27a01" w:history="1">
              <w:r w:rsidR="000B33A8" w:rsidRPr="00D40FBA">
                <w:rPr>
                  <w:rStyle w:val="Collegamentoipertestuale"/>
                </w:rPr>
                <w:t>1</w:t>
              </w:r>
            </w:hyperlink>
            <w:r w:rsidR="000B33A8" w:rsidRPr="00B26E1F">
              <w:rPr>
                <w:rFonts w:cs="Arial"/>
              </w:rPr>
              <w:t xml:space="preserve"> – Contenuto omogeneo (non rilevato nel parere)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jc w:val="left"/>
              <w:rPr>
                <w:rFonts w:cs="Arial"/>
              </w:rPr>
            </w:pPr>
          </w:p>
        </w:tc>
      </w:tr>
      <w:tr w:rsidR="000B33A8" w:rsidRPr="008B2DCE" w:rsidTr="00B26E1F">
        <w:trPr>
          <w:trHeight w:val="7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EB0878" w:rsidP="00B26E1F">
            <w:pPr>
              <w:spacing w:before="100" w:beforeAutospacing="1" w:after="100" w:afterAutospacing="1"/>
              <w:ind w:firstLine="0"/>
              <w:jc w:val="left"/>
              <w:rPr>
                <w:rFonts w:cs="Arial"/>
              </w:rPr>
            </w:pPr>
            <w:hyperlink w:anchor="S27a02" w:history="1">
              <w:r w:rsidR="000B33A8" w:rsidRPr="00812559">
                <w:rPr>
                  <w:rStyle w:val="Collegamentoipertestuale"/>
                </w:rPr>
                <w:t>2</w:t>
              </w:r>
            </w:hyperlink>
            <w:r w:rsidR="000B33A8" w:rsidRPr="00B26E1F">
              <w:rPr>
                <w:rFonts w:cs="Arial"/>
              </w:rPr>
              <w:t xml:space="preserve"> – </w:t>
            </w:r>
            <w:r w:rsidR="000B33A8">
              <w:t>Portata normativa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Disposizioni che ne richiamano altre “in quanto compatibili” ovvero “in quanto applicabili”.</w:t>
            </w:r>
          </w:p>
        </w:tc>
      </w:tr>
      <w:tr w:rsidR="000B33A8" w:rsidRPr="008B2DCE" w:rsidTr="00B26E1F">
        <w:trPr>
          <w:trHeight w:val="1121"/>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jc w:val="left"/>
            </w:pPr>
            <w:hyperlink w:anchor="S27a03" w:history="1">
              <w:r w:rsidR="000B33A8" w:rsidRPr="00812559">
                <w:rPr>
                  <w:rStyle w:val="Collegamentoipertestuale"/>
                </w:rPr>
                <w:t>3</w:t>
              </w:r>
            </w:hyperlink>
            <w:r w:rsidR="000B33A8" w:rsidRPr="00B26E1F">
              <w:rPr>
                <w:rFonts w:cs="Arial"/>
              </w:rPr>
              <w:t xml:space="preserve"> – </w:t>
            </w:r>
            <w:r w:rsidR="000B33A8">
              <w:t>Disposizioni di delega</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Brevità del termine per l’esercizio della delega giustificabile con l’assenza di gravami procedurali e la puntualità della definizione dell’oggetto, dei principi e dei criteri direttivi della delega.</w:t>
            </w:r>
          </w:p>
        </w:tc>
      </w:tr>
      <w:tr w:rsidR="000B33A8" w:rsidRPr="008B2DCE" w:rsidTr="00B26E1F">
        <w:trPr>
          <w:trHeight w:val="70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Default="00EB0878" w:rsidP="00B26E1F">
            <w:pPr>
              <w:spacing w:before="100" w:beforeAutospacing="1" w:after="100" w:afterAutospacing="1"/>
              <w:ind w:firstLine="0"/>
              <w:jc w:val="left"/>
            </w:pPr>
            <w:hyperlink w:anchor="S27a04" w:history="1">
              <w:r w:rsidR="000B33A8" w:rsidRPr="006533B3">
                <w:rPr>
                  <w:rStyle w:val="Collegamentoipertestuale"/>
                </w:rPr>
                <w:t>4</w:t>
              </w:r>
            </w:hyperlink>
            <w:r w:rsidR="000B33A8">
              <w:t xml:space="preserve"> – Adempimenti</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0B33A8" w:rsidRPr="00B26E1F" w:rsidRDefault="000B33A8" w:rsidP="00B26E1F">
            <w:pPr>
              <w:spacing w:before="100" w:beforeAutospacing="1" w:after="100" w:afterAutospacing="1"/>
              <w:ind w:firstLine="0"/>
              <w:rPr>
                <w:rFonts w:cs="Arial"/>
              </w:rPr>
            </w:pPr>
            <w:r w:rsidRPr="00B26E1F">
              <w:rPr>
                <w:rFonts w:cs="Arial"/>
              </w:rPr>
              <w:t>Termine per la presentazione di una relazione al Parlamento coincidente con quello per l’esercizio della delega.</w:t>
            </w:r>
          </w:p>
          <w:p w:rsidR="000B33A8" w:rsidRPr="00B26E1F" w:rsidRDefault="000B33A8" w:rsidP="00B26E1F">
            <w:pPr>
              <w:spacing w:before="100" w:beforeAutospacing="1" w:after="100" w:afterAutospacing="1"/>
              <w:ind w:firstLine="0"/>
              <w:rPr>
                <w:rFonts w:cs="Arial"/>
              </w:rPr>
            </w:pPr>
            <w:r w:rsidRPr="00B26E1F">
              <w:rPr>
                <w:rFonts w:cs="Arial"/>
              </w:rPr>
              <w:t>Osservazione 1</w:t>
            </w:r>
          </w:p>
        </w:tc>
      </w:tr>
    </w:tbl>
    <w:p w:rsidR="000B33A8" w:rsidRDefault="000B33A8" w:rsidP="000B33A8"/>
    <w:p w:rsidR="000B33A8" w:rsidRPr="008B2DCE" w:rsidRDefault="000B33A8" w:rsidP="000B33A8">
      <w:pPr>
        <w:spacing w:line="240" w:lineRule="auto"/>
        <w:ind w:firstLine="0"/>
        <w:jc w:val="left"/>
        <w:rPr>
          <w:rFonts w:cs="Arial"/>
          <w:sz w:val="24"/>
          <w:szCs w:val="24"/>
        </w:rPr>
      </w:pPr>
    </w:p>
    <w:tbl>
      <w:tblPr>
        <w:tblW w:w="5140" w:type="pct"/>
        <w:tblLook w:val="01E0" w:firstRow="1" w:lastRow="1" w:firstColumn="1" w:lastColumn="1" w:noHBand="0" w:noVBand="0"/>
      </w:tblPr>
      <w:tblGrid>
        <w:gridCol w:w="4190"/>
        <w:gridCol w:w="3962"/>
        <w:gridCol w:w="228"/>
      </w:tblGrid>
      <w:tr w:rsidR="000B33A8" w:rsidRPr="003A3958" w:rsidTr="002479C8">
        <w:trPr>
          <w:gridAfter w:val="1"/>
          <w:wAfter w:w="136" w:type="pct"/>
        </w:trPr>
        <w:tc>
          <w:tcPr>
            <w:tcW w:w="4864" w:type="pct"/>
            <w:gridSpan w:val="2"/>
            <w:shd w:val="clear" w:color="auto" w:fill="auto"/>
          </w:tcPr>
          <w:p w:rsidR="000B33A8" w:rsidRPr="00B26E1F" w:rsidRDefault="000B33A8" w:rsidP="00B26E1F">
            <w:pPr>
              <w:keepNext/>
              <w:spacing w:before="100" w:beforeAutospacing="1" w:after="100" w:afterAutospacing="1"/>
              <w:ind w:firstLine="0"/>
              <w:jc w:val="left"/>
              <w:rPr>
                <w:rFonts w:cs="Arial"/>
                <w:sz w:val="24"/>
                <w:szCs w:val="24"/>
              </w:rPr>
            </w:pPr>
            <w:r w:rsidRPr="00B26E1F">
              <w:rPr>
                <w:rFonts w:cs="Arial"/>
                <w:b/>
                <w:color w:val="0000FF"/>
                <w:sz w:val="24"/>
                <w:szCs w:val="24"/>
              </w:rPr>
              <w:t>Rilievi</w:t>
            </w:r>
          </w:p>
        </w:tc>
      </w:tr>
      <w:tr w:rsidR="000B33A8" w:rsidRPr="003A04FD" w:rsidTr="002479C8">
        <w:trPr>
          <w:trHeight w:val="423"/>
        </w:trPr>
        <w:tc>
          <w:tcPr>
            <w:tcW w:w="2500" w:type="pct"/>
            <w:tcBorders>
              <w:top w:val="nil"/>
              <w:left w:val="nil"/>
              <w:bottom w:val="nil"/>
              <w:right w:val="nil"/>
            </w:tcBorders>
            <w:shd w:val="clear" w:color="auto" w:fill="auto"/>
          </w:tcPr>
          <w:p w:rsidR="000B33A8" w:rsidRPr="003A04FD" w:rsidRDefault="00EB0878" w:rsidP="000B33A8">
            <w:pPr>
              <w:keepNext/>
              <w:spacing w:before="100" w:beforeAutospacing="1" w:after="100" w:afterAutospacing="1"/>
              <w:ind w:firstLine="0"/>
              <w:jc w:val="left"/>
              <w:rPr>
                <w:rFonts w:cs="Arial"/>
              </w:rPr>
            </w:pPr>
            <w:hyperlink w:anchor="S27O" w:history="1">
              <w:r w:rsidR="000B33A8" w:rsidRPr="00852C73">
                <w:rPr>
                  <w:rStyle w:val="Collegamentoipertestuale"/>
                  <w:rFonts w:cs="Arial"/>
                </w:rPr>
                <w:t>O</w:t>
              </w:r>
            </w:hyperlink>
            <w:r w:rsidR="000B33A8" w:rsidRPr="003A04FD">
              <w:rPr>
                <w:rFonts w:cs="Arial"/>
              </w:rPr>
              <w:t xml:space="preserve"> - Osservazioni</w:t>
            </w:r>
          </w:p>
        </w:tc>
        <w:tc>
          <w:tcPr>
            <w:tcW w:w="2500" w:type="pct"/>
            <w:gridSpan w:val="2"/>
            <w:tcBorders>
              <w:top w:val="nil"/>
              <w:left w:val="nil"/>
              <w:bottom w:val="nil"/>
              <w:right w:val="nil"/>
            </w:tcBorders>
            <w:shd w:val="clear" w:color="auto" w:fill="auto"/>
          </w:tcPr>
          <w:p w:rsidR="000B33A8" w:rsidRPr="003A04FD" w:rsidRDefault="000B33A8" w:rsidP="000B33A8">
            <w:pPr>
              <w:keepNext/>
              <w:spacing w:before="100" w:beforeAutospacing="1" w:after="100" w:afterAutospacing="1"/>
              <w:ind w:firstLine="0"/>
              <w:jc w:val="left"/>
              <w:rPr>
                <w:rFonts w:cs="Arial"/>
              </w:rPr>
            </w:pPr>
          </w:p>
        </w:tc>
      </w:tr>
    </w:tbl>
    <w:p w:rsidR="000B33A8" w:rsidRDefault="000B33A8" w:rsidP="000B33A8">
      <w:pPr>
        <w:ind w:firstLine="0"/>
        <w:rPr>
          <w:b/>
        </w:rPr>
      </w:pPr>
    </w:p>
    <w:p w:rsidR="000B33A8" w:rsidRDefault="000B33A8" w:rsidP="000B33A8">
      <w:pPr>
        <w:ind w:firstLine="0"/>
        <w:rPr>
          <w:b/>
        </w:rPr>
      </w:pPr>
    </w:p>
    <w:tbl>
      <w:tblPr>
        <w:tblW w:w="5000" w:type="pct"/>
        <w:tblLook w:val="01E0" w:firstRow="1" w:lastRow="1" w:firstColumn="1" w:lastColumn="1" w:noHBand="0" w:noVBand="0"/>
      </w:tblPr>
      <w:tblGrid>
        <w:gridCol w:w="8152"/>
      </w:tblGrid>
      <w:tr w:rsidR="000B33A8" w:rsidRPr="008B2DCE" w:rsidTr="00B26E1F">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b/>
                <w:color w:val="0000FF"/>
                <w:sz w:val="24"/>
                <w:szCs w:val="24"/>
              </w:rPr>
              <w:t>Riferimenti</w:t>
            </w:r>
          </w:p>
        </w:tc>
      </w:tr>
      <w:tr w:rsidR="000B33A8" w:rsidRPr="008B2DCE" w:rsidTr="00B26E1F">
        <w:trPr>
          <w:trHeight w:val="468"/>
        </w:trPr>
        <w:tc>
          <w:tcPr>
            <w:tcW w:w="5000" w:type="pct"/>
            <w:shd w:val="clear" w:color="auto" w:fill="auto"/>
          </w:tcPr>
          <w:p w:rsidR="000B33A8" w:rsidRPr="00B26E1F" w:rsidRDefault="000B33A8" w:rsidP="00B26E1F">
            <w:pPr>
              <w:keepNext/>
              <w:spacing w:before="100" w:beforeAutospacing="1" w:after="100" w:afterAutospacing="1"/>
              <w:ind w:firstLine="0"/>
              <w:jc w:val="left"/>
              <w:rPr>
                <w:rFonts w:cs="Arial"/>
                <w:i/>
                <w:sz w:val="24"/>
              </w:rPr>
            </w:pPr>
            <w:r w:rsidRPr="00B26E1F">
              <w:rPr>
                <w:rFonts w:cs="Arial"/>
                <w:i/>
              </w:rPr>
              <w:t>nessuno.</w:t>
            </w:r>
          </w:p>
        </w:tc>
      </w:tr>
    </w:tbl>
    <w:p w:rsidR="000B33A8" w:rsidRDefault="000B33A8" w:rsidP="000B33A8">
      <w:pPr>
        <w:spacing w:line="240" w:lineRule="auto"/>
        <w:ind w:firstLine="0"/>
        <w:jc w:val="left"/>
        <w:rPr>
          <w:rFonts w:cs="Arial"/>
          <w:sz w:val="24"/>
          <w:szCs w:val="24"/>
        </w:rPr>
      </w:pPr>
    </w:p>
    <w:p w:rsidR="000B33A8" w:rsidRPr="008B2DCE" w:rsidRDefault="000B33A8" w:rsidP="000B33A8">
      <w:pPr>
        <w:spacing w:line="240" w:lineRule="auto"/>
        <w:ind w:firstLine="0"/>
        <w:jc w:val="left"/>
        <w:rPr>
          <w:rFonts w:cs="Arial"/>
          <w:sz w:val="24"/>
          <w:szCs w:val="24"/>
        </w:rPr>
      </w:pPr>
    </w:p>
    <w:p w:rsidR="000B33A8" w:rsidRPr="00B91F58" w:rsidRDefault="000B33A8" w:rsidP="000B33A8">
      <w:pPr>
        <w:spacing w:after="120"/>
        <w:rPr>
          <w:rFonts w:cs="Arial"/>
          <w:szCs w:val="22"/>
        </w:rPr>
      </w:pPr>
      <w:bookmarkStart w:id="613" w:name="S27a01"/>
      <w:r w:rsidRPr="00B91F58">
        <w:rPr>
          <w:rFonts w:cs="Arial"/>
          <w:szCs w:val="22"/>
        </w:rPr>
        <w:t>1 –</w:t>
      </w:r>
      <w:bookmarkEnd w:id="613"/>
      <w:r w:rsidRPr="00B91F58">
        <w:rPr>
          <w:rFonts w:cs="Arial"/>
          <w:szCs w:val="22"/>
        </w:rPr>
        <w:t xml:space="preserve"> </w:t>
      </w:r>
      <w:hyperlink w:anchor="premessa27" w:history="1">
        <w:r w:rsidRPr="00B91F58">
          <w:rPr>
            <w:rStyle w:val="Collegamentoipertestuale"/>
            <w:rFonts w:cs="Arial"/>
            <w:b/>
            <w:szCs w:val="22"/>
          </w:rPr>
          <w:t>Premessa</w:t>
        </w:r>
        <w:r w:rsidRPr="00B91F58">
          <w:rPr>
            <w:rStyle w:val="Collegamentoipertestuale"/>
            <w:rFonts w:cs="Arial"/>
            <w:szCs w:val="22"/>
          </w:rPr>
          <w:t>:</w:t>
        </w:r>
      </w:hyperlink>
      <w:r w:rsidRPr="00211EFE">
        <w:rPr>
          <w:rStyle w:val="Collegamentoipertestuale"/>
          <w:rFonts w:cs="Arial"/>
          <w:szCs w:val="22"/>
        </w:rPr>
        <w:t xml:space="preserve"> </w:t>
      </w:r>
      <w:r w:rsidRPr="00B91F58">
        <w:rPr>
          <w:rFonts w:cs="Arial"/>
          <w:szCs w:val="22"/>
        </w:rPr>
        <w:t>«</w:t>
      </w:r>
      <w:r>
        <w:t xml:space="preserve">il testo all'esame reca un complesso organico di interventi incidenti per lo più sul Codice delle leggi antimafia e delle misure di prevenzione, </w:t>
      </w:r>
      <w:r>
        <w:lastRenderedPageBreak/>
        <w:t>di cui al decreto legislativo 6 settembre 2011, n. 159 (e, in particolare, sul Libro I, concernente le misure di prevenzione), i quali risultano opportunamente formulati in termini di novelle</w:t>
      </w:r>
      <w:r w:rsidRPr="00B91F58">
        <w:rPr>
          <w:rFonts w:cs="Arial"/>
          <w:szCs w:val="22"/>
        </w:rPr>
        <w:t>»;</w:t>
      </w:r>
      <w:r>
        <w:rPr>
          <w:rFonts w:cs="Arial"/>
          <w:szCs w:val="22"/>
        </w:rPr>
        <w:t xml:space="preserve"> </w:t>
      </w:r>
    </w:p>
    <w:p w:rsidR="000B33A8" w:rsidRPr="00B91F58" w:rsidRDefault="000B33A8" w:rsidP="000B33A8">
      <w:pPr>
        <w:spacing w:line="240" w:lineRule="auto"/>
        <w:ind w:firstLine="0"/>
        <w:jc w:val="left"/>
        <w:rPr>
          <w:rFonts w:cs="Arial"/>
          <w:szCs w:val="22"/>
        </w:rPr>
      </w:pPr>
    </w:p>
    <w:p w:rsidR="000B33A8" w:rsidRPr="00B91F58" w:rsidRDefault="000B33A8" w:rsidP="000B33A8">
      <w:pPr>
        <w:spacing w:line="240" w:lineRule="auto"/>
        <w:ind w:firstLine="0"/>
        <w:jc w:val="left"/>
        <w:rPr>
          <w:rFonts w:cs="Arial"/>
          <w:szCs w:val="22"/>
        </w:rPr>
      </w:pPr>
    </w:p>
    <w:p w:rsidR="000B33A8" w:rsidRPr="00B91F58" w:rsidRDefault="000B33A8" w:rsidP="000B33A8">
      <w:pPr>
        <w:rPr>
          <w:rFonts w:cs="Arial"/>
          <w:szCs w:val="22"/>
        </w:rPr>
      </w:pPr>
      <w:bookmarkStart w:id="614" w:name="S27a02"/>
      <w:r w:rsidRPr="00B91F58">
        <w:rPr>
          <w:rFonts w:cs="Arial"/>
          <w:szCs w:val="22"/>
        </w:rPr>
        <w:t xml:space="preserve">2 </w:t>
      </w:r>
      <w:bookmarkEnd w:id="614"/>
      <w:r w:rsidRPr="00B91F58">
        <w:rPr>
          <w:rFonts w:cs="Arial"/>
          <w:szCs w:val="22"/>
        </w:rPr>
        <w:t xml:space="preserve">– </w:t>
      </w:r>
      <w:hyperlink w:anchor="premessa27"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t>in diverse novelle (a titolo esemplificativo, si vedano le novelle agli articoli 14, comma 4; 22, comma 2-</w:t>
      </w:r>
      <w:r>
        <w:rPr>
          <w:rStyle w:val="Enfasicorsivo"/>
        </w:rPr>
        <w:t>bis</w:t>
      </w:r>
      <w:r>
        <w:t>; 24, comma 2; 28, comma 1, alinea; 34, commi 5, 6, 7 e 9; 41-</w:t>
      </w:r>
      <w:r>
        <w:rPr>
          <w:rStyle w:val="Enfasicorsivo"/>
        </w:rPr>
        <w:t>bis</w:t>
      </w:r>
      <w:r>
        <w:t xml:space="preserve">, comma 2; 63, comma 9 del decreto legislativo n. 159 del 2011), come è prassi consolidata negli atti normativi che incidono sul settore della giustizia, sono presenti richiami normativi ad altre disposizioni, “in quanto compatibili” ovvero “in quanto applicabili” </w:t>
      </w:r>
      <w:r w:rsidRPr="00B91F58">
        <w:rPr>
          <w:rFonts w:cs="Arial"/>
          <w:szCs w:val="22"/>
        </w:rPr>
        <w:t>»</w:t>
      </w:r>
      <w:r>
        <w:rPr>
          <w:rFonts w:cs="Arial"/>
          <w:szCs w:val="22"/>
        </w:rPr>
        <w:t xml:space="preserve">; </w:t>
      </w:r>
    </w:p>
    <w:p w:rsidR="000B33A8" w:rsidRPr="00B91F58" w:rsidRDefault="000B33A8" w:rsidP="000B33A8">
      <w:pPr>
        <w:spacing w:line="240" w:lineRule="auto"/>
        <w:ind w:firstLine="0"/>
        <w:jc w:val="left"/>
        <w:rPr>
          <w:rFonts w:cs="Arial"/>
          <w:szCs w:val="22"/>
        </w:rPr>
      </w:pPr>
    </w:p>
    <w:p w:rsidR="000B33A8" w:rsidRPr="00B91F58" w:rsidRDefault="000B33A8" w:rsidP="000B33A8">
      <w:pPr>
        <w:spacing w:line="240" w:lineRule="auto"/>
        <w:ind w:firstLine="0"/>
        <w:jc w:val="left"/>
        <w:rPr>
          <w:rFonts w:cs="Arial"/>
          <w:szCs w:val="22"/>
        </w:rPr>
      </w:pPr>
    </w:p>
    <w:p w:rsidR="000B33A8" w:rsidRPr="00B91F58" w:rsidRDefault="000B33A8" w:rsidP="000B33A8">
      <w:pPr>
        <w:rPr>
          <w:rFonts w:cs="Arial"/>
          <w:szCs w:val="22"/>
        </w:rPr>
      </w:pPr>
      <w:bookmarkStart w:id="615" w:name="S27a03"/>
      <w:r w:rsidRPr="00B91F58">
        <w:rPr>
          <w:rFonts w:cs="Arial"/>
          <w:szCs w:val="22"/>
        </w:rPr>
        <w:t>3 –</w:t>
      </w:r>
      <w:bookmarkEnd w:id="615"/>
      <w:r w:rsidRPr="00B91F58">
        <w:rPr>
          <w:rFonts w:cs="Arial"/>
          <w:szCs w:val="22"/>
        </w:rPr>
        <w:t xml:space="preserve"> </w:t>
      </w:r>
      <w:hyperlink w:anchor="premessa27"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t xml:space="preserve">con riferimento alla </w:t>
      </w:r>
      <w:r w:rsidRPr="00B97067">
        <w:rPr>
          <w:b/>
        </w:rPr>
        <w:t>formulazione della norma di delega</w:t>
      </w:r>
      <w:r>
        <w:t xml:space="preserve">, si osserva che l'articolo 47 delega il Governo ad adottare, entro quattro mesi dalla data di entrata in vigore della legge, “un decreto legislativo recante disposizioni per le imprese sequestrate e confiscate sottoposte ad amministrazione giudiziaria fino alla loro assegnazione, prevedendo incentivi nelle forme della premialità fiscale e contributiva, favorendo l'emersione del lavoro irregolare e consentendo, ove necessario, l'accesso all'integrazione salariale e agli ammortizzatori sociali alle medesime condizioni previste per le imprese sottoposte a procedure concorsuali”; </w:t>
      </w:r>
      <w:r w:rsidRPr="00B97067">
        <w:t>osservato, a tale riguardo, che la brevità del termine per l'esercizio della delega si connette all'assenza di gravami procedurali (per esempio, non è previsto il parere parlamentare), la quale, a sua volta, si giustifica in ragione dell'analiticità e dell'accuratezza con la quale la disposizione di delega definisce l'oggetto e i principi e i criteri direttivi</w:t>
      </w:r>
      <w:r w:rsidRPr="00B91F58">
        <w:rPr>
          <w:rFonts w:cs="Arial"/>
          <w:szCs w:val="22"/>
        </w:rPr>
        <w:t>»</w:t>
      </w:r>
      <w:r>
        <w:rPr>
          <w:rFonts w:cs="Arial"/>
          <w:szCs w:val="22"/>
        </w:rPr>
        <w:t xml:space="preserve">; </w:t>
      </w:r>
    </w:p>
    <w:p w:rsidR="000B33A8" w:rsidRDefault="000B33A8" w:rsidP="000B33A8">
      <w:pPr>
        <w:rPr>
          <w:rFonts w:cs="Arial"/>
          <w:szCs w:val="22"/>
        </w:rPr>
      </w:pPr>
    </w:p>
    <w:p w:rsidR="000B33A8" w:rsidRDefault="000B33A8" w:rsidP="000B33A8">
      <w:pPr>
        <w:rPr>
          <w:rFonts w:cs="Arial"/>
          <w:szCs w:val="22"/>
        </w:rPr>
      </w:pPr>
    </w:p>
    <w:p w:rsidR="000B33A8" w:rsidRPr="00B91F58" w:rsidRDefault="000B33A8" w:rsidP="000B33A8">
      <w:pPr>
        <w:spacing w:after="120"/>
        <w:rPr>
          <w:rFonts w:cs="Arial"/>
          <w:szCs w:val="22"/>
        </w:rPr>
      </w:pPr>
      <w:bookmarkStart w:id="616" w:name="S27a04"/>
      <w:r>
        <w:rPr>
          <w:rFonts w:cs="Arial"/>
          <w:szCs w:val="22"/>
        </w:rPr>
        <w:t>4</w:t>
      </w:r>
      <w:r w:rsidRPr="00B91F58">
        <w:rPr>
          <w:rFonts w:cs="Arial"/>
          <w:szCs w:val="22"/>
        </w:rPr>
        <w:t xml:space="preserve"> –</w:t>
      </w:r>
      <w:bookmarkEnd w:id="616"/>
      <w:r w:rsidRPr="00B91F58">
        <w:rPr>
          <w:rFonts w:cs="Arial"/>
          <w:szCs w:val="22"/>
        </w:rPr>
        <w:t xml:space="preserve"> </w:t>
      </w:r>
      <w:hyperlink w:anchor="premessa27" w:history="1">
        <w:r w:rsidRPr="00B91F58">
          <w:rPr>
            <w:rStyle w:val="Collegamentoipertestuale"/>
            <w:rFonts w:cs="Arial"/>
            <w:b/>
            <w:szCs w:val="22"/>
          </w:rPr>
          <w:t>Premessa</w:t>
        </w:r>
        <w:r w:rsidRPr="00B91F58">
          <w:rPr>
            <w:rStyle w:val="Collegamentoipertestuale"/>
            <w:rFonts w:cs="Arial"/>
            <w:szCs w:val="22"/>
          </w:rPr>
          <w:t>:</w:t>
        </w:r>
      </w:hyperlink>
      <w:r w:rsidRPr="00B91F58">
        <w:rPr>
          <w:rFonts w:cs="Arial"/>
          <w:szCs w:val="22"/>
        </w:rPr>
        <w:t xml:space="preserve"> «</w:t>
      </w:r>
      <w:r>
        <w:t>rilevato, infine, che l'articolo 49 prevede che il Presidente del Consiglio presenti una relazione al Parlamento sullo stato di attuazione del testo all'esame, entro un termine (pari a centoventi giorni dalla sua entrata in vigore) che, coincidendo con quello stabilito dall'articolo 47 per l'esercizio della delega, non consente al Governo di includere nella relazione al Parlamento alcun riferimento allo stato di attuazione della delega</w:t>
      </w:r>
      <w:r w:rsidRPr="00B91F58">
        <w:rPr>
          <w:rFonts w:cs="Arial"/>
          <w:szCs w:val="22"/>
        </w:rPr>
        <w:t>»</w:t>
      </w:r>
      <w:r>
        <w:rPr>
          <w:rFonts w:cs="Arial"/>
          <w:szCs w:val="22"/>
        </w:rPr>
        <w:t xml:space="preserve"> (</w:t>
      </w:r>
      <w:hyperlink w:anchor="S27o01" w:history="1">
        <w:r>
          <w:rPr>
            <w:rStyle w:val="Collegamentoipertestuale"/>
            <w:rFonts w:cs="Arial"/>
            <w:b/>
            <w:szCs w:val="22"/>
          </w:rPr>
          <w:t>conseguente osservazione</w:t>
        </w:r>
      </w:hyperlink>
      <w:r>
        <w:rPr>
          <w:rFonts w:cs="Arial"/>
          <w:szCs w:val="22"/>
        </w:rPr>
        <w:t>);</w:t>
      </w:r>
    </w:p>
    <w:p w:rsidR="000B33A8" w:rsidRDefault="000B33A8" w:rsidP="000B33A8">
      <w:pPr>
        <w:ind w:firstLine="0"/>
        <w:rPr>
          <w:rFonts w:cs="Arial"/>
          <w:szCs w:val="22"/>
        </w:rPr>
      </w:pPr>
    </w:p>
    <w:p w:rsidR="000B33A8" w:rsidRDefault="000B33A8" w:rsidP="000B33A8">
      <w:pPr>
        <w:rPr>
          <w:rFonts w:cs="Arial"/>
          <w:szCs w:val="22"/>
        </w:rPr>
      </w:pPr>
    </w:p>
    <w:p w:rsidR="000B33A8" w:rsidRDefault="000B33A8" w:rsidP="000B33A8">
      <w:pPr>
        <w:keepNext/>
        <w:ind w:firstLine="0"/>
        <w:rPr>
          <w:rFonts w:cs="Arial"/>
          <w:b/>
          <w:szCs w:val="22"/>
        </w:rPr>
      </w:pPr>
      <w:bookmarkStart w:id="617" w:name="S27O"/>
      <w:r w:rsidRPr="00CC2FFB">
        <w:rPr>
          <w:rFonts w:cs="Arial"/>
          <w:b/>
          <w:szCs w:val="22"/>
        </w:rPr>
        <w:t>Osservazioni:</w:t>
      </w:r>
    </w:p>
    <w:bookmarkEnd w:id="617"/>
    <w:p w:rsidR="000B33A8" w:rsidRPr="00261390" w:rsidRDefault="000B33A8" w:rsidP="000B33A8">
      <w:pPr>
        <w:ind w:firstLine="0"/>
        <w:rPr>
          <w:rFonts w:cs="Arial"/>
          <w:i/>
          <w:szCs w:val="22"/>
        </w:rPr>
      </w:pPr>
      <w:r w:rsidRPr="00B97067">
        <w:rPr>
          <w:rFonts w:cs="Arial"/>
          <w:i/>
          <w:szCs w:val="22"/>
        </w:rPr>
        <w:t>sotto il profilo dell’efficacia del testo per la semplificazione e il riordinamento della legislazione vigente:</w:t>
      </w:r>
    </w:p>
    <w:p w:rsidR="000B33A8" w:rsidRDefault="000B33A8" w:rsidP="00B26E1F">
      <w:pPr>
        <w:pStyle w:val="Paragrafoelenco"/>
        <w:numPr>
          <w:ilvl w:val="0"/>
          <w:numId w:val="65"/>
        </w:numPr>
        <w:ind w:left="567" w:hanging="283"/>
        <w:rPr>
          <w:rFonts w:cs="Arial"/>
          <w:szCs w:val="22"/>
        </w:rPr>
      </w:pPr>
      <w:bookmarkStart w:id="618" w:name="S27o01"/>
      <w:r>
        <w:t>per quanto detto in premessa</w:t>
      </w:r>
      <w:bookmarkEnd w:id="618"/>
      <w:r>
        <w:t xml:space="preserve">, valuti la Commissione l'opportunità di stabilire, all'articolo 49, un termine più ampio per la presentazione, da parte del Presidente del Consiglio dei ministri, della relazione al Parlamento </w:t>
      </w:r>
      <w:r>
        <w:lastRenderedPageBreak/>
        <w:t>sull'attuazione del provvedimento all'esame, allo scopo di consentire al Governo di riferire anche sullo stato di attuazione della delega conferitagli a norma dell'articolo 47</w:t>
      </w:r>
      <w:r w:rsidRPr="00B93CE9">
        <w:rPr>
          <w:rFonts w:cs="Arial"/>
          <w:szCs w:val="22"/>
        </w:rPr>
        <w:t>.</w:t>
      </w:r>
      <w:r>
        <w:rPr>
          <w:rFonts w:cs="Arial"/>
          <w:szCs w:val="22"/>
        </w:rPr>
        <w:t xml:space="preserve"> [</w:t>
      </w:r>
      <w:hyperlink w:anchor="premessa27" w:history="1">
        <w:r w:rsidRPr="00261390">
          <w:rPr>
            <w:rStyle w:val="Collegamentoipertestuale"/>
            <w:rFonts w:cs="Arial"/>
            <w:szCs w:val="22"/>
          </w:rPr>
          <w:t>torna su</w:t>
        </w:r>
      </w:hyperlink>
      <w:r>
        <w:rPr>
          <w:rFonts w:cs="Arial"/>
          <w:szCs w:val="22"/>
        </w:rPr>
        <w:t xml:space="preserve">] </w:t>
      </w:r>
    </w:p>
    <w:p w:rsidR="000B33A8" w:rsidRDefault="000B33A8" w:rsidP="000B33A8">
      <w:pPr>
        <w:pStyle w:val="Paragrafoelenco"/>
        <w:ind w:firstLine="0"/>
        <w:rPr>
          <w:rFonts w:cs="Arial"/>
          <w:szCs w:val="22"/>
        </w:rPr>
      </w:pPr>
    </w:p>
    <w:p w:rsidR="000B33A8" w:rsidRPr="00673098" w:rsidRDefault="000B33A8" w:rsidP="000B33A8"/>
    <w:p w:rsidR="000B33A8" w:rsidRPr="005C7D5A" w:rsidRDefault="000B33A8" w:rsidP="000B33A8">
      <w:pPr>
        <w:ind w:firstLine="0"/>
        <w:rPr>
          <w:rFonts w:cs="Arial"/>
          <w:i/>
          <w:szCs w:val="22"/>
        </w:rPr>
      </w:pPr>
    </w:p>
    <w:p w:rsidR="000B33A8" w:rsidRDefault="000B33A8" w:rsidP="00A87AE9">
      <w:pPr>
        <w:rPr>
          <w:rFonts w:cs="Arial"/>
          <w:szCs w:val="22"/>
        </w:rPr>
        <w:sectPr w:rsidR="000B33A8" w:rsidSect="000B33A8">
          <w:pgSz w:w="11906" w:h="16838" w:code="9"/>
          <w:pgMar w:top="1985" w:right="1985" w:bottom="1985" w:left="1985" w:header="1134" w:footer="1134" w:gutter="0"/>
          <w:cols w:space="720"/>
          <w:formProt w:val="0"/>
        </w:sectPr>
      </w:pPr>
    </w:p>
    <w:p w:rsidR="00671FBC" w:rsidRDefault="00671FBC" w:rsidP="00A87AE9">
      <w:pPr>
        <w:ind w:firstLine="0"/>
      </w:pPr>
    </w:p>
    <w:p w:rsidR="00A87AE9" w:rsidRDefault="00A87AE9" w:rsidP="00A87AE9">
      <w:pPr>
        <w:ind w:firstLine="0"/>
      </w:pPr>
    </w:p>
    <w:p w:rsidR="00A87AE9" w:rsidRDefault="00A87AE9" w:rsidP="00A87AE9">
      <w:pPr>
        <w:ind w:firstLine="0"/>
      </w:pPr>
    </w:p>
    <w:p w:rsidR="00A87AE9" w:rsidRPr="00063D88" w:rsidRDefault="00A87AE9" w:rsidP="00A87AE9">
      <w:pPr>
        <w:ind w:firstLine="0"/>
      </w:pPr>
    </w:p>
    <w:sectPr w:rsidR="00A87AE9" w:rsidRPr="00063D88" w:rsidSect="00BF7BFE">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965" w:rsidRDefault="00BD2965">
      <w:r>
        <w:separator/>
      </w:r>
    </w:p>
    <w:p w:rsidR="00BD2965" w:rsidRDefault="00BD2965"/>
  </w:endnote>
  <w:endnote w:type="continuationSeparator" w:id="0">
    <w:p w:rsidR="00BD2965" w:rsidRDefault="00BD2965">
      <w:r>
        <w:continuationSeparator/>
      </w:r>
    </w:p>
    <w:p w:rsidR="00BD2965" w:rsidRDefault="00BD2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961CB0BF-19DD-4F3E-A986-E872EF1C8E1B}"/>
    <w:embedBold r:id="rId2" w:fontKey="{4E7523F4-A117-44EA-9B5B-AEE7B8CE9985}"/>
    <w:embedItalic r:id="rId3" w:fontKey="{B123DD03-21D7-4ADE-9EF6-D0788AD3844F}"/>
    <w:embedBoldItalic r:id="rId4" w:fontKey="{28865A5F-E52D-4F8A-9297-387547EFACBB}"/>
  </w:font>
  <w:font w:name="Lucida Bright">
    <w:panose1 w:val="02040602050505020304"/>
    <w:charset w:val="00"/>
    <w:family w:val="roman"/>
    <w:pitch w:val="variable"/>
    <w:sig w:usb0="00000003" w:usb1="00000000" w:usb2="00000000" w:usb3="00000000" w:csb0="00000001" w:csb1="00000000"/>
    <w:embedRegular r:id="rId5" w:fontKey="{83B2767B-48CF-47CB-9907-0237CD4F76D1}"/>
  </w:font>
  <w:font w:name="Book Antiqua">
    <w:panose1 w:val="02040602050305030304"/>
    <w:charset w:val="00"/>
    <w:family w:val="roman"/>
    <w:pitch w:val="variable"/>
    <w:sig w:usb0="00000287" w:usb1="00000000" w:usb2="00000000" w:usb3="00000000" w:csb0="0000009F" w:csb1="00000000"/>
    <w:embedRegular r:id="rId6" w:fontKey="{4F1686E2-4DAE-4008-A3B7-642168989BC6}"/>
    <w:embedBold r:id="rId7" w:fontKey="{9AE39EE2-1405-43CC-BF68-AE53F8F7FCE6}"/>
  </w:font>
  <w:font w:name="Estrangelo Edessa">
    <w:panose1 w:val="03080600000000000000"/>
    <w:charset w:val="00"/>
    <w:family w:val="script"/>
    <w:pitch w:val="variable"/>
    <w:sig w:usb0="80002043" w:usb1="00000000" w:usb2="00000080" w:usb3="00000000" w:csb0="00000001" w:csb1="00000000"/>
    <w:embedRegular r:id="rId8" w:fontKey="{32270CFE-D09A-41B9-B13E-3C121814EA08}"/>
    <w:embedBold r:id="rId9" w:fontKey="{350F730B-BB7A-4FD2-AF70-AA4D9EB390A9}"/>
  </w:font>
  <w:font w:name="CG Times">
    <w:panose1 w:val="02020603050405020304"/>
    <w:charset w:val="00"/>
    <w:family w:val="roman"/>
    <w:pitch w:val="variable"/>
    <w:sig w:usb0="00000003" w:usb1="00000000" w:usb2="00000000" w:usb3="00000000" w:csb0="00000001" w:csb1="00000000"/>
    <w:embedRegular r:id="rId10" w:fontKey="{FBEE03B1-6035-468E-BC27-07E32645CFCC}"/>
    <w:embedBold r:id="rId11" w:fontKey="{F53094A9-08C1-4151-A7D4-681EFD74A37C}"/>
  </w:font>
  <w:font w:name="Arial Narrow">
    <w:panose1 w:val="020B0606020202030204"/>
    <w:charset w:val="00"/>
    <w:family w:val="swiss"/>
    <w:pitch w:val="variable"/>
    <w:sig w:usb0="00000287" w:usb1="00000800" w:usb2="00000000" w:usb3="00000000" w:csb0="0000009F" w:csb1="00000000"/>
    <w:embedBold r:id="rId12" w:fontKey="{686C0931-7813-4122-BE8C-4B5C09A9D22A}"/>
  </w:font>
  <w:font w:name="Impact">
    <w:panose1 w:val="020B0806030902050204"/>
    <w:charset w:val="00"/>
    <w:family w:val="swiss"/>
    <w:pitch w:val="variable"/>
    <w:sig w:usb0="00000287" w:usb1="00000000" w:usb2="00000000" w:usb3="00000000" w:csb0="0000009F" w:csb1="00000000"/>
    <w:embedRegular r:id="rId13" w:fontKey="{6229F917-5AEA-49FA-916A-1CFCA48C7BD1}"/>
  </w:font>
  <w:font w:name="Tahoma">
    <w:panose1 w:val="020B0604030504040204"/>
    <w:charset w:val="00"/>
    <w:family w:val="swiss"/>
    <w:pitch w:val="variable"/>
    <w:sig w:usb0="E1002EFF" w:usb1="C000605B" w:usb2="00000029" w:usb3="00000000" w:csb0="000101FF" w:csb1="00000000"/>
    <w:embedRegular r:id="rId14" w:fontKey="{994DDF42-58BC-47AE-A56D-1B3032C7AE00}"/>
  </w:font>
  <w:font w:name="Arial Black">
    <w:panose1 w:val="020B0A04020102020204"/>
    <w:charset w:val="00"/>
    <w:family w:val="swiss"/>
    <w:pitch w:val="variable"/>
    <w:sig w:usb0="00000287" w:usb1="00000000" w:usb2="00000000" w:usb3="00000000" w:csb0="0000009F" w:csb1="00000000"/>
    <w:embedRegular r:id="rId15" w:fontKey="{2FF020C9-8604-4A48-A4DD-1FFF62B470A9}"/>
  </w:font>
  <w:font w:name="Verdana">
    <w:panose1 w:val="020B0604030504040204"/>
    <w:charset w:val="00"/>
    <w:family w:val="swiss"/>
    <w:pitch w:val="variable"/>
    <w:sig w:usb0="A10006FF" w:usb1="4000205B" w:usb2="00000010" w:usb3="00000000" w:csb0="0000019F" w:csb1="00000000"/>
    <w:embedRegular r:id="rId16" w:fontKey="{6C12E33F-4035-47F7-AF6B-14D3B6724AF6}"/>
    <w:embedBold r:id="rId17" w:fontKey="{25C611C0-1141-490C-ABBD-C5D91FD80E0A}"/>
  </w:font>
  <w:font w:name="Times">
    <w:panose1 w:val="02020603050405020304"/>
    <w:charset w:val="00"/>
    <w:family w:val="roman"/>
    <w:pitch w:val="variable"/>
    <w:sig w:usb0="20002A87" w:usb1="00000000" w:usb2="00000000" w:usb3="00000000" w:csb0="000001FF" w:csb1="00000000"/>
    <w:embedRegular r:id="rId18" w:fontKey="{6A15D8B3-6229-45AF-9CF7-554E6AF7427E}"/>
  </w:font>
  <w:font w:name="Cambria">
    <w:panose1 w:val="02040503050406030204"/>
    <w:charset w:val="00"/>
    <w:family w:val="roman"/>
    <w:pitch w:val="variable"/>
    <w:sig w:usb0="E00002FF" w:usb1="400004FF" w:usb2="00000000" w:usb3="00000000" w:csb0="0000019F" w:csb1="00000000"/>
    <w:embedRegular r:id="rId19" w:fontKey="{E24FF8F5-D33D-49CE-8DC8-6C493E25F1ED}"/>
    <w:embedBold r:id="rId20" w:fontKey="{C5D783EB-6C05-4C9A-B34A-86EBE347B0B1}"/>
  </w:font>
  <w:font w:name="Calibri">
    <w:panose1 w:val="020F0502020204030204"/>
    <w:charset w:val="00"/>
    <w:family w:val="swiss"/>
    <w:pitch w:val="variable"/>
    <w:sig w:usb0="E00002FF" w:usb1="4000ACFF" w:usb2="00000001" w:usb3="00000000" w:csb0="0000019F" w:csb1="00000000"/>
    <w:embedRegular r:id="rId21" w:fontKey="{A7C68A4D-2442-482E-93EB-7E61CF0C5617}"/>
    <w:embedBold r:id="rId22" w:fontKey="{365308AE-2B1B-4E81-B4E3-D755CD17DD54}"/>
    <w:embedItalic r:id="rId23" w:fontKey="{CEC0D678-BE8E-4892-BD56-2A4630E7F7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0B2A8E" w:rsidRDefault="00BD2965" w:rsidP="0003257F">
    <w:pPr>
      <w:pStyle w:val="Pidipagina"/>
      <w:framePr w:wrap="around" w:vAnchor="text" w:hAnchor="margin" w:xAlign="center" w:y="1"/>
      <w:rPr>
        <w:rStyle w:val="Numeropagina"/>
        <w:rFonts w:ascii="Garamond" w:hAnsi="Garamond"/>
        <w:sz w:val="24"/>
        <w:szCs w:val="24"/>
      </w:rPr>
    </w:pPr>
    <w:r w:rsidRPr="000B2A8E">
      <w:rPr>
        <w:rStyle w:val="Numeropagina"/>
        <w:rFonts w:ascii="Garamond" w:hAnsi="Garamond"/>
        <w:sz w:val="24"/>
        <w:szCs w:val="24"/>
      </w:rPr>
      <w:fldChar w:fldCharType="begin"/>
    </w:r>
    <w:r w:rsidRPr="000B2A8E">
      <w:rPr>
        <w:rStyle w:val="Numeropagina"/>
        <w:rFonts w:ascii="Garamond" w:hAnsi="Garamond"/>
        <w:sz w:val="24"/>
        <w:szCs w:val="24"/>
      </w:rPr>
      <w:instrText xml:space="preserve">PAGE  </w:instrText>
    </w:r>
    <w:r w:rsidRPr="000B2A8E">
      <w:rPr>
        <w:rStyle w:val="Numeropagina"/>
        <w:rFonts w:ascii="Garamond" w:hAnsi="Garamond"/>
        <w:sz w:val="24"/>
        <w:szCs w:val="24"/>
      </w:rPr>
      <w:fldChar w:fldCharType="separate"/>
    </w:r>
    <w:r w:rsidR="00EB0878">
      <w:rPr>
        <w:rStyle w:val="Numeropagina"/>
        <w:rFonts w:ascii="Garamond" w:hAnsi="Garamond"/>
        <w:noProof/>
        <w:sz w:val="24"/>
        <w:szCs w:val="24"/>
      </w:rPr>
      <w:t>II</w:t>
    </w:r>
    <w:r w:rsidRPr="000B2A8E">
      <w:rPr>
        <w:rStyle w:val="Numeropagina"/>
        <w:rFonts w:ascii="Garamond" w:hAnsi="Garamond"/>
        <w:sz w:val="24"/>
        <w:szCs w:val="24"/>
      </w:rPr>
      <w:fldChar w:fldCharType="end"/>
    </w:r>
  </w:p>
  <w:p w:rsidR="00BD2965" w:rsidRDefault="00BD2965">
    <w:pPr>
      <w:pStyle w:val="Pidipagina"/>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48121"/>
      <w:docPartObj>
        <w:docPartGallery w:val="Page Numbers (Bottom of Page)"/>
        <w:docPartUnique/>
      </w:docPartObj>
    </w:sdtPr>
    <w:sdtEndPr/>
    <w:sdtContent>
      <w:p w:rsidR="00266CFE" w:rsidRDefault="00266CFE">
        <w:pPr>
          <w:pStyle w:val="Pidipagina"/>
        </w:pPr>
        <w:r>
          <w:fldChar w:fldCharType="begin"/>
        </w:r>
        <w:r>
          <w:instrText>PAGE   \* MERGEFORMAT</w:instrText>
        </w:r>
        <w:r>
          <w:fldChar w:fldCharType="separate"/>
        </w:r>
        <w:r w:rsidR="00EB0878">
          <w:rPr>
            <w:noProof/>
          </w:rPr>
          <w:t>65</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118040"/>
      <w:docPartObj>
        <w:docPartGallery w:val="Page Numbers (Bottom of Page)"/>
        <w:docPartUnique/>
      </w:docPartObj>
    </w:sdtPr>
    <w:sdtEndPr/>
    <w:sdtContent>
      <w:p w:rsidR="00BD2965" w:rsidRDefault="00BD2965">
        <w:pPr>
          <w:pStyle w:val="Pidipagina"/>
        </w:pPr>
        <w:r>
          <w:fldChar w:fldCharType="begin"/>
        </w:r>
        <w:r>
          <w:instrText>PAGE   \* MERGEFORMAT</w:instrText>
        </w:r>
        <w:r>
          <w:fldChar w:fldCharType="separate"/>
        </w:r>
        <w:r>
          <w:rPr>
            <w:noProof/>
          </w:rPr>
          <w:t>65</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638647"/>
      <w:docPartObj>
        <w:docPartGallery w:val="Page Numbers (Bottom of Page)"/>
        <w:docPartUnique/>
      </w:docPartObj>
    </w:sdtPr>
    <w:sdtEndPr/>
    <w:sdtContent>
      <w:p w:rsidR="00BD2965" w:rsidRDefault="00BD2965">
        <w:pPr>
          <w:pStyle w:val="Pidipagina"/>
        </w:pPr>
        <w:r>
          <w:fldChar w:fldCharType="begin"/>
        </w:r>
        <w:r>
          <w:instrText>PAGE   \* MERGEFORMAT</w:instrText>
        </w:r>
        <w:r>
          <w:fldChar w:fldCharType="separate"/>
        </w:r>
        <w:r w:rsidR="00EB0878">
          <w:rPr>
            <w:noProof/>
          </w:rPr>
          <w:t>67</w:t>
        </w:r>
        <w: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212766"/>
      <w:docPartObj>
        <w:docPartGallery w:val="Page Numbers (Bottom of Page)"/>
        <w:docPartUnique/>
      </w:docPartObj>
    </w:sdtPr>
    <w:sdtEndPr/>
    <w:sdtContent>
      <w:p w:rsidR="00BD2965" w:rsidRDefault="00BD2965">
        <w:pPr>
          <w:pStyle w:val="Pidipagina"/>
        </w:pPr>
        <w:r>
          <w:fldChar w:fldCharType="begin"/>
        </w:r>
        <w:r>
          <w:instrText>PAGE   \* MERGEFORMAT</w:instrText>
        </w:r>
        <w:r>
          <w:fldChar w:fldCharType="separate"/>
        </w:r>
        <w:r w:rsidR="00EB0878">
          <w:rPr>
            <w:noProof/>
          </w:rPr>
          <w:t>68</w:t>
        </w:r>
        <w: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BF7BFE" w:rsidRDefault="00BD2965">
    <w:pPr>
      <w:pStyle w:val="Pidipagina"/>
      <w:rPr>
        <w:color w:val="595959"/>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783914"/>
      <w:docPartObj>
        <w:docPartGallery w:val="Page Numbers (Bottom of Page)"/>
        <w:docPartUnique/>
      </w:docPartObj>
    </w:sdtPr>
    <w:sdtEndPr/>
    <w:sdtContent>
      <w:p w:rsidR="00BD2965" w:rsidRDefault="00BD2965">
        <w:pPr>
          <w:pStyle w:val="Pidipagina"/>
        </w:pPr>
        <w:r>
          <w:fldChar w:fldCharType="begin"/>
        </w:r>
        <w:r>
          <w:instrText>PAGE   \* MERGEFORMAT</w:instrText>
        </w:r>
        <w:r>
          <w:fldChar w:fldCharType="separate"/>
        </w:r>
        <w:r w:rsidR="00EB0878">
          <w:rPr>
            <w:noProof/>
          </w:rPr>
          <w:t>70</w:t>
        </w:r>
        <w: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906801"/>
      <w:docPartObj>
        <w:docPartGallery w:val="Page Numbers (Bottom of Page)"/>
        <w:docPartUnique/>
      </w:docPartObj>
    </w:sdtPr>
    <w:sdtEndPr/>
    <w:sdtContent>
      <w:p w:rsidR="00BD2965" w:rsidRDefault="00BD2965">
        <w:pPr>
          <w:pStyle w:val="Pidipagina"/>
        </w:pPr>
        <w:r>
          <w:fldChar w:fldCharType="begin"/>
        </w:r>
        <w:r>
          <w:instrText>PAGE   \* MERGEFORMAT</w:instrText>
        </w:r>
        <w:r>
          <w:fldChar w:fldCharType="separate"/>
        </w:r>
        <w:r w:rsidR="00EB0878">
          <w:rPr>
            <w:noProof/>
          </w:rPr>
          <w:t>69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B80024" w:rsidRDefault="00BD2965">
    <w:pPr>
      <w:pStyle w:val="Pidipagina"/>
      <w:rPr>
        <w:rFonts w:ascii="Garamond" w:hAnsi="Garamond"/>
        <w:sz w:val="24"/>
        <w:szCs w:val="24"/>
      </w:rPr>
    </w:pPr>
    <w:r w:rsidRPr="00B80024">
      <w:rPr>
        <w:rFonts w:ascii="Garamond" w:hAnsi="Garamond"/>
        <w:sz w:val="24"/>
        <w:szCs w:val="24"/>
      </w:rPr>
      <w:fldChar w:fldCharType="begin"/>
    </w:r>
    <w:r w:rsidRPr="00B80024">
      <w:rPr>
        <w:rFonts w:ascii="Garamond" w:hAnsi="Garamond"/>
        <w:sz w:val="24"/>
        <w:szCs w:val="24"/>
      </w:rPr>
      <w:instrText>PAGE   \* MERGEFORMAT</w:instrText>
    </w:r>
    <w:r w:rsidRPr="00B80024">
      <w:rPr>
        <w:rFonts w:ascii="Garamond" w:hAnsi="Garamond"/>
        <w:sz w:val="24"/>
        <w:szCs w:val="24"/>
      </w:rPr>
      <w:fldChar w:fldCharType="separate"/>
    </w:r>
    <w:r w:rsidR="00EB0878">
      <w:rPr>
        <w:rFonts w:ascii="Garamond" w:hAnsi="Garamond"/>
        <w:noProof/>
        <w:sz w:val="24"/>
        <w:szCs w:val="24"/>
      </w:rPr>
      <w:t>52</w:t>
    </w:r>
    <w:r w:rsidRPr="00B80024">
      <w:rPr>
        <w:rFonts w:ascii="Garamond" w:hAnsi="Garamond"/>
        <w:sz w:val="24"/>
        <w:szCs w:val="24"/>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2624756"/>
      <w:docPartObj>
        <w:docPartGallery w:val="Page Numbers (Bottom of Page)"/>
        <w:docPartUnique/>
      </w:docPartObj>
    </w:sdtPr>
    <w:sdtEndPr/>
    <w:sdtContent>
      <w:p w:rsidR="00BD2965" w:rsidRDefault="00BD2965">
        <w:pPr>
          <w:pStyle w:val="Pidipagina"/>
        </w:pPr>
        <w:r>
          <w:fldChar w:fldCharType="begin"/>
        </w:r>
        <w:r>
          <w:instrText>PAGE   \* MERGEFORMAT</w:instrText>
        </w:r>
        <w:r>
          <w:fldChar w:fldCharType="separate"/>
        </w:r>
        <w:r w:rsidR="00EB0878">
          <w:rPr>
            <w:noProof/>
          </w:rPr>
          <w:t>71</w:t>
        </w:r>
        <w: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551681"/>
      <w:docPartObj>
        <w:docPartGallery w:val="Page Numbers (Bottom of Page)"/>
        <w:docPartUnique/>
      </w:docPartObj>
    </w:sdtPr>
    <w:sdtEndPr/>
    <w:sdtContent>
      <w:p w:rsidR="00BD2965" w:rsidRDefault="00BD2965">
        <w:pPr>
          <w:pStyle w:val="Pidipagina"/>
        </w:pPr>
        <w:r>
          <w:fldChar w:fldCharType="begin"/>
        </w:r>
        <w:r>
          <w:instrText>PAGE   \* MERGEFORMAT</w:instrText>
        </w:r>
        <w:r>
          <w:fldChar w:fldCharType="separate"/>
        </w:r>
        <w:r w:rsidR="00EB0878">
          <w:rPr>
            <w:noProof/>
          </w:rPr>
          <w:t>72</w:t>
        </w:r>
        <w: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BF7BFE" w:rsidRDefault="00BD2965">
    <w:pPr>
      <w:pStyle w:val="Pidipagina"/>
      <w:rPr>
        <w:color w:val="595959"/>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E92A51" w:rsidRDefault="00BD2965" w:rsidP="00E92A51">
    <w:pPr>
      <w:pStyle w:val="Pidipagin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86</w:t>
    </w:r>
    <w:r>
      <w:rPr>
        <w:rStyle w:val="Numeropagina"/>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85</w:t>
    </w:r>
    <w:r>
      <w:rPr>
        <w:rStyle w:val="Numeropagin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03257F" w:rsidRDefault="00BD2965" w:rsidP="009806A7">
    <w:pPr>
      <w:pStyle w:val="Pidipagina"/>
      <w:framePr w:wrap="around" w:vAnchor="text" w:hAnchor="margin" w:xAlign="center" w:y="1"/>
      <w:rPr>
        <w:rStyle w:val="Numeropagina"/>
        <w:rFonts w:ascii="Garamond" w:hAnsi="Garamond"/>
        <w:sz w:val="24"/>
        <w:szCs w:val="24"/>
      </w:rPr>
    </w:pPr>
    <w:r w:rsidRPr="0003257F">
      <w:rPr>
        <w:rStyle w:val="Numeropagina"/>
        <w:rFonts w:ascii="Garamond" w:hAnsi="Garamond"/>
        <w:sz w:val="24"/>
        <w:szCs w:val="24"/>
      </w:rPr>
      <w:fldChar w:fldCharType="begin"/>
    </w:r>
    <w:r w:rsidRPr="0003257F">
      <w:rPr>
        <w:rStyle w:val="Numeropagina"/>
        <w:rFonts w:ascii="Garamond" w:hAnsi="Garamond"/>
        <w:sz w:val="24"/>
        <w:szCs w:val="24"/>
      </w:rPr>
      <w:instrText xml:space="preserve">PAGE  </w:instrText>
    </w:r>
    <w:r w:rsidRPr="0003257F">
      <w:rPr>
        <w:rStyle w:val="Numeropagina"/>
        <w:rFonts w:ascii="Garamond" w:hAnsi="Garamond"/>
        <w:sz w:val="24"/>
        <w:szCs w:val="24"/>
      </w:rPr>
      <w:fldChar w:fldCharType="separate"/>
    </w:r>
    <w:r w:rsidR="00EB0878">
      <w:rPr>
        <w:rStyle w:val="Numeropagina"/>
        <w:rFonts w:ascii="Garamond" w:hAnsi="Garamond"/>
        <w:noProof/>
        <w:sz w:val="24"/>
        <w:szCs w:val="24"/>
      </w:rPr>
      <w:t>I</w:t>
    </w:r>
    <w:r w:rsidRPr="0003257F">
      <w:rPr>
        <w:rStyle w:val="Numeropagina"/>
        <w:rFonts w:ascii="Garamond" w:hAnsi="Garamond"/>
        <w:sz w:val="24"/>
        <w:szCs w:val="24"/>
      </w:rPr>
      <w:fldChar w:fldCharType="end"/>
    </w:r>
  </w:p>
  <w:p w:rsidR="00BD2965" w:rsidRPr="0003257F" w:rsidRDefault="00BD2965" w:rsidP="0003257F">
    <w:pPr>
      <w:pStyle w:val="Pidipa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96</w:t>
    </w:r>
    <w:r>
      <w:rPr>
        <w:rStyle w:val="Numeropagina"/>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97</w:t>
    </w:r>
    <w:r>
      <w:rPr>
        <w:rStyle w:val="Numeropagina"/>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104</w:t>
    </w:r>
    <w:r>
      <w:rPr>
        <w:rStyle w:val="Numeropagina"/>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105</w:t>
    </w:r>
    <w:r>
      <w:rPr>
        <w:rStyle w:val="Numeropagina"/>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110</w:t>
    </w:r>
    <w:r>
      <w:rPr>
        <w:rStyle w:val="Numeropagina"/>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111</w:t>
    </w:r>
    <w:r>
      <w:rPr>
        <w:rStyle w:val="Numeropagina"/>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118</w:t>
    </w:r>
    <w:r>
      <w:rPr>
        <w:rStyle w:val="Numeropagina"/>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117</w:t>
    </w:r>
    <w:r>
      <w:rPr>
        <w:rStyle w:val="Numeropagina"/>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124</w:t>
    </w:r>
    <w:r>
      <w:rPr>
        <w:rStyle w:val="Numeropagina"/>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123</w:t>
    </w:r>
    <w:r>
      <w:rPr>
        <w:rStyle w:val="Numeropagin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rsidP="00E435D2">
    <w:pPr>
      <w:pStyle w:val="Pidipagina"/>
      <w:framePr w:wrap="around" w:vAnchor="text" w:hAnchor="margin" w:xAlign="center" w:y="1"/>
      <w:rPr>
        <w:rStyle w:val="Numeropagina"/>
      </w:rPr>
    </w:pPr>
    <w:r w:rsidRPr="000B2A8E">
      <w:rPr>
        <w:rStyle w:val="Numeropagina"/>
        <w:rFonts w:ascii="Garamond" w:hAnsi="Garamond"/>
        <w:sz w:val="24"/>
        <w:szCs w:val="24"/>
      </w:rPr>
      <w:fldChar w:fldCharType="begin"/>
    </w:r>
    <w:r w:rsidRPr="000B2A8E">
      <w:rPr>
        <w:rStyle w:val="Numeropagina"/>
        <w:rFonts w:ascii="Garamond" w:hAnsi="Garamond"/>
        <w:sz w:val="24"/>
        <w:szCs w:val="24"/>
      </w:rPr>
      <w:instrText xml:space="preserve">PAGE  </w:instrText>
    </w:r>
    <w:r w:rsidRPr="000B2A8E">
      <w:rPr>
        <w:rStyle w:val="Numeropagina"/>
        <w:rFonts w:ascii="Garamond" w:hAnsi="Garamond"/>
        <w:sz w:val="24"/>
        <w:szCs w:val="24"/>
      </w:rPr>
      <w:fldChar w:fldCharType="separate"/>
    </w:r>
    <w:r w:rsidR="00EB0878">
      <w:rPr>
        <w:rStyle w:val="Numeropagina"/>
        <w:rFonts w:ascii="Garamond" w:hAnsi="Garamond"/>
        <w:noProof/>
        <w:sz w:val="24"/>
        <w:szCs w:val="24"/>
      </w:rPr>
      <w:t>36</w:t>
    </w:r>
    <w:r w:rsidRPr="000B2A8E">
      <w:rPr>
        <w:rStyle w:val="Numeropagina"/>
        <w:rFonts w:ascii="Garamond" w:hAnsi="Garamond"/>
        <w:sz w:val="24"/>
        <w:szCs w:val="24"/>
      </w:rPr>
      <w:fldChar w:fldCharType="end"/>
    </w:r>
  </w:p>
  <w:p w:rsidR="00BD2965" w:rsidRDefault="00BD2965">
    <w:pPr>
      <w:pStyle w:val="Pidipagina"/>
    </w:pPr>
    <w: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126</w:t>
    </w:r>
    <w:r>
      <w:rPr>
        <w:rStyle w:val="Numeropagina"/>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127</w:t>
    </w:r>
    <w:r>
      <w:rPr>
        <w:rStyle w:val="Numeropagina"/>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132</w:t>
    </w:r>
    <w:r>
      <w:rPr>
        <w:rStyle w:val="Numeropagina"/>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131</w:t>
    </w:r>
    <w:r>
      <w:rPr>
        <w:rStyle w:val="Numeropagina"/>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150</w:t>
    </w:r>
    <w:r>
      <w:rPr>
        <w:rStyle w:val="Numeropagina"/>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149</w:t>
    </w:r>
    <w:r>
      <w:rPr>
        <w:rStyle w:val="Numeropagina"/>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154</w:t>
    </w:r>
    <w:r>
      <w:rPr>
        <w:rStyle w:val="Numeropagina"/>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155</w:t>
    </w:r>
    <w:r>
      <w:rPr>
        <w:rStyle w:val="Numeropagina"/>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160</w:t>
    </w:r>
    <w:r>
      <w:rPr>
        <w:rStyle w:val="Numeropagina"/>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161</w:t>
    </w:r>
    <w:r>
      <w:rPr>
        <w:rStyle w:val="Numeropagin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0B2A8E" w:rsidRDefault="00BD2965" w:rsidP="009806A7">
    <w:pPr>
      <w:pStyle w:val="Pidipagina"/>
      <w:framePr w:wrap="around" w:vAnchor="text" w:hAnchor="margin" w:xAlign="center" w:y="1"/>
      <w:rPr>
        <w:rStyle w:val="Numeropagina"/>
        <w:rFonts w:ascii="Garamond" w:hAnsi="Garamond"/>
        <w:sz w:val="24"/>
        <w:szCs w:val="24"/>
      </w:rPr>
    </w:pPr>
    <w:r w:rsidRPr="000B2A8E">
      <w:rPr>
        <w:rStyle w:val="Numeropagina"/>
        <w:rFonts w:ascii="Garamond" w:hAnsi="Garamond"/>
        <w:sz w:val="24"/>
        <w:szCs w:val="24"/>
      </w:rPr>
      <w:fldChar w:fldCharType="begin"/>
    </w:r>
    <w:r w:rsidRPr="000B2A8E">
      <w:rPr>
        <w:rStyle w:val="Numeropagina"/>
        <w:rFonts w:ascii="Garamond" w:hAnsi="Garamond"/>
        <w:sz w:val="24"/>
        <w:szCs w:val="24"/>
      </w:rPr>
      <w:instrText xml:space="preserve">PAGE  </w:instrText>
    </w:r>
    <w:r w:rsidRPr="000B2A8E">
      <w:rPr>
        <w:rStyle w:val="Numeropagina"/>
        <w:rFonts w:ascii="Garamond" w:hAnsi="Garamond"/>
        <w:sz w:val="24"/>
        <w:szCs w:val="24"/>
      </w:rPr>
      <w:fldChar w:fldCharType="separate"/>
    </w:r>
    <w:r w:rsidR="00EB0878">
      <w:rPr>
        <w:rStyle w:val="Numeropagina"/>
        <w:rFonts w:ascii="Garamond" w:hAnsi="Garamond"/>
        <w:noProof/>
        <w:sz w:val="24"/>
        <w:szCs w:val="24"/>
      </w:rPr>
      <w:t>35</w:t>
    </w:r>
    <w:r w:rsidRPr="000B2A8E">
      <w:rPr>
        <w:rStyle w:val="Numeropagina"/>
        <w:rFonts w:ascii="Garamond" w:hAnsi="Garamond"/>
        <w:sz w:val="24"/>
        <w:szCs w:val="24"/>
      </w:rPr>
      <w:fldChar w:fldCharType="end"/>
    </w:r>
  </w:p>
  <w:p w:rsidR="00BD2965" w:rsidRPr="001E41EC" w:rsidRDefault="00BD2965" w:rsidP="001E41EC">
    <w:pPr>
      <w:pStyle w:val="Pidipagina"/>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172</w:t>
    </w:r>
    <w:r>
      <w:rPr>
        <w:rStyle w:val="Numeropagina"/>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171</w:t>
    </w:r>
    <w:r>
      <w:rPr>
        <w:rStyle w:val="Numeropagina"/>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176</w:t>
    </w:r>
    <w:r>
      <w:rPr>
        <w:rStyle w:val="Numeropagina"/>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175</w:t>
    </w:r>
    <w:r>
      <w:rPr>
        <w:rStyle w:val="Numeropagina"/>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182</w:t>
    </w:r>
    <w:r>
      <w:rPr>
        <w:rStyle w:val="Numeropagina"/>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181</w:t>
    </w:r>
    <w:r>
      <w:rPr>
        <w:rStyle w:val="Numeropagina"/>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186</w:t>
    </w:r>
    <w:r>
      <w:rPr>
        <w:rStyle w:val="Numeropagina"/>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185</w:t>
    </w:r>
    <w:r>
      <w:rPr>
        <w:rStyle w:val="Numeropagina"/>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192</w:t>
    </w:r>
    <w:r>
      <w:rPr>
        <w:rStyle w:val="Numeropagina"/>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193</w:t>
    </w:r>
    <w:r>
      <w:rPr>
        <w:rStyle w:val="Numeropagin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265267" w:rsidRDefault="00BD2965">
    <w:pPr>
      <w:pStyle w:val="Pidipagina"/>
      <w:rPr>
        <w:rStyle w:val="Numeropagina"/>
        <w:rFonts w:ascii="Garamond" w:hAnsi="Garamond"/>
        <w:sz w:val="24"/>
        <w:szCs w:val="24"/>
      </w:rPr>
    </w:pPr>
    <w:r w:rsidRPr="00265267">
      <w:rPr>
        <w:rStyle w:val="Numeropagina"/>
        <w:rFonts w:ascii="Garamond" w:hAnsi="Garamond"/>
        <w:sz w:val="24"/>
        <w:szCs w:val="24"/>
      </w:rPr>
      <w:fldChar w:fldCharType="begin"/>
    </w:r>
    <w:r w:rsidRPr="00265267">
      <w:rPr>
        <w:rStyle w:val="Numeropagina"/>
        <w:rFonts w:ascii="Garamond" w:hAnsi="Garamond"/>
        <w:sz w:val="24"/>
        <w:szCs w:val="24"/>
      </w:rPr>
      <w:instrText xml:space="preserve"> PAGE </w:instrText>
    </w:r>
    <w:r w:rsidRPr="00265267">
      <w:rPr>
        <w:rStyle w:val="Numeropagina"/>
        <w:rFonts w:ascii="Garamond" w:hAnsi="Garamond"/>
        <w:sz w:val="24"/>
        <w:szCs w:val="24"/>
      </w:rPr>
      <w:fldChar w:fldCharType="separate"/>
    </w:r>
    <w:r w:rsidR="00EB0878">
      <w:rPr>
        <w:rStyle w:val="Numeropagina"/>
        <w:rFonts w:ascii="Garamond" w:hAnsi="Garamond"/>
        <w:noProof/>
        <w:sz w:val="24"/>
        <w:szCs w:val="24"/>
      </w:rPr>
      <w:t>60</w:t>
    </w:r>
    <w:r w:rsidRPr="00265267">
      <w:rPr>
        <w:rStyle w:val="Numeropagina"/>
        <w:rFonts w:ascii="Garamond" w:hAnsi="Garamond"/>
        <w:sz w:val="24"/>
        <w:szCs w:val="24"/>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196</w:t>
    </w:r>
    <w:r>
      <w:rPr>
        <w:rStyle w:val="Numeropagina"/>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197</w:t>
    </w:r>
    <w:r>
      <w:rPr>
        <w:rStyle w:val="Numeropagina"/>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200</w:t>
    </w:r>
    <w:r>
      <w:rPr>
        <w:rStyle w:val="Numeropagina"/>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201</w:t>
    </w:r>
    <w:r>
      <w:rPr>
        <w:rStyle w:val="Numeropagina"/>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204</w:t>
    </w:r>
    <w:r>
      <w:rPr>
        <w:rStyle w:val="Numeropagina"/>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203</w:t>
    </w:r>
    <w:r>
      <w:rPr>
        <w:rStyle w:val="Numeropagina"/>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214</w:t>
    </w:r>
    <w:r>
      <w:rPr>
        <w:rStyle w:val="Numeropagina"/>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215</w:t>
    </w:r>
    <w:r>
      <w:rPr>
        <w:rStyle w:val="Numeropagina"/>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222</w:t>
    </w:r>
    <w:r>
      <w:rPr>
        <w:rStyle w:val="Numeropagina"/>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221</w:t>
    </w:r>
    <w:r>
      <w:rPr>
        <w:rStyle w:val="Numeropagin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265267" w:rsidRDefault="00BD2965">
    <w:pPr>
      <w:pStyle w:val="Pidipagina"/>
      <w:rPr>
        <w:rFonts w:ascii="Garamond" w:hAnsi="Garamond"/>
        <w:sz w:val="24"/>
        <w:szCs w:val="24"/>
      </w:rPr>
    </w:pPr>
    <w:r w:rsidRPr="00265267">
      <w:rPr>
        <w:rStyle w:val="Numeropagina"/>
        <w:rFonts w:ascii="Garamond" w:hAnsi="Garamond"/>
        <w:sz w:val="24"/>
        <w:szCs w:val="24"/>
      </w:rPr>
      <w:fldChar w:fldCharType="begin"/>
    </w:r>
    <w:r w:rsidRPr="00265267">
      <w:rPr>
        <w:rStyle w:val="Numeropagina"/>
        <w:rFonts w:ascii="Garamond" w:hAnsi="Garamond"/>
        <w:sz w:val="24"/>
        <w:szCs w:val="24"/>
      </w:rPr>
      <w:instrText xml:space="preserve"> PAGE </w:instrText>
    </w:r>
    <w:r w:rsidRPr="00265267">
      <w:rPr>
        <w:rStyle w:val="Numeropagina"/>
        <w:rFonts w:ascii="Garamond" w:hAnsi="Garamond"/>
        <w:sz w:val="24"/>
        <w:szCs w:val="24"/>
      </w:rPr>
      <w:fldChar w:fldCharType="separate"/>
    </w:r>
    <w:r w:rsidR="00EB0878">
      <w:rPr>
        <w:rStyle w:val="Numeropagina"/>
        <w:rFonts w:ascii="Garamond" w:hAnsi="Garamond"/>
        <w:noProof/>
        <w:sz w:val="24"/>
        <w:szCs w:val="24"/>
      </w:rPr>
      <w:t>61</w:t>
    </w:r>
    <w:r w:rsidRPr="00265267">
      <w:rPr>
        <w:rStyle w:val="Numeropagina"/>
        <w:rFonts w:ascii="Garamond" w:hAnsi="Garamond"/>
        <w:sz w:val="24"/>
        <w:szCs w:val="24"/>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240</w:t>
    </w:r>
    <w:r>
      <w:rPr>
        <w:rStyle w:val="Numeropagina"/>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Pidipagina"/>
    </w:pPr>
    <w:r>
      <w:rPr>
        <w:rStyle w:val="Numeropagina"/>
      </w:rPr>
      <w:fldChar w:fldCharType="begin"/>
    </w:r>
    <w:r>
      <w:rPr>
        <w:rStyle w:val="Numeropagina"/>
      </w:rPr>
      <w:instrText xml:space="preserve"> PAGE </w:instrText>
    </w:r>
    <w:r>
      <w:rPr>
        <w:rStyle w:val="Numeropagina"/>
      </w:rPr>
      <w:fldChar w:fldCharType="separate"/>
    </w:r>
    <w:r w:rsidR="00EB0878">
      <w:rPr>
        <w:rStyle w:val="Numeropagina"/>
        <w:noProof/>
      </w:rPr>
      <w:t>239</w:t>
    </w:r>
    <w:r>
      <w:rPr>
        <w:rStyle w:val="Numeropagin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E92A51" w:rsidRDefault="00BD2965" w:rsidP="00E92A51">
    <w:pPr>
      <w:pStyle w:val="Pidipa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845920"/>
      <w:docPartObj>
        <w:docPartGallery w:val="Page Numbers (Bottom of Page)"/>
        <w:docPartUnique/>
      </w:docPartObj>
    </w:sdtPr>
    <w:sdtEndPr/>
    <w:sdtContent>
      <w:p w:rsidR="00BD2965" w:rsidRDefault="00BD2965">
        <w:pPr>
          <w:pStyle w:val="Pidipagina"/>
        </w:pPr>
        <w:r>
          <w:fldChar w:fldCharType="begin"/>
        </w:r>
        <w:r>
          <w:instrText>PAGE   \* MERGEFORMAT</w:instrText>
        </w:r>
        <w:r>
          <w:fldChar w:fldCharType="separate"/>
        </w:r>
        <w:r w:rsidR="00EB0878">
          <w:rPr>
            <w:noProof/>
          </w:rPr>
          <w:t>66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965" w:rsidRDefault="00BD2965">
      <w:r>
        <w:separator/>
      </w:r>
    </w:p>
    <w:p w:rsidR="00BD2965" w:rsidRDefault="00BD2965"/>
  </w:footnote>
  <w:footnote w:type="continuationSeparator" w:id="0">
    <w:p w:rsidR="00BD2965" w:rsidRDefault="00BD2965">
      <w:r>
        <w:continuationSeparator/>
      </w:r>
    </w:p>
    <w:p w:rsidR="00BD2965" w:rsidRDefault="00BD2965"/>
  </w:footnote>
  <w:footnote w:id="1">
    <w:p w:rsidR="00BD2965" w:rsidRPr="00FB7A6A" w:rsidRDefault="00BD2965">
      <w:pPr>
        <w:pStyle w:val="Testonotaapidipagina"/>
        <w:rPr>
          <w:rFonts w:ascii="Garamond" w:hAnsi="Garamond"/>
          <w:sz w:val="24"/>
          <w:szCs w:val="24"/>
        </w:rPr>
      </w:pPr>
      <w:r>
        <w:rPr>
          <w:rStyle w:val="Rimandonotaapidipagina"/>
        </w:rPr>
        <w:footnoteRef/>
      </w:r>
      <w:r>
        <w:t xml:space="preserve"> </w:t>
      </w:r>
      <w:r>
        <w:tab/>
      </w:r>
      <w:r w:rsidRPr="00FB7A6A">
        <w:rPr>
          <w:rFonts w:ascii="Garamond" w:hAnsi="Garamond"/>
          <w:sz w:val="24"/>
          <w:szCs w:val="24"/>
        </w:rPr>
        <w:t>In questo caso si ripete di parere in parere la considerazione che tale circostanza “non appare coerente con le esigenze di un appropriato utilizzo delle fonti normative, in quanto si demanda ad un atto, ordinariamente a contenuto politico, la definizione di una disciplina che dovrebbe essere oggetto di una fonte secondaria del diritto e, segnatamente, di regolamenti emanati a norma dell'articolo 17 della legge 23 agosto 1988, n. 400 (regolamenti governativi nella forma di decreti del Presidente della Repubblica ovvero regolamenti ministeriali)”.</w:t>
      </w:r>
    </w:p>
    <w:p w:rsidR="00BD2965" w:rsidRDefault="00BD2965" w:rsidP="009A7ADA">
      <w:pPr>
        <w:pStyle w:val="Testonotaapidipagina"/>
        <w:ind w:left="0" w:firstLine="0"/>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BD2965">
    <w:pPr>
      <w:pStyle w:val="Intestazione"/>
      <w:pBdr>
        <w:bottom w:val="single" w:sz="4" w:space="1" w:color="auto"/>
      </w:pBdr>
      <w:ind w:firstLine="0"/>
      <w:jc w:val="right"/>
      <w:rPr>
        <w:rFonts w:ascii="Garamond" w:hAnsi="Garamond"/>
        <w:smallCaps/>
        <w:sz w:val="26"/>
        <w:szCs w:val="26"/>
      </w:rPr>
    </w:pPr>
    <w:r>
      <w:rPr>
        <w:rFonts w:ascii="Garamond" w:hAnsi="Garamond"/>
        <w:smallCaps/>
        <w:sz w:val="26"/>
        <w:szCs w:val="26"/>
      </w:rPr>
      <w:t>Tabelle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BD2965">
    <w:pPr>
      <w:pStyle w:val="Intestazione"/>
      <w:pBdr>
        <w:bottom w:val="single" w:sz="4" w:space="1" w:color="auto"/>
      </w:pBdr>
      <w:ind w:firstLine="0"/>
      <w:jc w:val="left"/>
      <w:rPr>
        <w:rFonts w:ascii="Garamond" w:hAnsi="Garamond"/>
        <w:smallCaps/>
        <w:sz w:val="26"/>
        <w:szCs w:val="26"/>
      </w:rPr>
    </w:pPr>
    <w:r>
      <w:rPr>
        <w:rFonts w:ascii="Garamond" w:hAnsi="Garamond"/>
        <w:smallCaps/>
        <w:sz w:val="26"/>
        <w:szCs w:val="26"/>
      </w:rPr>
      <w:t>Tabelle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BF7BFE" w:rsidRDefault="00BD2965">
    <w:pPr>
      <w:pStyle w:val="Intestazione"/>
      <w:rPr>
        <w:color w:val="595959"/>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BD2965">
    <w:pPr>
      <w:pStyle w:val="Intestazione"/>
      <w:pBdr>
        <w:bottom w:val="single" w:sz="4" w:space="1" w:color="auto"/>
      </w:pBdr>
      <w:ind w:firstLine="0"/>
      <w:jc w:val="left"/>
      <w:rPr>
        <w:rFonts w:ascii="Garamond" w:hAnsi="Garamond"/>
        <w:smallCaps/>
        <w:sz w:val="26"/>
        <w:szCs w:val="26"/>
      </w:rPr>
    </w:pPr>
    <w:r>
      <w:rPr>
        <w:rFonts w:ascii="Garamond" w:hAnsi="Garamond"/>
        <w:smallCaps/>
        <w:sz w:val="26"/>
        <w:szCs w:val="26"/>
      </w:rPr>
      <w:t>Tabelle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BD2965">
    <w:pPr>
      <w:pStyle w:val="Intestazione"/>
      <w:pBdr>
        <w:bottom w:val="single" w:sz="4" w:space="1" w:color="auto"/>
      </w:pBdr>
      <w:ind w:firstLine="0"/>
      <w:jc w:val="right"/>
      <w:rPr>
        <w:rFonts w:ascii="Garamond" w:hAnsi="Garamond"/>
        <w:smallCaps/>
        <w:sz w:val="26"/>
        <w:szCs w:val="26"/>
      </w:rPr>
    </w:pPr>
    <w:r>
      <w:rPr>
        <w:rFonts w:ascii="Garamond" w:hAnsi="Garamond"/>
        <w:smallCaps/>
        <w:sz w:val="26"/>
        <w:szCs w:val="26"/>
      </w:rPr>
      <w:t>Tabelle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BD2965">
    <w:pPr>
      <w:pStyle w:val="Intestazione"/>
      <w:pBdr>
        <w:bottom w:val="single" w:sz="4" w:space="1" w:color="auto"/>
      </w:pBdr>
      <w:ind w:firstLine="0"/>
      <w:jc w:val="right"/>
      <w:rPr>
        <w:rFonts w:ascii="Garamond" w:hAnsi="Garamond"/>
        <w:smallCaps/>
        <w:sz w:val="26"/>
        <w:szCs w:val="26"/>
      </w:rPr>
    </w:pPr>
    <w:r>
      <w:rPr>
        <w:rFonts w:ascii="Garamond" w:hAnsi="Garamond"/>
        <w:smallCaps/>
        <w:sz w:val="26"/>
        <w:szCs w:val="26"/>
      </w:rPr>
      <w:t>Tabelle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BD2965">
    <w:pPr>
      <w:pStyle w:val="Intestazione"/>
      <w:pBdr>
        <w:bottom w:val="single" w:sz="4" w:space="1" w:color="auto"/>
      </w:pBdr>
      <w:ind w:firstLine="0"/>
      <w:jc w:val="left"/>
      <w:rPr>
        <w:rFonts w:ascii="Garamond" w:hAnsi="Garamond"/>
        <w:smallCaps/>
        <w:sz w:val="26"/>
        <w:szCs w:val="26"/>
      </w:rPr>
    </w:pPr>
    <w:r>
      <w:rPr>
        <w:rFonts w:ascii="Garamond" w:hAnsi="Garamond"/>
        <w:smallCaps/>
        <w:sz w:val="26"/>
        <w:szCs w:val="26"/>
      </w:rPr>
      <w:t>Tabelle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BF7BFE" w:rsidRDefault="00BD2965">
    <w:pPr>
      <w:pStyle w:val="Intestazione"/>
      <w:rPr>
        <w:color w:val="595959"/>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940" w:rsidRPr="004E3940" w:rsidRDefault="004E3940" w:rsidP="004E3940">
    <w:pPr>
      <w:pStyle w:val="Intestazion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126454">
    <w:pPr>
      <w:pStyle w:val="Intestazione"/>
      <w:pBdr>
        <w:bottom w:val="single" w:sz="6" w:space="0" w:color="000000"/>
      </w:pBdr>
      <w:ind w:firstLine="0"/>
      <w:jc w:val="left"/>
      <w:rPr>
        <w:rFonts w:ascii="Garamond" w:hAnsi="Garamond" w:cs="Arial"/>
        <w:smallCaps/>
        <w:sz w:val="26"/>
        <w:szCs w:val="26"/>
      </w:rPr>
    </w:pPr>
    <w:r>
      <w:rPr>
        <w:rFonts w:ascii="Garamond" w:hAnsi="Garamond" w:cs="Arial"/>
        <w:smallCaps/>
        <w:sz w:val="26"/>
        <w:szCs w:val="26"/>
      </w:rPr>
      <w:t>8 gennaio 2015</w:t>
    </w:r>
    <w:r w:rsidRPr="00126454">
      <w:rPr>
        <w:rFonts w:ascii="Garamond" w:hAnsi="Garamond" w:cs="Arial"/>
        <w:smallCaps/>
        <w:sz w:val="26"/>
        <w:szCs w:val="26"/>
      </w:rPr>
      <w:t xml:space="preserve"> – 7 </w:t>
    </w:r>
    <w:r>
      <w:rPr>
        <w:rFonts w:ascii="Garamond" w:hAnsi="Garamond" w:cs="Arial"/>
        <w:smallCaps/>
        <w:sz w:val="26"/>
        <w:szCs w:val="26"/>
      </w:rPr>
      <w:t xml:space="preserve">novembre </w:t>
    </w:r>
    <w:r w:rsidRPr="00126454">
      <w:rPr>
        <w:rFonts w:ascii="Garamond" w:hAnsi="Garamond" w:cs="Arial"/>
        <w:smallCaps/>
        <w:sz w:val="26"/>
        <w:szCs w:val="26"/>
      </w:rPr>
      <w:t>2015</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126454">
    <w:pPr>
      <w:pStyle w:val="Intestazione"/>
      <w:pBdr>
        <w:bottom w:val="single" w:sz="4" w:space="1" w:color="auto"/>
      </w:pBdr>
      <w:ind w:firstLine="0"/>
      <w:jc w:val="right"/>
      <w:rPr>
        <w:rFonts w:ascii="Garamond" w:hAnsi="Garamond"/>
        <w:smallCaps/>
        <w:sz w:val="26"/>
        <w:szCs w:val="26"/>
      </w:rPr>
    </w:pPr>
    <w:r w:rsidRPr="00126454">
      <w:rPr>
        <w:rFonts w:ascii="Garamond" w:hAnsi="Garamond"/>
        <w:smallCaps/>
        <w:sz w:val="26"/>
        <w:szCs w:val="26"/>
      </w:rPr>
      <w:t>R</w:t>
    </w:r>
    <w:r>
      <w:rPr>
        <w:rFonts w:ascii="Garamond" w:hAnsi="Garamond"/>
        <w:smallCaps/>
        <w:sz w:val="26"/>
        <w:szCs w:val="26"/>
      </w:rPr>
      <w:t>apporto sull’attività svolta dal Comitato</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ind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806B8A">
    <w:pPr>
      <w:pStyle w:val="Intestazione"/>
      <w:pBdr>
        <w:bottom w:val="single" w:sz="6" w:space="0" w:color="000000"/>
      </w:pBdr>
      <w:ind w:firstLine="0"/>
      <w:jc w:val="left"/>
      <w:rPr>
        <w:rFonts w:ascii="Garamond" w:hAnsi="Garamond" w:cs="Arial"/>
        <w:smallCaps/>
        <w:sz w:val="26"/>
        <w:szCs w:val="26"/>
      </w:rPr>
    </w:pPr>
    <w:r>
      <w:rPr>
        <w:rFonts w:ascii="Garamond" w:hAnsi="Garamond" w:cs="Arial"/>
        <w:smallCaps/>
        <w:sz w:val="26"/>
        <w:szCs w:val="26"/>
      </w:rPr>
      <w:t>8 gennaio 2015</w:t>
    </w:r>
    <w:r w:rsidRPr="00126454">
      <w:rPr>
        <w:rFonts w:ascii="Garamond" w:hAnsi="Garamond" w:cs="Arial"/>
        <w:smallCaps/>
        <w:sz w:val="26"/>
        <w:szCs w:val="26"/>
      </w:rPr>
      <w:t xml:space="preserve"> – 7 </w:t>
    </w:r>
    <w:r>
      <w:rPr>
        <w:rFonts w:ascii="Garamond" w:hAnsi="Garamond" w:cs="Arial"/>
        <w:smallCaps/>
        <w:sz w:val="26"/>
        <w:szCs w:val="26"/>
      </w:rPr>
      <w:t xml:space="preserve">novembre </w:t>
    </w:r>
    <w:r w:rsidRPr="00126454">
      <w:rPr>
        <w:rFonts w:ascii="Garamond" w:hAnsi="Garamond" w:cs="Arial"/>
        <w:smallCaps/>
        <w:sz w:val="26"/>
        <w:szCs w:val="26"/>
      </w:rPr>
      <w:t>2015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806B8A">
    <w:pPr>
      <w:pStyle w:val="Intestazione"/>
      <w:pBdr>
        <w:bottom w:val="single" w:sz="4" w:space="1" w:color="auto"/>
      </w:pBdr>
      <w:ind w:firstLine="0"/>
      <w:jc w:val="right"/>
      <w:rPr>
        <w:rFonts w:ascii="Garamond" w:hAnsi="Garamond"/>
        <w:smallCaps/>
        <w:sz w:val="26"/>
        <w:szCs w:val="26"/>
      </w:rPr>
    </w:pPr>
    <w:r w:rsidRPr="00126454">
      <w:rPr>
        <w:rFonts w:ascii="Garamond" w:hAnsi="Garamond"/>
        <w:smallCaps/>
        <w:sz w:val="26"/>
        <w:szCs w:val="26"/>
      </w:rPr>
      <w:t>R</w:t>
    </w:r>
    <w:r>
      <w:rPr>
        <w:rFonts w:ascii="Garamond" w:hAnsi="Garamond"/>
        <w:smallCaps/>
        <w:sz w:val="26"/>
        <w:szCs w:val="26"/>
      </w:rPr>
      <w:t>apporto sull’attività svolta dal Comitato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Default="00BD2965">
    <w:pPr>
      <w:pStyle w:val="Intestazio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BD2965">
    <w:pPr>
      <w:pStyle w:val="Intestazione"/>
      <w:pBdr>
        <w:bottom w:val="single" w:sz="4" w:space="1" w:color="auto"/>
      </w:pBdr>
      <w:ind w:firstLine="0"/>
      <w:jc w:val="left"/>
      <w:rPr>
        <w:rFonts w:ascii="Garamond" w:hAnsi="Garamond"/>
        <w:smallCaps/>
        <w:sz w:val="26"/>
        <w:szCs w:val="26"/>
      </w:rPr>
    </w:pPr>
    <w:r>
      <w:rPr>
        <w:rFonts w:ascii="Garamond" w:hAnsi="Garamond"/>
        <w:smallCaps/>
        <w:sz w:val="26"/>
        <w:szCs w:val="26"/>
      </w:rPr>
      <w:t>Tabelle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65" w:rsidRPr="00126454" w:rsidRDefault="00BD2965" w:rsidP="00BD2965">
    <w:pPr>
      <w:pStyle w:val="Intestazione"/>
      <w:pBdr>
        <w:bottom w:val="single" w:sz="4" w:space="1" w:color="auto"/>
      </w:pBdr>
      <w:ind w:firstLine="0"/>
      <w:jc w:val="right"/>
      <w:rPr>
        <w:rFonts w:ascii="Garamond" w:hAnsi="Garamond"/>
        <w:smallCaps/>
        <w:sz w:val="26"/>
        <w:szCs w:val="26"/>
      </w:rPr>
    </w:pPr>
    <w:r>
      <w:rPr>
        <w:rFonts w:ascii="Garamond" w:hAnsi="Garamond"/>
        <w:smallCaps/>
        <w:sz w:val="26"/>
        <w:szCs w:val="26"/>
      </w:rPr>
      <w:t>Tabelle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1">
    <w:nsid w:val="00000008"/>
    <w:multiLevelType w:val="singleLevel"/>
    <w:tmpl w:val="8E1EC052"/>
    <w:name w:val="WW8Num8"/>
    <w:lvl w:ilvl="0">
      <w:numFmt w:val="bullet"/>
      <w:pStyle w:val="rilievo"/>
      <w:lvlText w:val="-"/>
      <w:lvlJc w:val="left"/>
      <w:pPr>
        <w:tabs>
          <w:tab w:val="num" w:pos="720"/>
        </w:tabs>
        <w:ind w:left="720" w:hanging="360"/>
      </w:pPr>
      <w:rPr>
        <w:rFonts w:ascii="Times New Roman" w:hAnsi="Times New Roman" w:hint="default"/>
        <w:sz w:val="24"/>
      </w:rPr>
    </w:lvl>
  </w:abstractNum>
  <w:abstractNum w:abstractNumId="2">
    <w:nsid w:val="04171DB1"/>
    <w:multiLevelType w:val="hybridMultilevel"/>
    <w:tmpl w:val="78306002"/>
    <w:lvl w:ilvl="0" w:tplc="E8ACCD0E">
      <w:start w:val="1"/>
      <w:numFmt w:val="decimal"/>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73A72A5"/>
    <w:multiLevelType w:val="hybridMultilevel"/>
    <w:tmpl w:val="DA32539E"/>
    <w:lvl w:ilvl="0" w:tplc="410CF8B6">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5">
    <w:nsid w:val="0C2F1BFD"/>
    <w:multiLevelType w:val="hybridMultilevel"/>
    <w:tmpl w:val="32FC66B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E981C02"/>
    <w:multiLevelType w:val="hybridMultilevel"/>
    <w:tmpl w:val="72B63FAA"/>
    <w:lvl w:ilvl="0" w:tplc="56882CD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F072A5A"/>
    <w:multiLevelType w:val="hybridMultilevel"/>
    <w:tmpl w:val="17D247F8"/>
    <w:lvl w:ilvl="0" w:tplc="22987A52">
      <w:start w:val="1"/>
      <w:numFmt w:val="bullet"/>
      <w:lvlText w:val=""/>
      <w:lvlJc w:val="left"/>
      <w:pPr>
        <w:tabs>
          <w:tab w:val="num" w:pos="283"/>
        </w:tabs>
        <w:ind w:left="283" w:hanging="283"/>
      </w:pPr>
      <w:rPr>
        <w:rFonts w:ascii="Symbol" w:hAnsi="Symbol" w:hint="default"/>
        <w:color w:val="auto"/>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8">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9">
    <w:nsid w:val="1100636E"/>
    <w:multiLevelType w:val="hybridMultilevel"/>
    <w:tmpl w:val="524825B2"/>
    <w:lvl w:ilvl="0" w:tplc="04100011">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0">
    <w:nsid w:val="116164B1"/>
    <w:multiLevelType w:val="hybridMultilevel"/>
    <w:tmpl w:val="3C4CBCAC"/>
    <w:lvl w:ilvl="0" w:tplc="54FA500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4B807FB"/>
    <w:multiLevelType w:val="hybridMultilevel"/>
    <w:tmpl w:val="D0FAA906"/>
    <w:lvl w:ilvl="0" w:tplc="A1B651AE">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
    <w:nsid w:val="1758450A"/>
    <w:multiLevelType w:val="hybridMultilevel"/>
    <w:tmpl w:val="F46A2846"/>
    <w:lvl w:ilvl="0" w:tplc="659EC27E">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7A427EB"/>
    <w:multiLevelType w:val="hybridMultilevel"/>
    <w:tmpl w:val="30D25136"/>
    <w:lvl w:ilvl="0" w:tplc="04D0DD10">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7D20CEF"/>
    <w:multiLevelType w:val="hybridMultilevel"/>
    <w:tmpl w:val="7CB6E1A4"/>
    <w:lvl w:ilvl="0" w:tplc="D32A6AB2">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19F6287F"/>
    <w:multiLevelType w:val="hybridMultilevel"/>
    <w:tmpl w:val="9CDC345E"/>
    <w:lvl w:ilvl="0" w:tplc="A7F85FB0">
      <w:start w:val="1"/>
      <w:numFmt w:val="bullet"/>
      <w:lvlText w:val=""/>
      <w:lvlJc w:val="left"/>
      <w:pPr>
        <w:tabs>
          <w:tab w:val="num" w:pos="851"/>
        </w:tabs>
        <w:ind w:left="851" w:hanging="284"/>
      </w:pPr>
      <w:rPr>
        <w:rFonts w:ascii="Symbol" w:hAnsi="Symbol" w:hint="default"/>
        <w:color w:val="auto"/>
      </w:rPr>
    </w:lvl>
    <w:lvl w:ilvl="1" w:tplc="04100003" w:tentative="1">
      <w:start w:val="1"/>
      <w:numFmt w:val="bullet"/>
      <w:lvlText w:val="o"/>
      <w:lvlJc w:val="left"/>
      <w:pPr>
        <w:tabs>
          <w:tab w:val="num" w:pos="2149"/>
        </w:tabs>
        <w:ind w:left="2149" w:hanging="360"/>
      </w:pPr>
      <w:rPr>
        <w:rFonts w:ascii="Courier New" w:hAnsi="Courier New" w:cs="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cs="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cs="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16">
    <w:nsid w:val="1DE8074D"/>
    <w:multiLevelType w:val="hybridMultilevel"/>
    <w:tmpl w:val="81589D0C"/>
    <w:lvl w:ilvl="0" w:tplc="3FC84C66">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1FB06646"/>
    <w:multiLevelType w:val="hybridMultilevel"/>
    <w:tmpl w:val="B2DAE4A4"/>
    <w:lvl w:ilvl="0" w:tplc="23BEB20A">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35D5F00"/>
    <w:multiLevelType w:val="hybridMultilevel"/>
    <w:tmpl w:val="6DACF96C"/>
    <w:lvl w:ilvl="0" w:tplc="60D8ABA2">
      <w:start w:val="1"/>
      <w:numFmt w:val="decimal"/>
      <w:lvlText w:val="%1)"/>
      <w:lvlJc w:val="left"/>
      <w:pPr>
        <w:tabs>
          <w:tab w:val="num" w:pos="426"/>
        </w:tabs>
        <w:ind w:left="426" w:firstLine="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3D962AC"/>
    <w:multiLevelType w:val="hybridMultilevel"/>
    <w:tmpl w:val="797E333C"/>
    <w:lvl w:ilvl="0" w:tplc="CD52468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25212066"/>
    <w:multiLevelType w:val="hybridMultilevel"/>
    <w:tmpl w:val="485E95FC"/>
    <w:lvl w:ilvl="0" w:tplc="CFC8CCBA">
      <w:start w:val="1"/>
      <w:numFmt w:val="bullet"/>
      <w:lvlText w:val=""/>
      <w:lvlJc w:val="left"/>
      <w:pPr>
        <w:tabs>
          <w:tab w:val="num" w:pos="567"/>
        </w:tabs>
        <w:ind w:left="567" w:hanging="283"/>
      </w:pPr>
      <w:rPr>
        <w:rFonts w:ascii="Symbol" w:hAnsi="Symbol" w:hint="default"/>
        <w:b/>
        <w:i w:val="0"/>
        <w:color w:val="auto"/>
      </w:rPr>
    </w:lvl>
    <w:lvl w:ilvl="1" w:tplc="04100001">
      <w:start w:val="1"/>
      <w:numFmt w:val="bullet"/>
      <w:lvlText w:val=""/>
      <w:lvlJc w:val="left"/>
      <w:pPr>
        <w:tabs>
          <w:tab w:val="num" w:pos="2007"/>
        </w:tabs>
        <w:ind w:left="2007" w:hanging="360"/>
      </w:pPr>
      <w:rPr>
        <w:rFonts w:ascii="Symbol" w:hAnsi="Symbol" w:hint="default"/>
        <w:b/>
        <w:i w:val="0"/>
        <w:color w:val="auto"/>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254B5E8A"/>
    <w:multiLevelType w:val="hybridMultilevel"/>
    <w:tmpl w:val="81866D46"/>
    <w:lvl w:ilvl="0" w:tplc="A90A4EC8">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25C40BCE"/>
    <w:multiLevelType w:val="hybridMultilevel"/>
    <w:tmpl w:val="2C6CB3C4"/>
    <w:lvl w:ilvl="0" w:tplc="E99EE8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28366A76"/>
    <w:multiLevelType w:val="hybridMultilevel"/>
    <w:tmpl w:val="5CFEFA68"/>
    <w:lvl w:ilvl="0" w:tplc="F42A7B48">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08C2201"/>
    <w:multiLevelType w:val="hybridMultilevel"/>
    <w:tmpl w:val="3C18F15C"/>
    <w:lvl w:ilvl="0" w:tplc="D4FAF4A4">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328565D4"/>
    <w:multiLevelType w:val="multilevel"/>
    <w:tmpl w:val="51CEB4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759"/>
        </w:tabs>
        <w:ind w:left="1759" w:hanging="341"/>
      </w:pPr>
      <w:rPr>
        <w:rFonts w:ascii="Symbol" w:hAnsi="Symbol" w:hint="default"/>
        <w:b/>
        <w:i w:val="0"/>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400245C"/>
    <w:multiLevelType w:val="hybridMultilevel"/>
    <w:tmpl w:val="548CDFC2"/>
    <w:lvl w:ilvl="0" w:tplc="BDF63268">
      <w:start w:val="1"/>
      <w:numFmt w:val="decimal"/>
      <w:lvlText w:val="%1)"/>
      <w:lvlJc w:val="left"/>
      <w:pPr>
        <w:ind w:left="1004" w:hanging="360"/>
      </w:pPr>
      <w:rPr>
        <w:color w:val="auto"/>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7">
    <w:nsid w:val="36593B5F"/>
    <w:multiLevelType w:val="hybridMultilevel"/>
    <w:tmpl w:val="D972AD7E"/>
    <w:lvl w:ilvl="0" w:tplc="A7F85FB0">
      <w:start w:val="1"/>
      <w:numFmt w:val="bullet"/>
      <w:lvlText w:val=""/>
      <w:lvlJc w:val="left"/>
      <w:pPr>
        <w:ind w:left="1004" w:hanging="360"/>
      </w:pPr>
      <w:rPr>
        <w:rFonts w:ascii="Symbol" w:hAnsi="Symbol" w:hint="default"/>
        <w:color w:val="auto"/>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8">
    <w:nsid w:val="3BEC1221"/>
    <w:multiLevelType w:val="hybridMultilevel"/>
    <w:tmpl w:val="2F2E82CE"/>
    <w:lvl w:ilvl="0" w:tplc="36F250F6">
      <w:start w:val="1"/>
      <w:numFmt w:val="bullet"/>
      <w:pStyle w:val="puntielenco"/>
      <w:lvlText w:val=""/>
      <w:lvlJc w:val="left"/>
      <w:pPr>
        <w:tabs>
          <w:tab w:val="num" w:pos="719"/>
        </w:tabs>
        <w:ind w:left="719" w:hanging="360"/>
      </w:pPr>
      <w:rPr>
        <w:rFonts w:ascii="Symbol" w:hAnsi="Symbol" w:hint="default"/>
      </w:rPr>
    </w:lvl>
    <w:lvl w:ilvl="1" w:tplc="8CF296B8">
      <w:start w:val="1"/>
      <w:numFmt w:val="bullet"/>
      <w:lvlText w:val="•"/>
      <w:lvlJc w:val="left"/>
      <w:pPr>
        <w:tabs>
          <w:tab w:val="num" w:pos="1439"/>
        </w:tabs>
        <w:ind w:left="1439" w:hanging="360"/>
      </w:pPr>
      <w:rPr>
        <w:rFonts w:ascii="Times New Roman" w:hAnsi="Times New Roman" w:hint="default"/>
      </w:rPr>
    </w:lvl>
    <w:lvl w:ilvl="2" w:tplc="04100005" w:tentative="1">
      <w:start w:val="1"/>
      <w:numFmt w:val="bullet"/>
      <w:lvlText w:val=""/>
      <w:lvlJc w:val="left"/>
      <w:pPr>
        <w:tabs>
          <w:tab w:val="num" w:pos="2159"/>
        </w:tabs>
        <w:ind w:left="2159" w:hanging="360"/>
      </w:pPr>
      <w:rPr>
        <w:rFonts w:ascii="Wingdings" w:hAnsi="Wingdings" w:hint="default"/>
      </w:rPr>
    </w:lvl>
    <w:lvl w:ilvl="3" w:tplc="04100001" w:tentative="1">
      <w:start w:val="1"/>
      <w:numFmt w:val="bullet"/>
      <w:lvlText w:val=""/>
      <w:lvlJc w:val="left"/>
      <w:pPr>
        <w:tabs>
          <w:tab w:val="num" w:pos="2879"/>
        </w:tabs>
        <w:ind w:left="2879" w:hanging="360"/>
      </w:pPr>
      <w:rPr>
        <w:rFonts w:ascii="Symbol" w:hAnsi="Symbol" w:hint="default"/>
      </w:rPr>
    </w:lvl>
    <w:lvl w:ilvl="4" w:tplc="04100003" w:tentative="1">
      <w:start w:val="1"/>
      <w:numFmt w:val="bullet"/>
      <w:lvlText w:val="o"/>
      <w:lvlJc w:val="left"/>
      <w:pPr>
        <w:tabs>
          <w:tab w:val="num" w:pos="3599"/>
        </w:tabs>
        <w:ind w:left="3599" w:hanging="360"/>
      </w:pPr>
      <w:rPr>
        <w:rFonts w:ascii="Courier New" w:hAnsi="Courier New" w:cs="Courier New" w:hint="default"/>
      </w:rPr>
    </w:lvl>
    <w:lvl w:ilvl="5" w:tplc="04100005" w:tentative="1">
      <w:start w:val="1"/>
      <w:numFmt w:val="bullet"/>
      <w:lvlText w:val=""/>
      <w:lvlJc w:val="left"/>
      <w:pPr>
        <w:tabs>
          <w:tab w:val="num" w:pos="4319"/>
        </w:tabs>
        <w:ind w:left="4319" w:hanging="360"/>
      </w:pPr>
      <w:rPr>
        <w:rFonts w:ascii="Wingdings" w:hAnsi="Wingdings" w:hint="default"/>
      </w:rPr>
    </w:lvl>
    <w:lvl w:ilvl="6" w:tplc="04100001" w:tentative="1">
      <w:start w:val="1"/>
      <w:numFmt w:val="bullet"/>
      <w:lvlText w:val=""/>
      <w:lvlJc w:val="left"/>
      <w:pPr>
        <w:tabs>
          <w:tab w:val="num" w:pos="5039"/>
        </w:tabs>
        <w:ind w:left="5039" w:hanging="360"/>
      </w:pPr>
      <w:rPr>
        <w:rFonts w:ascii="Symbol" w:hAnsi="Symbol" w:hint="default"/>
      </w:rPr>
    </w:lvl>
    <w:lvl w:ilvl="7" w:tplc="04100003" w:tentative="1">
      <w:start w:val="1"/>
      <w:numFmt w:val="bullet"/>
      <w:lvlText w:val="o"/>
      <w:lvlJc w:val="left"/>
      <w:pPr>
        <w:tabs>
          <w:tab w:val="num" w:pos="5759"/>
        </w:tabs>
        <w:ind w:left="5759" w:hanging="360"/>
      </w:pPr>
      <w:rPr>
        <w:rFonts w:ascii="Courier New" w:hAnsi="Courier New" w:cs="Courier New" w:hint="default"/>
      </w:rPr>
    </w:lvl>
    <w:lvl w:ilvl="8" w:tplc="04100005" w:tentative="1">
      <w:start w:val="1"/>
      <w:numFmt w:val="bullet"/>
      <w:lvlText w:val=""/>
      <w:lvlJc w:val="left"/>
      <w:pPr>
        <w:tabs>
          <w:tab w:val="num" w:pos="6479"/>
        </w:tabs>
        <w:ind w:left="6479" w:hanging="360"/>
      </w:pPr>
      <w:rPr>
        <w:rFonts w:ascii="Wingdings" w:hAnsi="Wingdings" w:hint="default"/>
      </w:rPr>
    </w:lvl>
  </w:abstractNum>
  <w:abstractNum w:abstractNumId="29">
    <w:nsid w:val="3E8D5653"/>
    <w:multiLevelType w:val="hybridMultilevel"/>
    <w:tmpl w:val="CFFEC98A"/>
    <w:lvl w:ilvl="0" w:tplc="DB6C731A">
      <w:start w:val="1"/>
      <w:numFmt w:val="decimal"/>
      <w:lvlText w:val="%1)"/>
      <w:lvlJc w:val="left"/>
      <w:pPr>
        <w:tabs>
          <w:tab w:val="num" w:pos="426"/>
        </w:tabs>
        <w:ind w:left="426" w:firstLine="0"/>
      </w:pPr>
      <w:rPr>
        <w:rFonts w:hint="default"/>
      </w:rPr>
    </w:lvl>
    <w:lvl w:ilvl="1" w:tplc="04100019" w:tentative="1">
      <w:start w:val="1"/>
      <w:numFmt w:val="lowerLetter"/>
      <w:lvlText w:val="%2."/>
      <w:lvlJc w:val="left"/>
      <w:pPr>
        <w:tabs>
          <w:tab w:val="num" w:pos="1506"/>
        </w:tabs>
        <w:ind w:left="1506" w:hanging="360"/>
      </w:p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30">
    <w:nsid w:val="3F0E3DBC"/>
    <w:multiLevelType w:val="hybridMultilevel"/>
    <w:tmpl w:val="08FE5FFA"/>
    <w:lvl w:ilvl="0" w:tplc="75162AC8">
      <w:start w:val="1"/>
      <w:numFmt w:val="decimal"/>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43031CE6"/>
    <w:multiLevelType w:val="hybridMultilevel"/>
    <w:tmpl w:val="EF843C66"/>
    <w:lvl w:ilvl="0" w:tplc="8E2E01B4">
      <w:start w:val="1"/>
      <w:numFmt w:val="decimal"/>
      <w:lvlText w:val="%1)"/>
      <w:lvlJc w:val="left"/>
      <w:pPr>
        <w:ind w:left="644" w:hanging="360"/>
      </w:pPr>
      <w:rPr>
        <w:rFonts w:hint="default"/>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nsid w:val="45523013"/>
    <w:multiLevelType w:val="hybridMultilevel"/>
    <w:tmpl w:val="100C13CE"/>
    <w:lvl w:ilvl="0" w:tplc="8174DD68">
      <w:start w:val="1"/>
      <w:numFmt w:val="decimal"/>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48D96891"/>
    <w:multiLevelType w:val="hybridMultilevel"/>
    <w:tmpl w:val="97C8824C"/>
    <w:lvl w:ilvl="0" w:tplc="01E0599C">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4BEA2723"/>
    <w:multiLevelType w:val="hybridMultilevel"/>
    <w:tmpl w:val="397EEB74"/>
    <w:lvl w:ilvl="0" w:tplc="760C2A76">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4CB5719F"/>
    <w:multiLevelType w:val="hybridMultilevel"/>
    <w:tmpl w:val="534CE498"/>
    <w:lvl w:ilvl="0" w:tplc="9E1E5E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4DAA3425"/>
    <w:multiLevelType w:val="hybridMultilevel"/>
    <w:tmpl w:val="34D89D3E"/>
    <w:lvl w:ilvl="0" w:tplc="742A0FA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4E722712"/>
    <w:multiLevelType w:val="hybridMultilevel"/>
    <w:tmpl w:val="32FC66B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4FA24AC7"/>
    <w:multiLevelType w:val="hybridMultilevel"/>
    <w:tmpl w:val="05F4D9E6"/>
    <w:lvl w:ilvl="0" w:tplc="F5A2EF2A">
      <w:start w:val="1"/>
      <w:numFmt w:val="decimal"/>
      <w:lvlText w:val="%1)"/>
      <w:lvlJc w:val="left"/>
      <w:pPr>
        <w:tabs>
          <w:tab w:val="num" w:pos="426"/>
        </w:tabs>
        <w:ind w:left="426"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51FD16EE"/>
    <w:multiLevelType w:val="hybridMultilevel"/>
    <w:tmpl w:val="36EEA470"/>
    <w:lvl w:ilvl="0" w:tplc="EACAFABE">
      <w:start w:val="1"/>
      <w:numFmt w:val="decimal"/>
      <w:lvlText w:val="%1)"/>
      <w:lvlJc w:val="left"/>
      <w:pPr>
        <w:ind w:left="1004" w:hanging="360"/>
      </w:pPr>
      <w:rPr>
        <w:color w:val="auto"/>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0">
    <w:nsid w:val="557248B3"/>
    <w:multiLevelType w:val="hybridMultilevel"/>
    <w:tmpl w:val="7E760F6E"/>
    <w:lvl w:ilvl="0" w:tplc="658651A4">
      <w:start w:val="1"/>
      <w:numFmt w:val="bullet"/>
      <w:lvlText w:val="-"/>
      <w:lvlJc w:val="left"/>
      <w:pPr>
        <w:ind w:left="1287" w:hanging="360"/>
      </w:pPr>
      <w:rPr>
        <w:rFonts w:ascii="Garamond" w:eastAsia="Times New Roman" w:hAnsi="Garamond" w:cs="Times New Roman" w:hint="default"/>
        <w:b/>
        <w:i w:val="0"/>
        <w:color w:val="800000"/>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1">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56FA6CEA"/>
    <w:multiLevelType w:val="hybridMultilevel"/>
    <w:tmpl w:val="4494322A"/>
    <w:lvl w:ilvl="0" w:tplc="9D763A2A">
      <w:start w:val="1"/>
      <w:numFmt w:val="decimal"/>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59F54D61"/>
    <w:multiLevelType w:val="hybridMultilevel"/>
    <w:tmpl w:val="7C1239A4"/>
    <w:lvl w:ilvl="0" w:tplc="1AC0C17E">
      <w:start w:val="1"/>
      <w:numFmt w:val="decimal"/>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5A7A52B5"/>
    <w:multiLevelType w:val="hybridMultilevel"/>
    <w:tmpl w:val="419C8260"/>
    <w:lvl w:ilvl="0" w:tplc="0410000B">
      <w:start w:val="1"/>
      <w:numFmt w:val="bullet"/>
      <w:lvlText w:val=""/>
      <w:lvlJc w:val="left"/>
      <w:pPr>
        <w:tabs>
          <w:tab w:val="num" w:pos="1004"/>
        </w:tabs>
        <w:ind w:left="1004" w:hanging="360"/>
      </w:pPr>
      <w:rPr>
        <w:rFonts w:ascii="Wingdings" w:hAnsi="Wingdings"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45">
    <w:nsid w:val="5BC024E1"/>
    <w:multiLevelType w:val="hybridMultilevel"/>
    <w:tmpl w:val="7FE4D75E"/>
    <w:lvl w:ilvl="0" w:tplc="DA7C8498">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5E42593B"/>
    <w:multiLevelType w:val="hybridMultilevel"/>
    <w:tmpl w:val="960AA7A4"/>
    <w:lvl w:ilvl="0" w:tplc="E9446200">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5E564F80"/>
    <w:multiLevelType w:val="hybridMultilevel"/>
    <w:tmpl w:val="3D24F458"/>
    <w:lvl w:ilvl="0" w:tplc="5BCC11C2">
      <w:start w:val="1"/>
      <w:numFmt w:val="decimal"/>
      <w:lvlText w:val="%1)"/>
      <w:lvlJc w:val="left"/>
      <w:pPr>
        <w:tabs>
          <w:tab w:val="num" w:pos="426"/>
        </w:tabs>
        <w:ind w:left="426" w:firstLine="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5FCA15D0"/>
    <w:multiLevelType w:val="hybridMultilevel"/>
    <w:tmpl w:val="984633CA"/>
    <w:lvl w:ilvl="0" w:tplc="1352B3DC">
      <w:start w:val="1"/>
      <w:numFmt w:val="decimal"/>
      <w:lvlText w:val="%1)"/>
      <w:lvlJc w:val="left"/>
      <w:pPr>
        <w:ind w:left="720" w:hanging="360"/>
      </w:pPr>
      <w:rPr>
        <w:rFont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620F2B1E"/>
    <w:multiLevelType w:val="hybridMultilevel"/>
    <w:tmpl w:val="C278249A"/>
    <w:lvl w:ilvl="0" w:tplc="B55E5B80">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624F4AA6"/>
    <w:multiLevelType w:val="hybridMultilevel"/>
    <w:tmpl w:val="20027616"/>
    <w:lvl w:ilvl="0" w:tplc="C0FAF344">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nsid w:val="62FC2560"/>
    <w:multiLevelType w:val="hybridMultilevel"/>
    <w:tmpl w:val="172C7A12"/>
    <w:lvl w:ilvl="0" w:tplc="7CCE4D96">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63004BD9"/>
    <w:multiLevelType w:val="hybridMultilevel"/>
    <w:tmpl w:val="1BA26B56"/>
    <w:lvl w:ilvl="0" w:tplc="293437BC">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656A70B6"/>
    <w:multiLevelType w:val="hybridMultilevel"/>
    <w:tmpl w:val="8744D0AC"/>
    <w:lvl w:ilvl="0" w:tplc="48DC8E18">
      <w:start w:val="1"/>
      <w:numFmt w:val="decimal"/>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55">
    <w:nsid w:val="6E841DA1"/>
    <w:multiLevelType w:val="hybridMultilevel"/>
    <w:tmpl w:val="CDA0023A"/>
    <w:lvl w:ilvl="0" w:tplc="59F45588">
      <w:start w:val="1"/>
      <w:numFmt w:val="decimal"/>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nsid w:val="703866BC"/>
    <w:multiLevelType w:val="hybridMultilevel"/>
    <w:tmpl w:val="1CA67BD8"/>
    <w:lvl w:ilvl="0" w:tplc="A61C2F6E">
      <w:start w:val="1"/>
      <w:numFmt w:val="decimal"/>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712864A6"/>
    <w:multiLevelType w:val="hybridMultilevel"/>
    <w:tmpl w:val="A6940BA8"/>
    <w:lvl w:ilvl="0" w:tplc="9E48D150">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755C0C91"/>
    <w:multiLevelType w:val="hybridMultilevel"/>
    <w:tmpl w:val="C48485A6"/>
    <w:lvl w:ilvl="0" w:tplc="9A82FE7C">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nsid w:val="768F14D2"/>
    <w:multiLevelType w:val="hybridMultilevel"/>
    <w:tmpl w:val="1CBEEB78"/>
    <w:lvl w:ilvl="0" w:tplc="F60CE100">
      <w:start w:val="1"/>
      <w:numFmt w:val="decimal"/>
      <w:lvlText w:val="%1)"/>
      <w:lvlJc w:val="left"/>
      <w:pPr>
        <w:ind w:left="644" w:hanging="360"/>
      </w:pPr>
      <w:rPr>
        <w:rFonts w:hint="default"/>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0">
    <w:nsid w:val="784829D3"/>
    <w:multiLevelType w:val="hybridMultilevel"/>
    <w:tmpl w:val="94BA3C3E"/>
    <w:lvl w:ilvl="0" w:tplc="62167BC4">
      <w:start w:val="1"/>
      <w:numFmt w:val="bullet"/>
      <w:pStyle w:val="Testo"/>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2007"/>
        </w:tabs>
        <w:ind w:left="2007" w:hanging="360"/>
      </w:pPr>
      <w:rPr>
        <w:rFonts w:ascii="Courier New" w:hAnsi="Courier New" w:cs="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cs="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cs="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61">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abstractNum w:abstractNumId="62">
    <w:nsid w:val="78DA0D14"/>
    <w:multiLevelType w:val="hybridMultilevel"/>
    <w:tmpl w:val="FB161BBA"/>
    <w:lvl w:ilvl="0" w:tplc="0366D46E">
      <w:start w:val="1"/>
      <w:numFmt w:val="decimal"/>
      <w:lvlText w:val="%1)"/>
      <w:lvlJc w:val="left"/>
      <w:pPr>
        <w:ind w:left="100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7E6951C6"/>
    <w:multiLevelType w:val="hybridMultilevel"/>
    <w:tmpl w:val="A0F8E490"/>
    <w:lvl w:ilvl="0" w:tplc="4CCA652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nsid w:val="7E6C3A1D"/>
    <w:multiLevelType w:val="hybridMultilevel"/>
    <w:tmpl w:val="74E6FA12"/>
    <w:lvl w:ilvl="0" w:tplc="0410000B">
      <w:start w:val="1"/>
      <w:numFmt w:val="bullet"/>
      <w:lvlText w:val=""/>
      <w:lvlJc w:val="left"/>
      <w:pPr>
        <w:tabs>
          <w:tab w:val="num" w:pos="1004"/>
        </w:tabs>
        <w:ind w:left="1004" w:hanging="360"/>
      </w:pPr>
      <w:rPr>
        <w:rFonts w:ascii="Wingdings" w:hAnsi="Wingdings"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num w:numId="1">
    <w:abstractNumId w:val="54"/>
  </w:num>
  <w:num w:numId="2">
    <w:abstractNumId w:val="8"/>
  </w:num>
  <w:num w:numId="3">
    <w:abstractNumId w:val="0"/>
  </w:num>
  <w:num w:numId="4">
    <w:abstractNumId w:val="61"/>
  </w:num>
  <w:num w:numId="5">
    <w:abstractNumId w:val="4"/>
  </w:num>
  <w:num w:numId="6">
    <w:abstractNumId w:val="60"/>
  </w:num>
  <w:num w:numId="7">
    <w:abstractNumId w:val="28"/>
  </w:num>
  <w:num w:numId="8">
    <w:abstractNumId w:val="25"/>
  </w:num>
  <w:num w:numId="9">
    <w:abstractNumId w:val="15"/>
  </w:num>
  <w:num w:numId="10">
    <w:abstractNumId w:val="20"/>
  </w:num>
  <w:num w:numId="11">
    <w:abstractNumId w:val="7"/>
  </w:num>
  <w:num w:numId="12">
    <w:abstractNumId w:val="44"/>
  </w:num>
  <w:num w:numId="13">
    <w:abstractNumId w:val="64"/>
  </w:num>
  <w:num w:numId="14">
    <w:abstractNumId w:val="40"/>
  </w:num>
  <w:num w:numId="15">
    <w:abstractNumId w:val="27"/>
  </w:num>
  <w:num w:numId="16">
    <w:abstractNumId w:val="11"/>
  </w:num>
  <w:num w:numId="17">
    <w:abstractNumId w:val="41"/>
  </w:num>
  <w:num w:numId="18">
    <w:abstractNumId w:val="29"/>
  </w:num>
  <w:num w:numId="19">
    <w:abstractNumId w:val="26"/>
  </w:num>
  <w:num w:numId="20">
    <w:abstractNumId w:val="18"/>
  </w:num>
  <w:num w:numId="21">
    <w:abstractNumId w:val="12"/>
  </w:num>
  <w:num w:numId="22">
    <w:abstractNumId w:val="48"/>
  </w:num>
  <w:num w:numId="23">
    <w:abstractNumId w:val="39"/>
  </w:num>
  <w:num w:numId="24">
    <w:abstractNumId w:val="37"/>
  </w:num>
  <w:num w:numId="25">
    <w:abstractNumId w:val="1"/>
  </w:num>
  <w:num w:numId="26">
    <w:abstractNumId w:val="5"/>
  </w:num>
  <w:num w:numId="27">
    <w:abstractNumId w:val="9"/>
  </w:num>
  <w:num w:numId="28">
    <w:abstractNumId w:val="38"/>
  </w:num>
  <w:num w:numId="29">
    <w:abstractNumId w:val="62"/>
  </w:num>
  <w:num w:numId="30">
    <w:abstractNumId w:val="52"/>
  </w:num>
  <w:num w:numId="31">
    <w:abstractNumId w:val="21"/>
  </w:num>
  <w:num w:numId="32">
    <w:abstractNumId w:val="46"/>
  </w:num>
  <w:num w:numId="33">
    <w:abstractNumId w:val="13"/>
  </w:num>
  <w:num w:numId="34">
    <w:abstractNumId w:val="14"/>
  </w:num>
  <w:num w:numId="35">
    <w:abstractNumId w:val="42"/>
  </w:num>
  <w:num w:numId="36">
    <w:abstractNumId w:val="33"/>
  </w:num>
  <w:num w:numId="37">
    <w:abstractNumId w:val="24"/>
  </w:num>
  <w:num w:numId="38">
    <w:abstractNumId w:val="50"/>
  </w:num>
  <w:num w:numId="39">
    <w:abstractNumId w:val="63"/>
  </w:num>
  <w:num w:numId="40">
    <w:abstractNumId w:val="31"/>
  </w:num>
  <w:num w:numId="41">
    <w:abstractNumId w:val="59"/>
  </w:num>
  <w:num w:numId="42">
    <w:abstractNumId w:val="57"/>
  </w:num>
  <w:num w:numId="43">
    <w:abstractNumId w:val="49"/>
  </w:num>
  <w:num w:numId="44">
    <w:abstractNumId w:val="51"/>
  </w:num>
  <w:num w:numId="45">
    <w:abstractNumId w:val="45"/>
  </w:num>
  <w:num w:numId="46">
    <w:abstractNumId w:val="34"/>
  </w:num>
  <w:num w:numId="47">
    <w:abstractNumId w:val="58"/>
  </w:num>
  <w:num w:numId="48">
    <w:abstractNumId w:val="3"/>
  </w:num>
  <w:num w:numId="49">
    <w:abstractNumId w:val="19"/>
  </w:num>
  <w:num w:numId="50">
    <w:abstractNumId w:val="22"/>
  </w:num>
  <w:num w:numId="51">
    <w:abstractNumId w:val="35"/>
  </w:num>
  <w:num w:numId="52">
    <w:abstractNumId w:val="10"/>
  </w:num>
  <w:num w:numId="53">
    <w:abstractNumId w:val="36"/>
  </w:num>
  <w:num w:numId="54">
    <w:abstractNumId w:val="47"/>
  </w:num>
  <w:num w:numId="55">
    <w:abstractNumId w:val="23"/>
  </w:num>
  <w:num w:numId="56">
    <w:abstractNumId w:val="6"/>
  </w:num>
  <w:num w:numId="57">
    <w:abstractNumId w:val="17"/>
  </w:num>
  <w:num w:numId="58">
    <w:abstractNumId w:val="16"/>
  </w:num>
  <w:num w:numId="59">
    <w:abstractNumId w:val="56"/>
  </w:num>
  <w:num w:numId="60">
    <w:abstractNumId w:val="53"/>
  </w:num>
  <w:num w:numId="61">
    <w:abstractNumId w:val="55"/>
  </w:num>
  <w:num w:numId="62">
    <w:abstractNumId w:val="43"/>
  </w:num>
  <w:num w:numId="63">
    <w:abstractNumId w:val="32"/>
  </w:num>
  <w:num w:numId="64">
    <w:abstractNumId w:val="2"/>
  </w:num>
  <w:num w:numId="65">
    <w:abstractNumId w:val="30"/>
  </w:num>
  <w:num w:numId="66">
    <w:abstractNumId w:val="61"/>
  </w:num>
  <w:num w:numId="67">
    <w:abstractNumId w:val="61"/>
  </w:num>
  <w:num w:numId="68">
    <w:abstractNumId w:val="61"/>
  </w:num>
  <w:num w:numId="69">
    <w:abstractNumId w:val="61"/>
  </w:num>
  <w:num w:numId="70">
    <w:abstractNumId w:val="6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embedTrueTypeFonts/>
  <w:activeWritingStyle w:appName="MSWord" w:lang="it-IT" w:vendorID="3" w:dllVersion="517"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13313"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EA1"/>
    <w:rsid w:val="000000F8"/>
    <w:rsid w:val="00000727"/>
    <w:rsid w:val="00000C62"/>
    <w:rsid w:val="000011A6"/>
    <w:rsid w:val="00001434"/>
    <w:rsid w:val="00001509"/>
    <w:rsid w:val="00001E93"/>
    <w:rsid w:val="0000283B"/>
    <w:rsid w:val="00002C47"/>
    <w:rsid w:val="00003131"/>
    <w:rsid w:val="00004AE1"/>
    <w:rsid w:val="00004BCB"/>
    <w:rsid w:val="000054D9"/>
    <w:rsid w:val="000058AB"/>
    <w:rsid w:val="000066A3"/>
    <w:rsid w:val="00006976"/>
    <w:rsid w:val="000075EE"/>
    <w:rsid w:val="00010A75"/>
    <w:rsid w:val="00011373"/>
    <w:rsid w:val="00011513"/>
    <w:rsid w:val="00011853"/>
    <w:rsid w:val="00012F8D"/>
    <w:rsid w:val="00013BAF"/>
    <w:rsid w:val="00013E22"/>
    <w:rsid w:val="000140E6"/>
    <w:rsid w:val="00015256"/>
    <w:rsid w:val="000159AE"/>
    <w:rsid w:val="000166DD"/>
    <w:rsid w:val="00016F7E"/>
    <w:rsid w:val="000171E4"/>
    <w:rsid w:val="00020112"/>
    <w:rsid w:val="00020181"/>
    <w:rsid w:val="000205D4"/>
    <w:rsid w:val="0002073D"/>
    <w:rsid w:val="00020AD2"/>
    <w:rsid w:val="00020CEE"/>
    <w:rsid w:val="000216FC"/>
    <w:rsid w:val="000219C6"/>
    <w:rsid w:val="00021AAD"/>
    <w:rsid w:val="000222D2"/>
    <w:rsid w:val="0002258A"/>
    <w:rsid w:val="00022643"/>
    <w:rsid w:val="00022655"/>
    <w:rsid w:val="00022AC3"/>
    <w:rsid w:val="000238A9"/>
    <w:rsid w:val="00025670"/>
    <w:rsid w:val="00026767"/>
    <w:rsid w:val="00027378"/>
    <w:rsid w:val="00027437"/>
    <w:rsid w:val="00027A5F"/>
    <w:rsid w:val="00027C77"/>
    <w:rsid w:val="00030586"/>
    <w:rsid w:val="0003076C"/>
    <w:rsid w:val="00030CEA"/>
    <w:rsid w:val="00030E8B"/>
    <w:rsid w:val="00031017"/>
    <w:rsid w:val="000314BF"/>
    <w:rsid w:val="00031506"/>
    <w:rsid w:val="000315F9"/>
    <w:rsid w:val="0003257F"/>
    <w:rsid w:val="000340C6"/>
    <w:rsid w:val="00034E07"/>
    <w:rsid w:val="00035B0E"/>
    <w:rsid w:val="000370B5"/>
    <w:rsid w:val="000371E6"/>
    <w:rsid w:val="00037274"/>
    <w:rsid w:val="000374D4"/>
    <w:rsid w:val="00037865"/>
    <w:rsid w:val="00037E74"/>
    <w:rsid w:val="00040A5F"/>
    <w:rsid w:val="00040C0E"/>
    <w:rsid w:val="00040C11"/>
    <w:rsid w:val="00040CAA"/>
    <w:rsid w:val="000412CB"/>
    <w:rsid w:val="00041995"/>
    <w:rsid w:val="00041E0B"/>
    <w:rsid w:val="00041F96"/>
    <w:rsid w:val="0004239A"/>
    <w:rsid w:val="00044E8B"/>
    <w:rsid w:val="0004628E"/>
    <w:rsid w:val="0004635C"/>
    <w:rsid w:val="000466DF"/>
    <w:rsid w:val="00046BD7"/>
    <w:rsid w:val="00046DB7"/>
    <w:rsid w:val="00046F26"/>
    <w:rsid w:val="000473BA"/>
    <w:rsid w:val="000476D3"/>
    <w:rsid w:val="00047808"/>
    <w:rsid w:val="000478E8"/>
    <w:rsid w:val="00047FE9"/>
    <w:rsid w:val="00050009"/>
    <w:rsid w:val="00050E17"/>
    <w:rsid w:val="0005109A"/>
    <w:rsid w:val="0005144E"/>
    <w:rsid w:val="00052318"/>
    <w:rsid w:val="00052421"/>
    <w:rsid w:val="0005270D"/>
    <w:rsid w:val="000528E8"/>
    <w:rsid w:val="000531B1"/>
    <w:rsid w:val="00053217"/>
    <w:rsid w:val="000534AC"/>
    <w:rsid w:val="00053D3C"/>
    <w:rsid w:val="00054773"/>
    <w:rsid w:val="00054A2C"/>
    <w:rsid w:val="0005558A"/>
    <w:rsid w:val="00055845"/>
    <w:rsid w:val="00055B65"/>
    <w:rsid w:val="0005697D"/>
    <w:rsid w:val="00057B73"/>
    <w:rsid w:val="00057D11"/>
    <w:rsid w:val="00060160"/>
    <w:rsid w:val="00060316"/>
    <w:rsid w:val="000605D1"/>
    <w:rsid w:val="000614CF"/>
    <w:rsid w:val="00061AB2"/>
    <w:rsid w:val="00061CF4"/>
    <w:rsid w:val="00063D88"/>
    <w:rsid w:val="00064FAA"/>
    <w:rsid w:val="000652EC"/>
    <w:rsid w:val="00065844"/>
    <w:rsid w:val="000668BE"/>
    <w:rsid w:val="00066AEA"/>
    <w:rsid w:val="00067062"/>
    <w:rsid w:val="000679BA"/>
    <w:rsid w:val="0007005E"/>
    <w:rsid w:val="0007178E"/>
    <w:rsid w:val="000717EC"/>
    <w:rsid w:val="00071CD3"/>
    <w:rsid w:val="00071EB7"/>
    <w:rsid w:val="00072034"/>
    <w:rsid w:val="0007214B"/>
    <w:rsid w:val="00072617"/>
    <w:rsid w:val="00073D28"/>
    <w:rsid w:val="00073FAE"/>
    <w:rsid w:val="00075622"/>
    <w:rsid w:val="00075C01"/>
    <w:rsid w:val="00075D3C"/>
    <w:rsid w:val="000766D5"/>
    <w:rsid w:val="000768D3"/>
    <w:rsid w:val="00076997"/>
    <w:rsid w:val="0007765B"/>
    <w:rsid w:val="00080360"/>
    <w:rsid w:val="00080D76"/>
    <w:rsid w:val="000815AB"/>
    <w:rsid w:val="00081669"/>
    <w:rsid w:val="00081B01"/>
    <w:rsid w:val="00081F08"/>
    <w:rsid w:val="00081FA0"/>
    <w:rsid w:val="00082B98"/>
    <w:rsid w:val="00082F96"/>
    <w:rsid w:val="000833AC"/>
    <w:rsid w:val="000833B3"/>
    <w:rsid w:val="00083736"/>
    <w:rsid w:val="0008408D"/>
    <w:rsid w:val="0008434A"/>
    <w:rsid w:val="00084EDD"/>
    <w:rsid w:val="00085C78"/>
    <w:rsid w:val="00085F56"/>
    <w:rsid w:val="0008616F"/>
    <w:rsid w:val="000861D4"/>
    <w:rsid w:val="000863B1"/>
    <w:rsid w:val="000867E3"/>
    <w:rsid w:val="000905E2"/>
    <w:rsid w:val="00090F5B"/>
    <w:rsid w:val="00091BC5"/>
    <w:rsid w:val="0009239F"/>
    <w:rsid w:val="00092705"/>
    <w:rsid w:val="0009302D"/>
    <w:rsid w:val="000930BE"/>
    <w:rsid w:val="00093CFA"/>
    <w:rsid w:val="00094B71"/>
    <w:rsid w:val="0009648F"/>
    <w:rsid w:val="0009756B"/>
    <w:rsid w:val="00097B41"/>
    <w:rsid w:val="000A01C7"/>
    <w:rsid w:val="000A0518"/>
    <w:rsid w:val="000A09DC"/>
    <w:rsid w:val="000A0D53"/>
    <w:rsid w:val="000A10C0"/>
    <w:rsid w:val="000A1AA1"/>
    <w:rsid w:val="000A210C"/>
    <w:rsid w:val="000A223A"/>
    <w:rsid w:val="000A3432"/>
    <w:rsid w:val="000A3490"/>
    <w:rsid w:val="000A3ACC"/>
    <w:rsid w:val="000A3BAA"/>
    <w:rsid w:val="000A44C7"/>
    <w:rsid w:val="000A460D"/>
    <w:rsid w:val="000A48AB"/>
    <w:rsid w:val="000A55CE"/>
    <w:rsid w:val="000A56E9"/>
    <w:rsid w:val="000A57EC"/>
    <w:rsid w:val="000A6FB0"/>
    <w:rsid w:val="000A71E1"/>
    <w:rsid w:val="000A7579"/>
    <w:rsid w:val="000A7864"/>
    <w:rsid w:val="000B0206"/>
    <w:rsid w:val="000B0573"/>
    <w:rsid w:val="000B06AE"/>
    <w:rsid w:val="000B071F"/>
    <w:rsid w:val="000B08CC"/>
    <w:rsid w:val="000B0B4F"/>
    <w:rsid w:val="000B0B6C"/>
    <w:rsid w:val="000B0EDC"/>
    <w:rsid w:val="000B2065"/>
    <w:rsid w:val="000B2690"/>
    <w:rsid w:val="000B29B6"/>
    <w:rsid w:val="000B2A8E"/>
    <w:rsid w:val="000B3065"/>
    <w:rsid w:val="000B33A8"/>
    <w:rsid w:val="000B33EF"/>
    <w:rsid w:val="000B3D90"/>
    <w:rsid w:val="000B3FAE"/>
    <w:rsid w:val="000B457C"/>
    <w:rsid w:val="000B4B41"/>
    <w:rsid w:val="000B51EF"/>
    <w:rsid w:val="000B6AD3"/>
    <w:rsid w:val="000B6CA3"/>
    <w:rsid w:val="000B785D"/>
    <w:rsid w:val="000B7A64"/>
    <w:rsid w:val="000B7D85"/>
    <w:rsid w:val="000C0B51"/>
    <w:rsid w:val="000C0E42"/>
    <w:rsid w:val="000C1144"/>
    <w:rsid w:val="000C2BFB"/>
    <w:rsid w:val="000C4A12"/>
    <w:rsid w:val="000C4A4B"/>
    <w:rsid w:val="000C4AA8"/>
    <w:rsid w:val="000C51C7"/>
    <w:rsid w:val="000C5601"/>
    <w:rsid w:val="000C6811"/>
    <w:rsid w:val="000C7136"/>
    <w:rsid w:val="000D03BE"/>
    <w:rsid w:val="000D06F4"/>
    <w:rsid w:val="000D0CFD"/>
    <w:rsid w:val="000D1B0C"/>
    <w:rsid w:val="000D21DB"/>
    <w:rsid w:val="000D2DF5"/>
    <w:rsid w:val="000D31E3"/>
    <w:rsid w:val="000D3A5F"/>
    <w:rsid w:val="000D3AC9"/>
    <w:rsid w:val="000D3FC2"/>
    <w:rsid w:val="000D4670"/>
    <w:rsid w:val="000D4799"/>
    <w:rsid w:val="000D4949"/>
    <w:rsid w:val="000D4F08"/>
    <w:rsid w:val="000D6865"/>
    <w:rsid w:val="000D6980"/>
    <w:rsid w:val="000D7E1D"/>
    <w:rsid w:val="000E0AA1"/>
    <w:rsid w:val="000E1149"/>
    <w:rsid w:val="000E16BE"/>
    <w:rsid w:val="000E1FDD"/>
    <w:rsid w:val="000E2228"/>
    <w:rsid w:val="000E2F56"/>
    <w:rsid w:val="000E37EC"/>
    <w:rsid w:val="000E3859"/>
    <w:rsid w:val="000E3D12"/>
    <w:rsid w:val="000E4136"/>
    <w:rsid w:val="000E430F"/>
    <w:rsid w:val="000E4FA1"/>
    <w:rsid w:val="000E5C94"/>
    <w:rsid w:val="000E61C5"/>
    <w:rsid w:val="000E6777"/>
    <w:rsid w:val="000E6C91"/>
    <w:rsid w:val="000E6EFA"/>
    <w:rsid w:val="000E70BC"/>
    <w:rsid w:val="000E7858"/>
    <w:rsid w:val="000E7BF2"/>
    <w:rsid w:val="000E7DC0"/>
    <w:rsid w:val="000F0C6F"/>
    <w:rsid w:val="000F12E6"/>
    <w:rsid w:val="000F1702"/>
    <w:rsid w:val="000F298F"/>
    <w:rsid w:val="000F2AC1"/>
    <w:rsid w:val="000F2ADB"/>
    <w:rsid w:val="000F3F49"/>
    <w:rsid w:val="000F54C3"/>
    <w:rsid w:val="000F5917"/>
    <w:rsid w:val="000F594E"/>
    <w:rsid w:val="000F5D33"/>
    <w:rsid w:val="000F71AB"/>
    <w:rsid w:val="000F7407"/>
    <w:rsid w:val="000F7A58"/>
    <w:rsid w:val="000F7E7B"/>
    <w:rsid w:val="00100677"/>
    <w:rsid w:val="001008A3"/>
    <w:rsid w:val="0010105A"/>
    <w:rsid w:val="0010128A"/>
    <w:rsid w:val="001030B8"/>
    <w:rsid w:val="001033C1"/>
    <w:rsid w:val="00104229"/>
    <w:rsid w:val="00105094"/>
    <w:rsid w:val="00105E5C"/>
    <w:rsid w:val="00105ED6"/>
    <w:rsid w:val="00106250"/>
    <w:rsid w:val="00106563"/>
    <w:rsid w:val="00106D8E"/>
    <w:rsid w:val="001072F8"/>
    <w:rsid w:val="00107446"/>
    <w:rsid w:val="00107AC6"/>
    <w:rsid w:val="0011003C"/>
    <w:rsid w:val="001117A7"/>
    <w:rsid w:val="0011184E"/>
    <w:rsid w:val="0011220B"/>
    <w:rsid w:val="00112487"/>
    <w:rsid w:val="00112970"/>
    <w:rsid w:val="00112B49"/>
    <w:rsid w:val="00112CB2"/>
    <w:rsid w:val="001131D1"/>
    <w:rsid w:val="001137CB"/>
    <w:rsid w:val="00113AC2"/>
    <w:rsid w:val="00113BD8"/>
    <w:rsid w:val="00113F2F"/>
    <w:rsid w:val="00114E80"/>
    <w:rsid w:val="00115676"/>
    <w:rsid w:val="00115B16"/>
    <w:rsid w:val="00116455"/>
    <w:rsid w:val="00116C26"/>
    <w:rsid w:val="00116D6B"/>
    <w:rsid w:val="00117FAB"/>
    <w:rsid w:val="00120700"/>
    <w:rsid w:val="00120A62"/>
    <w:rsid w:val="0012264A"/>
    <w:rsid w:val="00122C31"/>
    <w:rsid w:val="00122CA0"/>
    <w:rsid w:val="00124552"/>
    <w:rsid w:val="00125543"/>
    <w:rsid w:val="001260A8"/>
    <w:rsid w:val="00126454"/>
    <w:rsid w:val="001266E3"/>
    <w:rsid w:val="00127813"/>
    <w:rsid w:val="00127C77"/>
    <w:rsid w:val="001302F9"/>
    <w:rsid w:val="0013038E"/>
    <w:rsid w:val="00130BDE"/>
    <w:rsid w:val="00130EF1"/>
    <w:rsid w:val="00131877"/>
    <w:rsid w:val="00131BA7"/>
    <w:rsid w:val="0013240C"/>
    <w:rsid w:val="001333FC"/>
    <w:rsid w:val="0013442F"/>
    <w:rsid w:val="0013456D"/>
    <w:rsid w:val="001356B5"/>
    <w:rsid w:val="0013656D"/>
    <w:rsid w:val="0013721F"/>
    <w:rsid w:val="00137246"/>
    <w:rsid w:val="00137868"/>
    <w:rsid w:val="00137A7F"/>
    <w:rsid w:val="00137F60"/>
    <w:rsid w:val="001416F6"/>
    <w:rsid w:val="00141737"/>
    <w:rsid w:val="001419A1"/>
    <w:rsid w:val="0014259D"/>
    <w:rsid w:val="00142AD0"/>
    <w:rsid w:val="00142E71"/>
    <w:rsid w:val="00142FB9"/>
    <w:rsid w:val="001436FB"/>
    <w:rsid w:val="00143B7A"/>
    <w:rsid w:val="0014430B"/>
    <w:rsid w:val="001444E7"/>
    <w:rsid w:val="00144612"/>
    <w:rsid w:val="00144A56"/>
    <w:rsid w:val="00145250"/>
    <w:rsid w:val="00145916"/>
    <w:rsid w:val="001459B9"/>
    <w:rsid w:val="00145B20"/>
    <w:rsid w:val="00146171"/>
    <w:rsid w:val="00146379"/>
    <w:rsid w:val="00146A87"/>
    <w:rsid w:val="00146BF1"/>
    <w:rsid w:val="001478B3"/>
    <w:rsid w:val="00147CCB"/>
    <w:rsid w:val="00150BE1"/>
    <w:rsid w:val="00151048"/>
    <w:rsid w:val="00151759"/>
    <w:rsid w:val="0015191C"/>
    <w:rsid w:val="00151CE9"/>
    <w:rsid w:val="00153076"/>
    <w:rsid w:val="001539C5"/>
    <w:rsid w:val="001548E3"/>
    <w:rsid w:val="001551DB"/>
    <w:rsid w:val="00155471"/>
    <w:rsid w:val="00155598"/>
    <w:rsid w:val="00156403"/>
    <w:rsid w:val="001565B9"/>
    <w:rsid w:val="00156673"/>
    <w:rsid w:val="001568E2"/>
    <w:rsid w:val="00156AED"/>
    <w:rsid w:val="00156B24"/>
    <w:rsid w:val="00156C83"/>
    <w:rsid w:val="00156FDC"/>
    <w:rsid w:val="0015797E"/>
    <w:rsid w:val="001608D9"/>
    <w:rsid w:val="00160D01"/>
    <w:rsid w:val="00160E6C"/>
    <w:rsid w:val="001616F9"/>
    <w:rsid w:val="001618F0"/>
    <w:rsid w:val="00161CB4"/>
    <w:rsid w:val="00161D60"/>
    <w:rsid w:val="00161E8A"/>
    <w:rsid w:val="00162187"/>
    <w:rsid w:val="001621A8"/>
    <w:rsid w:val="00162F25"/>
    <w:rsid w:val="001632FA"/>
    <w:rsid w:val="00163652"/>
    <w:rsid w:val="00163930"/>
    <w:rsid w:val="00163B8C"/>
    <w:rsid w:val="00163D56"/>
    <w:rsid w:val="00164F62"/>
    <w:rsid w:val="00165876"/>
    <w:rsid w:val="00165A8F"/>
    <w:rsid w:val="00165D3B"/>
    <w:rsid w:val="001660C6"/>
    <w:rsid w:val="0016699E"/>
    <w:rsid w:val="001677C9"/>
    <w:rsid w:val="00170DC0"/>
    <w:rsid w:val="00171451"/>
    <w:rsid w:val="001714B0"/>
    <w:rsid w:val="001715FD"/>
    <w:rsid w:val="0017280E"/>
    <w:rsid w:val="001749AA"/>
    <w:rsid w:val="00175183"/>
    <w:rsid w:val="0017551B"/>
    <w:rsid w:val="00175CC6"/>
    <w:rsid w:val="001762EF"/>
    <w:rsid w:val="0017669B"/>
    <w:rsid w:val="00177241"/>
    <w:rsid w:val="0017767B"/>
    <w:rsid w:val="00177D6E"/>
    <w:rsid w:val="00177D92"/>
    <w:rsid w:val="00177FAE"/>
    <w:rsid w:val="001801B0"/>
    <w:rsid w:val="001801F0"/>
    <w:rsid w:val="00180650"/>
    <w:rsid w:val="00180862"/>
    <w:rsid w:val="00180A6D"/>
    <w:rsid w:val="001816EA"/>
    <w:rsid w:val="00182BC1"/>
    <w:rsid w:val="00182DCB"/>
    <w:rsid w:val="00183604"/>
    <w:rsid w:val="001839B2"/>
    <w:rsid w:val="001839DE"/>
    <w:rsid w:val="00183A3E"/>
    <w:rsid w:val="0018428B"/>
    <w:rsid w:val="0018509D"/>
    <w:rsid w:val="00185407"/>
    <w:rsid w:val="00185712"/>
    <w:rsid w:val="00185B64"/>
    <w:rsid w:val="00185BCA"/>
    <w:rsid w:val="00185EE4"/>
    <w:rsid w:val="00185EF1"/>
    <w:rsid w:val="00186A8B"/>
    <w:rsid w:val="00186D8D"/>
    <w:rsid w:val="00186F9B"/>
    <w:rsid w:val="00186FF1"/>
    <w:rsid w:val="00187C4B"/>
    <w:rsid w:val="00187E04"/>
    <w:rsid w:val="001907AE"/>
    <w:rsid w:val="00190B8C"/>
    <w:rsid w:val="00190D2A"/>
    <w:rsid w:val="00191059"/>
    <w:rsid w:val="001923AC"/>
    <w:rsid w:val="0019248F"/>
    <w:rsid w:val="00192DB2"/>
    <w:rsid w:val="00192EA9"/>
    <w:rsid w:val="00193657"/>
    <w:rsid w:val="00193AA3"/>
    <w:rsid w:val="00193BBF"/>
    <w:rsid w:val="00194E3A"/>
    <w:rsid w:val="00194E46"/>
    <w:rsid w:val="0019500B"/>
    <w:rsid w:val="00195385"/>
    <w:rsid w:val="001953C0"/>
    <w:rsid w:val="0019664F"/>
    <w:rsid w:val="001967DB"/>
    <w:rsid w:val="001971CB"/>
    <w:rsid w:val="00197489"/>
    <w:rsid w:val="001A02C3"/>
    <w:rsid w:val="001A0306"/>
    <w:rsid w:val="001A10C1"/>
    <w:rsid w:val="001A21C4"/>
    <w:rsid w:val="001A2277"/>
    <w:rsid w:val="001A2491"/>
    <w:rsid w:val="001A286A"/>
    <w:rsid w:val="001A287F"/>
    <w:rsid w:val="001A28EF"/>
    <w:rsid w:val="001A3808"/>
    <w:rsid w:val="001A3F40"/>
    <w:rsid w:val="001A4181"/>
    <w:rsid w:val="001A43C9"/>
    <w:rsid w:val="001A4496"/>
    <w:rsid w:val="001A4563"/>
    <w:rsid w:val="001A45A1"/>
    <w:rsid w:val="001A49B9"/>
    <w:rsid w:val="001A4B98"/>
    <w:rsid w:val="001A4C97"/>
    <w:rsid w:val="001A4D92"/>
    <w:rsid w:val="001A4E6E"/>
    <w:rsid w:val="001A5B52"/>
    <w:rsid w:val="001A5C3A"/>
    <w:rsid w:val="001A666B"/>
    <w:rsid w:val="001A66E6"/>
    <w:rsid w:val="001A68D6"/>
    <w:rsid w:val="001A69D8"/>
    <w:rsid w:val="001A6DE5"/>
    <w:rsid w:val="001A7675"/>
    <w:rsid w:val="001A7815"/>
    <w:rsid w:val="001A7D6D"/>
    <w:rsid w:val="001A7F2C"/>
    <w:rsid w:val="001A7FCD"/>
    <w:rsid w:val="001B0886"/>
    <w:rsid w:val="001B11C0"/>
    <w:rsid w:val="001B1D8A"/>
    <w:rsid w:val="001B21D8"/>
    <w:rsid w:val="001B2312"/>
    <w:rsid w:val="001B2833"/>
    <w:rsid w:val="001B2E69"/>
    <w:rsid w:val="001B350F"/>
    <w:rsid w:val="001B35B8"/>
    <w:rsid w:val="001B436B"/>
    <w:rsid w:val="001B46CE"/>
    <w:rsid w:val="001B4DB0"/>
    <w:rsid w:val="001B5C3D"/>
    <w:rsid w:val="001B5C97"/>
    <w:rsid w:val="001B5DB0"/>
    <w:rsid w:val="001B6DAD"/>
    <w:rsid w:val="001B6F1F"/>
    <w:rsid w:val="001B70EA"/>
    <w:rsid w:val="001C0162"/>
    <w:rsid w:val="001C01E2"/>
    <w:rsid w:val="001C0E85"/>
    <w:rsid w:val="001C1F2D"/>
    <w:rsid w:val="001C2093"/>
    <w:rsid w:val="001C23FC"/>
    <w:rsid w:val="001C2685"/>
    <w:rsid w:val="001C27E2"/>
    <w:rsid w:val="001C3005"/>
    <w:rsid w:val="001C31FD"/>
    <w:rsid w:val="001C4173"/>
    <w:rsid w:val="001C4284"/>
    <w:rsid w:val="001C4CDD"/>
    <w:rsid w:val="001C542A"/>
    <w:rsid w:val="001C5478"/>
    <w:rsid w:val="001C565A"/>
    <w:rsid w:val="001C58AB"/>
    <w:rsid w:val="001C5A3D"/>
    <w:rsid w:val="001C6006"/>
    <w:rsid w:val="001C6232"/>
    <w:rsid w:val="001C6A47"/>
    <w:rsid w:val="001C6D4F"/>
    <w:rsid w:val="001C7BFF"/>
    <w:rsid w:val="001C7FE0"/>
    <w:rsid w:val="001D01BA"/>
    <w:rsid w:val="001D02DE"/>
    <w:rsid w:val="001D0884"/>
    <w:rsid w:val="001D11FB"/>
    <w:rsid w:val="001D1CAC"/>
    <w:rsid w:val="001D25ED"/>
    <w:rsid w:val="001D2723"/>
    <w:rsid w:val="001D2E32"/>
    <w:rsid w:val="001D2E97"/>
    <w:rsid w:val="001D33C5"/>
    <w:rsid w:val="001D4189"/>
    <w:rsid w:val="001D43A5"/>
    <w:rsid w:val="001D487E"/>
    <w:rsid w:val="001D4E0B"/>
    <w:rsid w:val="001D5002"/>
    <w:rsid w:val="001D51D2"/>
    <w:rsid w:val="001D60FD"/>
    <w:rsid w:val="001D698A"/>
    <w:rsid w:val="001D6DA4"/>
    <w:rsid w:val="001D75EB"/>
    <w:rsid w:val="001D7F32"/>
    <w:rsid w:val="001E0A12"/>
    <w:rsid w:val="001E1D00"/>
    <w:rsid w:val="001E1DA8"/>
    <w:rsid w:val="001E1ED2"/>
    <w:rsid w:val="001E2980"/>
    <w:rsid w:val="001E2CC9"/>
    <w:rsid w:val="001E3B1A"/>
    <w:rsid w:val="001E3F32"/>
    <w:rsid w:val="001E406F"/>
    <w:rsid w:val="001E41EC"/>
    <w:rsid w:val="001E433C"/>
    <w:rsid w:val="001E43E4"/>
    <w:rsid w:val="001E449A"/>
    <w:rsid w:val="001E4A8E"/>
    <w:rsid w:val="001E4B78"/>
    <w:rsid w:val="001E5109"/>
    <w:rsid w:val="001E77D3"/>
    <w:rsid w:val="001E78C9"/>
    <w:rsid w:val="001E792C"/>
    <w:rsid w:val="001E7954"/>
    <w:rsid w:val="001E7BD2"/>
    <w:rsid w:val="001F0497"/>
    <w:rsid w:val="001F0619"/>
    <w:rsid w:val="001F0E4A"/>
    <w:rsid w:val="001F0FAD"/>
    <w:rsid w:val="001F15BA"/>
    <w:rsid w:val="001F16D1"/>
    <w:rsid w:val="001F23C9"/>
    <w:rsid w:val="001F2825"/>
    <w:rsid w:val="001F2A70"/>
    <w:rsid w:val="001F31D2"/>
    <w:rsid w:val="001F3674"/>
    <w:rsid w:val="001F4427"/>
    <w:rsid w:val="001F4B86"/>
    <w:rsid w:val="001F5A2E"/>
    <w:rsid w:val="001F63CE"/>
    <w:rsid w:val="001F74EC"/>
    <w:rsid w:val="001F7524"/>
    <w:rsid w:val="001F75E2"/>
    <w:rsid w:val="001F78A8"/>
    <w:rsid w:val="001F7B0F"/>
    <w:rsid w:val="00200312"/>
    <w:rsid w:val="00200316"/>
    <w:rsid w:val="00200862"/>
    <w:rsid w:val="00200BF4"/>
    <w:rsid w:val="002010DB"/>
    <w:rsid w:val="0020150B"/>
    <w:rsid w:val="002018E3"/>
    <w:rsid w:val="00201E98"/>
    <w:rsid w:val="00202117"/>
    <w:rsid w:val="00203656"/>
    <w:rsid w:val="00203666"/>
    <w:rsid w:val="002036CB"/>
    <w:rsid w:val="002036F4"/>
    <w:rsid w:val="00203929"/>
    <w:rsid w:val="00203A78"/>
    <w:rsid w:val="00203B64"/>
    <w:rsid w:val="00203C13"/>
    <w:rsid w:val="00203E40"/>
    <w:rsid w:val="00203F49"/>
    <w:rsid w:val="00204210"/>
    <w:rsid w:val="0020460E"/>
    <w:rsid w:val="0020473E"/>
    <w:rsid w:val="0020488E"/>
    <w:rsid w:val="00204AAC"/>
    <w:rsid w:val="00204F56"/>
    <w:rsid w:val="0020500E"/>
    <w:rsid w:val="00205129"/>
    <w:rsid w:val="002053E8"/>
    <w:rsid w:val="00205E9C"/>
    <w:rsid w:val="002068C5"/>
    <w:rsid w:val="00206EE5"/>
    <w:rsid w:val="0020704C"/>
    <w:rsid w:val="00207D2D"/>
    <w:rsid w:val="00207F4F"/>
    <w:rsid w:val="00210050"/>
    <w:rsid w:val="00211158"/>
    <w:rsid w:val="0021199F"/>
    <w:rsid w:val="00212755"/>
    <w:rsid w:val="002129E5"/>
    <w:rsid w:val="00212A27"/>
    <w:rsid w:val="00213334"/>
    <w:rsid w:val="0021374C"/>
    <w:rsid w:val="002137CF"/>
    <w:rsid w:val="00214C03"/>
    <w:rsid w:val="00215F82"/>
    <w:rsid w:val="0021634D"/>
    <w:rsid w:val="00216387"/>
    <w:rsid w:val="00216818"/>
    <w:rsid w:val="00216A6E"/>
    <w:rsid w:val="00216CC4"/>
    <w:rsid w:val="00216F40"/>
    <w:rsid w:val="002173C5"/>
    <w:rsid w:val="00217669"/>
    <w:rsid w:val="00217D04"/>
    <w:rsid w:val="00217F27"/>
    <w:rsid w:val="00220299"/>
    <w:rsid w:val="00220F11"/>
    <w:rsid w:val="00221137"/>
    <w:rsid w:val="00221382"/>
    <w:rsid w:val="002214A6"/>
    <w:rsid w:val="00221884"/>
    <w:rsid w:val="002218F2"/>
    <w:rsid w:val="00221D93"/>
    <w:rsid w:val="0022264D"/>
    <w:rsid w:val="002239B6"/>
    <w:rsid w:val="00223B9B"/>
    <w:rsid w:val="00223D49"/>
    <w:rsid w:val="0022525E"/>
    <w:rsid w:val="00225607"/>
    <w:rsid w:val="00225C1A"/>
    <w:rsid w:val="002262B3"/>
    <w:rsid w:val="00227BE6"/>
    <w:rsid w:val="00227C11"/>
    <w:rsid w:val="00227F8D"/>
    <w:rsid w:val="002301B6"/>
    <w:rsid w:val="00230311"/>
    <w:rsid w:val="002304F7"/>
    <w:rsid w:val="00230D1F"/>
    <w:rsid w:val="00231297"/>
    <w:rsid w:val="00231615"/>
    <w:rsid w:val="00231752"/>
    <w:rsid w:val="002317AD"/>
    <w:rsid w:val="00232052"/>
    <w:rsid w:val="0023246D"/>
    <w:rsid w:val="00233A3A"/>
    <w:rsid w:val="00233AD5"/>
    <w:rsid w:val="002343F2"/>
    <w:rsid w:val="00234C5E"/>
    <w:rsid w:val="0023549E"/>
    <w:rsid w:val="00235675"/>
    <w:rsid w:val="002359A6"/>
    <w:rsid w:val="00235B86"/>
    <w:rsid w:val="00235C74"/>
    <w:rsid w:val="002360E2"/>
    <w:rsid w:val="00236B09"/>
    <w:rsid w:val="00236C13"/>
    <w:rsid w:val="002400F9"/>
    <w:rsid w:val="002402EA"/>
    <w:rsid w:val="00240B2A"/>
    <w:rsid w:val="00240DC8"/>
    <w:rsid w:val="00240DDA"/>
    <w:rsid w:val="0024162E"/>
    <w:rsid w:val="00242166"/>
    <w:rsid w:val="00242E71"/>
    <w:rsid w:val="00243FF8"/>
    <w:rsid w:val="002445FA"/>
    <w:rsid w:val="00244BC4"/>
    <w:rsid w:val="00244C5B"/>
    <w:rsid w:val="0024544B"/>
    <w:rsid w:val="0024561D"/>
    <w:rsid w:val="00245EBE"/>
    <w:rsid w:val="0024602C"/>
    <w:rsid w:val="002464D9"/>
    <w:rsid w:val="0024701D"/>
    <w:rsid w:val="0024749D"/>
    <w:rsid w:val="002479C8"/>
    <w:rsid w:val="00247A12"/>
    <w:rsid w:val="00247DD9"/>
    <w:rsid w:val="002505D1"/>
    <w:rsid w:val="0025099C"/>
    <w:rsid w:val="00250BAE"/>
    <w:rsid w:val="00251281"/>
    <w:rsid w:val="00251341"/>
    <w:rsid w:val="002515D2"/>
    <w:rsid w:val="0025277B"/>
    <w:rsid w:val="00252C7C"/>
    <w:rsid w:val="00253B27"/>
    <w:rsid w:val="00253C84"/>
    <w:rsid w:val="00254196"/>
    <w:rsid w:val="00254C62"/>
    <w:rsid w:val="00256457"/>
    <w:rsid w:val="002571DB"/>
    <w:rsid w:val="00257226"/>
    <w:rsid w:val="0026059C"/>
    <w:rsid w:val="00260EEB"/>
    <w:rsid w:val="00261563"/>
    <w:rsid w:val="00261855"/>
    <w:rsid w:val="00261A6B"/>
    <w:rsid w:val="002620C7"/>
    <w:rsid w:val="00262255"/>
    <w:rsid w:val="00262436"/>
    <w:rsid w:val="002627C9"/>
    <w:rsid w:val="0026280B"/>
    <w:rsid w:val="00262930"/>
    <w:rsid w:val="002629D5"/>
    <w:rsid w:val="002630F4"/>
    <w:rsid w:val="002638D7"/>
    <w:rsid w:val="00263F6D"/>
    <w:rsid w:val="002645A4"/>
    <w:rsid w:val="00265267"/>
    <w:rsid w:val="0026546E"/>
    <w:rsid w:val="0026555B"/>
    <w:rsid w:val="002657E3"/>
    <w:rsid w:val="00265F89"/>
    <w:rsid w:val="0026626D"/>
    <w:rsid w:val="00266315"/>
    <w:rsid w:val="002666D8"/>
    <w:rsid w:val="00266CFE"/>
    <w:rsid w:val="00266D67"/>
    <w:rsid w:val="00266E2E"/>
    <w:rsid w:val="0026710F"/>
    <w:rsid w:val="002678D6"/>
    <w:rsid w:val="00270103"/>
    <w:rsid w:val="00270C9E"/>
    <w:rsid w:val="00270FB1"/>
    <w:rsid w:val="002711B0"/>
    <w:rsid w:val="002713B4"/>
    <w:rsid w:val="00271803"/>
    <w:rsid w:val="00271ACC"/>
    <w:rsid w:val="00272C8B"/>
    <w:rsid w:val="0027379B"/>
    <w:rsid w:val="00273980"/>
    <w:rsid w:val="00274600"/>
    <w:rsid w:val="00274B64"/>
    <w:rsid w:val="00275FF6"/>
    <w:rsid w:val="00277342"/>
    <w:rsid w:val="002804FD"/>
    <w:rsid w:val="002805B3"/>
    <w:rsid w:val="00281952"/>
    <w:rsid w:val="00281C57"/>
    <w:rsid w:val="002823BB"/>
    <w:rsid w:val="002826FC"/>
    <w:rsid w:val="00282818"/>
    <w:rsid w:val="0028404B"/>
    <w:rsid w:val="002850B0"/>
    <w:rsid w:val="002851FD"/>
    <w:rsid w:val="00285A5C"/>
    <w:rsid w:val="00285FFF"/>
    <w:rsid w:val="0028636D"/>
    <w:rsid w:val="00286425"/>
    <w:rsid w:val="002868EA"/>
    <w:rsid w:val="00286E9B"/>
    <w:rsid w:val="00287CC7"/>
    <w:rsid w:val="00290034"/>
    <w:rsid w:val="002906ED"/>
    <w:rsid w:val="00290949"/>
    <w:rsid w:val="002913B9"/>
    <w:rsid w:val="00291E93"/>
    <w:rsid w:val="002929A5"/>
    <w:rsid w:val="00292B47"/>
    <w:rsid w:val="00293299"/>
    <w:rsid w:val="0029335B"/>
    <w:rsid w:val="00293391"/>
    <w:rsid w:val="0029354A"/>
    <w:rsid w:val="00294867"/>
    <w:rsid w:val="002949E0"/>
    <w:rsid w:val="002952B9"/>
    <w:rsid w:val="00295538"/>
    <w:rsid w:val="00295822"/>
    <w:rsid w:val="002961C2"/>
    <w:rsid w:val="00296B93"/>
    <w:rsid w:val="002972C5"/>
    <w:rsid w:val="002A0771"/>
    <w:rsid w:val="002A08C1"/>
    <w:rsid w:val="002A1BB2"/>
    <w:rsid w:val="002A5B33"/>
    <w:rsid w:val="002A5CDD"/>
    <w:rsid w:val="002A5D1B"/>
    <w:rsid w:val="002A6687"/>
    <w:rsid w:val="002A6A3D"/>
    <w:rsid w:val="002A72D7"/>
    <w:rsid w:val="002A7347"/>
    <w:rsid w:val="002B01E9"/>
    <w:rsid w:val="002B0BCC"/>
    <w:rsid w:val="002B0DC6"/>
    <w:rsid w:val="002B0F29"/>
    <w:rsid w:val="002B1C26"/>
    <w:rsid w:val="002B1D2B"/>
    <w:rsid w:val="002B1FBE"/>
    <w:rsid w:val="002B2057"/>
    <w:rsid w:val="002B20BF"/>
    <w:rsid w:val="002B22B6"/>
    <w:rsid w:val="002B28C7"/>
    <w:rsid w:val="002B2B22"/>
    <w:rsid w:val="002B2DAB"/>
    <w:rsid w:val="002B3161"/>
    <w:rsid w:val="002B3509"/>
    <w:rsid w:val="002B57DB"/>
    <w:rsid w:val="002B589A"/>
    <w:rsid w:val="002B592E"/>
    <w:rsid w:val="002B5F1F"/>
    <w:rsid w:val="002B69DE"/>
    <w:rsid w:val="002B75B4"/>
    <w:rsid w:val="002B769F"/>
    <w:rsid w:val="002B79C8"/>
    <w:rsid w:val="002C1003"/>
    <w:rsid w:val="002C12E9"/>
    <w:rsid w:val="002C17B1"/>
    <w:rsid w:val="002C1817"/>
    <w:rsid w:val="002C1F5F"/>
    <w:rsid w:val="002C23B0"/>
    <w:rsid w:val="002C2C42"/>
    <w:rsid w:val="002C2D4B"/>
    <w:rsid w:val="002C319C"/>
    <w:rsid w:val="002C33FC"/>
    <w:rsid w:val="002C34DE"/>
    <w:rsid w:val="002C365C"/>
    <w:rsid w:val="002C36DE"/>
    <w:rsid w:val="002C440D"/>
    <w:rsid w:val="002C489C"/>
    <w:rsid w:val="002C49FC"/>
    <w:rsid w:val="002C4D14"/>
    <w:rsid w:val="002C5081"/>
    <w:rsid w:val="002C5146"/>
    <w:rsid w:val="002C6CEF"/>
    <w:rsid w:val="002D0034"/>
    <w:rsid w:val="002D0050"/>
    <w:rsid w:val="002D00F5"/>
    <w:rsid w:val="002D0A37"/>
    <w:rsid w:val="002D0C20"/>
    <w:rsid w:val="002D0CAB"/>
    <w:rsid w:val="002D0E4E"/>
    <w:rsid w:val="002D0F44"/>
    <w:rsid w:val="002D18A4"/>
    <w:rsid w:val="002D19DE"/>
    <w:rsid w:val="002D1AFD"/>
    <w:rsid w:val="002D1DBB"/>
    <w:rsid w:val="002D2A2C"/>
    <w:rsid w:val="002D32B3"/>
    <w:rsid w:val="002D3CA7"/>
    <w:rsid w:val="002D3ED0"/>
    <w:rsid w:val="002D4043"/>
    <w:rsid w:val="002D4929"/>
    <w:rsid w:val="002D4953"/>
    <w:rsid w:val="002D4E0C"/>
    <w:rsid w:val="002D4E77"/>
    <w:rsid w:val="002D5362"/>
    <w:rsid w:val="002D64AC"/>
    <w:rsid w:val="002D65BA"/>
    <w:rsid w:val="002D671B"/>
    <w:rsid w:val="002D7F92"/>
    <w:rsid w:val="002E025D"/>
    <w:rsid w:val="002E02B9"/>
    <w:rsid w:val="002E0F78"/>
    <w:rsid w:val="002E128D"/>
    <w:rsid w:val="002E1673"/>
    <w:rsid w:val="002E18DA"/>
    <w:rsid w:val="002E1F19"/>
    <w:rsid w:val="002E2567"/>
    <w:rsid w:val="002E311A"/>
    <w:rsid w:val="002E37D8"/>
    <w:rsid w:val="002E43DF"/>
    <w:rsid w:val="002E46F4"/>
    <w:rsid w:val="002E5170"/>
    <w:rsid w:val="002E52E4"/>
    <w:rsid w:val="002E5EAB"/>
    <w:rsid w:val="002E69E3"/>
    <w:rsid w:val="002E6E02"/>
    <w:rsid w:val="002F0A96"/>
    <w:rsid w:val="002F1294"/>
    <w:rsid w:val="002F1464"/>
    <w:rsid w:val="002F243E"/>
    <w:rsid w:val="002F2933"/>
    <w:rsid w:val="002F41EC"/>
    <w:rsid w:val="002F44BB"/>
    <w:rsid w:val="002F5577"/>
    <w:rsid w:val="002F5772"/>
    <w:rsid w:val="002F6247"/>
    <w:rsid w:val="002F7814"/>
    <w:rsid w:val="003001C1"/>
    <w:rsid w:val="003001F6"/>
    <w:rsid w:val="00300232"/>
    <w:rsid w:val="003005AB"/>
    <w:rsid w:val="00300AF3"/>
    <w:rsid w:val="00301011"/>
    <w:rsid w:val="003017C7"/>
    <w:rsid w:val="00302228"/>
    <w:rsid w:val="00302F26"/>
    <w:rsid w:val="00303547"/>
    <w:rsid w:val="00303BB8"/>
    <w:rsid w:val="00303E49"/>
    <w:rsid w:val="00304E48"/>
    <w:rsid w:val="0030508E"/>
    <w:rsid w:val="003050B4"/>
    <w:rsid w:val="00305822"/>
    <w:rsid w:val="00305B8E"/>
    <w:rsid w:val="0030643E"/>
    <w:rsid w:val="003064E5"/>
    <w:rsid w:val="00306CDC"/>
    <w:rsid w:val="00307FFD"/>
    <w:rsid w:val="00310276"/>
    <w:rsid w:val="0031056D"/>
    <w:rsid w:val="003117FB"/>
    <w:rsid w:val="00311A38"/>
    <w:rsid w:val="0031231D"/>
    <w:rsid w:val="003125C0"/>
    <w:rsid w:val="00313749"/>
    <w:rsid w:val="003137B4"/>
    <w:rsid w:val="00313DDF"/>
    <w:rsid w:val="003143BF"/>
    <w:rsid w:val="003148CB"/>
    <w:rsid w:val="003148D6"/>
    <w:rsid w:val="00314A88"/>
    <w:rsid w:val="003150BD"/>
    <w:rsid w:val="00315889"/>
    <w:rsid w:val="003162BB"/>
    <w:rsid w:val="0031693F"/>
    <w:rsid w:val="00316F40"/>
    <w:rsid w:val="003173AD"/>
    <w:rsid w:val="003174E8"/>
    <w:rsid w:val="00317C16"/>
    <w:rsid w:val="00320D11"/>
    <w:rsid w:val="003218ED"/>
    <w:rsid w:val="0032277A"/>
    <w:rsid w:val="00322E93"/>
    <w:rsid w:val="003230BC"/>
    <w:rsid w:val="003235BD"/>
    <w:rsid w:val="003238CC"/>
    <w:rsid w:val="00323F8B"/>
    <w:rsid w:val="00324067"/>
    <w:rsid w:val="003246FA"/>
    <w:rsid w:val="00324E1B"/>
    <w:rsid w:val="003251A4"/>
    <w:rsid w:val="003265EC"/>
    <w:rsid w:val="00327F11"/>
    <w:rsid w:val="00327F6E"/>
    <w:rsid w:val="0033032F"/>
    <w:rsid w:val="00330494"/>
    <w:rsid w:val="00330763"/>
    <w:rsid w:val="00330E46"/>
    <w:rsid w:val="003310FD"/>
    <w:rsid w:val="00331241"/>
    <w:rsid w:val="003312CC"/>
    <w:rsid w:val="003313B7"/>
    <w:rsid w:val="0033156F"/>
    <w:rsid w:val="0033246E"/>
    <w:rsid w:val="003326DD"/>
    <w:rsid w:val="00332C22"/>
    <w:rsid w:val="00332F29"/>
    <w:rsid w:val="00333508"/>
    <w:rsid w:val="003337BA"/>
    <w:rsid w:val="00333DAE"/>
    <w:rsid w:val="00333E9F"/>
    <w:rsid w:val="00334010"/>
    <w:rsid w:val="0033457E"/>
    <w:rsid w:val="003349B1"/>
    <w:rsid w:val="0033518C"/>
    <w:rsid w:val="00335404"/>
    <w:rsid w:val="00335BC3"/>
    <w:rsid w:val="00336618"/>
    <w:rsid w:val="00336AF7"/>
    <w:rsid w:val="00336BD8"/>
    <w:rsid w:val="00336E64"/>
    <w:rsid w:val="003370BB"/>
    <w:rsid w:val="00337827"/>
    <w:rsid w:val="0033793A"/>
    <w:rsid w:val="00337979"/>
    <w:rsid w:val="00337C67"/>
    <w:rsid w:val="00340184"/>
    <w:rsid w:val="00340CE6"/>
    <w:rsid w:val="00340E0D"/>
    <w:rsid w:val="00340EAA"/>
    <w:rsid w:val="00340F45"/>
    <w:rsid w:val="003413C5"/>
    <w:rsid w:val="00341630"/>
    <w:rsid w:val="00341EDD"/>
    <w:rsid w:val="00342791"/>
    <w:rsid w:val="00342B19"/>
    <w:rsid w:val="003441A9"/>
    <w:rsid w:val="003442D9"/>
    <w:rsid w:val="00344856"/>
    <w:rsid w:val="00344E57"/>
    <w:rsid w:val="00345240"/>
    <w:rsid w:val="00345473"/>
    <w:rsid w:val="00345CB5"/>
    <w:rsid w:val="00346612"/>
    <w:rsid w:val="00346A14"/>
    <w:rsid w:val="00346B05"/>
    <w:rsid w:val="00347323"/>
    <w:rsid w:val="00347423"/>
    <w:rsid w:val="00347727"/>
    <w:rsid w:val="00347807"/>
    <w:rsid w:val="0035036D"/>
    <w:rsid w:val="00353409"/>
    <w:rsid w:val="00353726"/>
    <w:rsid w:val="00353BEA"/>
    <w:rsid w:val="0035401B"/>
    <w:rsid w:val="0035420B"/>
    <w:rsid w:val="00355224"/>
    <w:rsid w:val="00355865"/>
    <w:rsid w:val="00355C37"/>
    <w:rsid w:val="0035615F"/>
    <w:rsid w:val="00356838"/>
    <w:rsid w:val="00357036"/>
    <w:rsid w:val="0035752E"/>
    <w:rsid w:val="003575A3"/>
    <w:rsid w:val="00357F95"/>
    <w:rsid w:val="00360034"/>
    <w:rsid w:val="00361658"/>
    <w:rsid w:val="0036281B"/>
    <w:rsid w:val="00363B63"/>
    <w:rsid w:val="003642AC"/>
    <w:rsid w:val="00364629"/>
    <w:rsid w:val="00365655"/>
    <w:rsid w:val="00365C1E"/>
    <w:rsid w:val="00366170"/>
    <w:rsid w:val="00366266"/>
    <w:rsid w:val="0036666E"/>
    <w:rsid w:val="00366AD6"/>
    <w:rsid w:val="00367134"/>
    <w:rsid w:val="0036745C"/>
    <w:rsid w:val="0036748B"/>
    <w:rsid w:val="0037074A"/>
    <w:rsid w:val="00370B17"/>
    <w:rsid w:val="00371436"/>
    <w:rsid w:val="0037187D"/>
    <w:rsid w:val="00371A2D"/>
    <w:rsid w:val="00371DF2"/>
    <w:rsid w:val="003723DF"/>
    <w:rsid w:val="00372A12"/>
    <w:rsid w:val="00372FA6"/>
    <w:rsid w:val="003735D8"/>
    <w:rsid w:val="00373EF3"/>
    <w:rsid w:val="0037430F"/>
    <w:rsid w:val="0037461E"/>
    <w:rsid w:val="0037599C"/>
    <w:rsid w:val="00375BF4"/>
    <w:rsid w:val="003768F2"/>
    <w:rsid w:val="00376FC2"/>
    <w:rsid w:val="003770CB"/>
    <w:rsid w:val="00377194"/>
    <w:rsid w:val="00380049"/>
    <w:rsid w:val="003805E8"/>
    <w:rsid w:val="003808B6"/>
    <w:rsid w:val="00380F09"/>
    <w:rsid w:val="00381A34"/>
    <w:rsid w:val="00382257"/>
    <w:rsid w:val="00382730"/>
    <w:rsid w:val="00382906"/>
    <w:rsid w:val="003833D9"/>
    <w:rsid w:val="003836B4"/>
    <w:rsid w:val="003837E8"/>
    <w:rsid w:val="003850AF"/>
    <w:rsid w:val="00385489"/>
    <w:rsid w:val="00385B67"/>
    <w:rsid w:val="0038715C"/>
    <w:rsid w:val="003872E4"/>
    <w:rsid w:val="0038741D"/>
    <w:rsid w:val="003878C3"/>
    <w:rsid w:val="00387F87"/>
    <w:rsid w:val="003902B4"/>
    <w:rsid w:val="00390396"/>
    <w:rsid w:val="00390B9E"/>
    <w:rsid w:val="00390E08"/>
    <w:rsid w:val="00391195"/>
    <w:rsid w:val="00391370"/>
    <w:rsid w:val="003917CB"/>
    <w:rsid w:val="00391A0D"/>
    <w:rsid w:val="0039208F"/>
    <w:rsid w:val="00392804"/>
    <w:rsid w:val="00392A20"/>
    <w:rsid w:val="00392EAE"/>
    <w:rsid w:val="0039473A"/>
    <w:rsid w:val="00394994"/>
    <w:rsid w:val="003949CE"/>
    <w:rsid w:val="00395468"/>
    <w:rsid w:val="00395952"/>
    <w:rsid w:val="003963F4"/>
    <w:rsid w:val="0039668E"/>
    <w:rsid w:val="00396D7F"/>
    <w:rsid w:val="00397406"/>
    <w:rsid w:val="0039748A"/>
    <w:rsid w:val="00397932"/>
    <w:rsid w:val="00397E40"/>
    <w:rsid w:val="003A1E61"/>
    <w:rsid w:val="003A2E5E"/>
    <w:rsid w:val="003A312C"/>
    <w:rsid w:val="003A370B"/>
    <w:rsid w:val="003A3D2F"/>
    <w:rsid w:val="003A4F81"/>
    <w:rsid w:val="003A53B9"/>
    <w:rsid w:val="003A53E1"/>
    <w:rsid w:val="003A56A2"/>
    <w:rsid w:val="003A5735"/>
    <w:rsid w:val="003A5826"/>
    <w:rsid w:val="003A5B64"/>
    <w:rsid w:val="003A5D69"/>
    <w:rsid w:val="003A62F1"/>
    <w:rsid w:val="003A64E8"/>
    <w:rsid w:val="003A6BDE"/>
    <w:rsid w:val="003A6F1C"/>
    <w:rsid w:val="003A717B"/>
    <w:rsid w:val="003A7309"/>
    <w:rsid w:val="003A77F8"/>
    <w:rsid w:val="003A7949"/>
    <w:rsid w:val="003A7C48"/>
    <w:rsid w:val="003A7D63"/>
    <w:rsid w:val="003A7E49"/>
    <w:rsid w:val="003B012B"/>
    <w:rsid w:val="003B0EBC"/>
    <w:rsid w:val="003B2D64"/>
    <w:rsid w:val="003B45A7"/>
    <w:rsid w:val="003B49CF"/>
    <w:rsid w:val="003B5BB2"/>
    <w:rsid w:val="003B5E6E"/>
    <w:rsid w:val="003B63A7"/>
    <w:rsid w:val="003B6C95"/>
    <w:rsid w:val="003B6DBE"/>
    <w:rsid w:val="003B7E44"/>
    <w:rsid w:val="003C07E8"/>
    <w:rsid w:val="003C0855"/>
    <w:rsid w:val="003C118D"/>
    <w:rsid w:val="003C13BE"/>
    <w:rsid w:val="003C144A"/>
    <w:rsid w:val="003C1CC4"/>
    <w:rsid w:val="003C1F2E"/>
    <w:rsid w:val="003C3429"/>
    <w:rsid w:val="003C47CD"/>
    <w:rsid w:val="003C4DB2"/>
    <w:rsid w:val="003C5291"/>
    <w:rsid w:val="003C5A84"/>
    <w:rsid w:val="003C64E2"/>
    <w:rsid w:val="003C7240"/>
    <w:rsid w:val="003D01B8"/>
    <w:rsid w:val="003D0CD2"/>
    <w:rsid w:val="003D125E"/>
    <w:rsid w:val="003D18C3"/>
    <w:rsid w:val="003D24C2"/>
    <w:rsid w:val="003D3506"/>
    <w:rsid w:val="003D43A8"/>
    <w:rsid w:val="003D4846"/>
    <w:rsid w:val="003D4996"/>
    <w:rsid w:val="003D5069"/>
    <w:rsid w:val="003D511F"/>
    <w:rsid w:val="003D5EAD"/>
    <w:rsid w:val="003D64F3"/>
    <w:rsid w:val="003D69A0"/>
    <w:rsid w:val="003D6CC4"/>
    <w:rsid w:val="003D7473"/>
    <w:rsid w:val="003D7894"/>
    <w:rsid w:val="003E0130"/>
    <w:rsid w:val="003E01BF"/>
    <w:rsid w:val="003E11A8"/>
    <w:rsid w:val="003E1E6F"/>
    <w:rsid w:val="003E3029"/>
    <w:rsid w:val="003E3551"/>
    <w:rsid w:val="003E3994"/>
    <w:rsid w:val="003E429B"/>
    <w:rsid w:val="003E4690"/>
    <w:rsid w:val="003E4E25"/>
    <w:rsid w:val="003E4FEE"/>
    <w:rsid w:val="003E5B08"/>
    <w:rsid w:val="003E5B84"/>
    <w:rsid w:val="003E5C76"/>
    <w:rsid w:val="003E5FC1"/>
    <w:rsid w:val="003E6BBC"/>
    <w:rsid w:val="003E7037"/>
    <w:rsid w:val="003E70E2"/>
    <w:rsid w:val="003E7219"/>
    <w:rsid w:val="003E7BC4"/>
    <w:rsid w:val="003F038B"/>
    <w:rsid w:val="003F03BB"/>
    <w:rsid w:val="003F0517"/>
    <w:rsid w:val="003F0728"/>
    <w:rsid w:val="003F119E"/>
    <w:rsid w:val="003F1EC0"/>
    <w:rsid w:val="003F21DF"/>
    <w:rsid w:val="003F2428"/>
    <w:rsid w:val="003F256F"/>
    <w:rsid w:val="003F2A04"/>
    <w:rsid w:val="003F3193"/>
    <w:rsid w:val="003F33D9"/>
    <w:rsid w:val="003F3A08"/>
    <w:rsid w:val="003F3C56"/>
    <w:rsid w:val="003F4817"/>
    <w:rsid w:val="003F4C86"/>
    <w:rsid w:val="003F51F0"/>
    <w:rsid w:val="003F55AC"/>
    <w:rsid w:val="003F560F"/>
    <w:rsid w:val="003F5FAC"/>
    <w:rsid w:val="003F61CE"/>
    <w:rsid w:val="003F7213"/>
    <w:rsid w:val="003F7B56"/>
    <w:rsid w:val="003F7B8E"/>
    <w:rsid w:val="004003E1"/>
    <w:rsid w:val="00400617"/>
    <w:rsid w:val="00400F58"/>
    <w:rsid w:val="00401B5B"/>
    <w:rsid w:val="004022FE"/>
    <w:rsid w:val="004023FD"/>
    <w:rsid w:val="004028B4"/>
    <w:rsid w:val="00403406"/>
    <w:rsid w:val="00403E5D"/>
    <w:rsid w:val="004050F7"/>
    <w:rsid w:val="00405B52"/>
    <w:rsid w:val="004064F7"/>
    <w:rsid w:val="00407288"/>
    <w:rsid w:val="0040754C"/>
    <w:rsid w:val="00407AAF"/>
    <w:rsid w:val="0041033B"/>
    <w:rsid w:val="00410521"/>
    <w:rsid w:val="00410566"/>
    <w:rsid w:val="004106DE"/>
    <w:rsid w:val="00410F45"/>
    <w:rsid w:val="004110B0"/>
    <w:rsid w:val="00411907"/>
    <w:rsid w:val="00411DDC"/>
    <w:rsid w:val="004120AF"/>
    <w:rsid w:val="00412B81"/>
    <w:rsid w:val="00412C82"/>
    <w:rsid w:val="00412E28"/>
    <w:rsid w:val="00412F8D"/>
    <w:rsid w:val="004131CE"/>
    <w:rsid w:val="00413518"/>
    <w:rsid w:val="00413C2A"/>
    <w:rsid w:val="0041405D"/>
    <w:rsid w:val="00415665"/>
    <w:rsid w:val="00415CBF"/>
    <w:rsid w:val="004162C1"/>
    <w:rsid w:val="0041643E"/>
    <w:rsid w:val="0041678A"/>
    <w:rsid w:val="00416800"/>
    <w:rsid w:val="004172A3"/>
    <w:rsid w:val="00417CD9"/>
    <w:rsid w:val="00417CEE"/>
    <w:rsid w:val="00417E45"/>
    <w:rsid w:val="0042065B"/>
    <w:rsid w:val="00420C5D"/>
    <w:rsid w:val="0042111D"/>
    <w:rsid w:val="0042173F"/>
    <w:rsid w:val="004220EF"/>
    <w:rsid w:val="004224BD"/>
    <w:rsid w:val="00422E5C"/>
    <w:rsid w:val="00423088"/>
    <w:rsid w:val="00423D9A"/>
    <w:rsid w:val="00423DE1"/>
    <w:rsid w:val="00424355"/>
    <w:rsid w:val="0042444F"/>
    <w:rsid w:val="0042454B"/>
    <w:rsid w:val="00424579"/>
    <w:rsid w:val="00424B83"/>
    <w:rsid w:val="00425A0B"/>
    <w:rsid w:val="00425CD2"/>
    <w:rsid w:val="004262B8"/>
    <w:rsid w:val="00426CE5"/>
    <w:rsid w:val="004272A9"/>
    <w:rsid w:val="00427442"/>
    <w:rsid w:val="00427C56"/>
    <w:rsid w:val="00430108"/>
    <w:rsid w:val="004302CE"/>
    <w:rsid w:val="00430544"/>
    <w:rsid w:val="00430F18"/>
    <w:rsid w:val="00430F45"/>
    <w:rsid w:val="0043124F"/>
    <w:rsid w:val="00431467"/>
    <w:rsid w:val="004314D6"/>
    <w:rsid w:val="00431ADB"/>
    <w:rsid w:val="00431B1B"/>
    <w:rsid w:val="00432496"/>
    <w:rsid w:val="00432732"/>
    <w:rsid w:val="00432AF7"/>
    <w:rsid w:val="004330C0"/>
    <w:rsid w:val="004331D4"/>
    <w:rsid w:val="00433680"/>
    <w:rsid w:val="00433A7F"/>
    <w:rsid w:val="00433B4F"/>
    <w:rsid w:val="00433B87"/>
    <w:rsid w:val="0043476D"/>
    <w:rsid w:val="004352CC"/>
    <w:rsid w:val="00435AD2"/>
    <w:rsid w:val="00435B37"/>
    <w:rsid w:val="00435DC6"/>
    <w:rsid w:val="00436746"/>
    <w:rsid w:val="00436C73"/>
    <w:rsid w:val="00436E9D"/>
    <w:rsid w:val="00436F63"/>
    <w:rsid w:val="00440424"/>
    <w:rsid w:val="00440F8C"/>
    <w:rsid w:val="00441450"/>
    <w:rsid w:val="00441B25"/>
    <w:rsid w:val="00441CE4"/>
    <w:rsid w:val="004424C1"/>
    <w:rsid w:val="00442797"/>
    <w:rsid w:val="00442C1A"/>
    <w:rsid w:val="00443EE2"/>
    <w:rsid w:val="00444E21"/>
    <w:rsid w:val="00444EDC"/>
    <w:rsid w:val="00444FC2"/>
    <w:rsid w:val="00445FB9"/>
    <w:rsid w:val="00446D5D"/>
    <w:rsid w:val="004471EC"/>
    <w:rsid w:val="004477C8"/>
    <w:rsid w:val="004477F4"/>
    <w:rsid w:val="0045002B"/>
    <w:rsid w:val="004500B9"/>
    <w:rsid w:val="00450BE5"/>
    <w:rsid w:val="00450D7F"/>
    <w:rsid w:val="004512FF"/>
    <w:rsid w:val="004515FB"/>
    <w:rsid w:val="0045162A"/>
    <w:rsid w:val="00451DC1"/>
    <w:rsid w:val="00451F10"/>
    <w:rsid w:val="00452CF0"/>
    <w:rsid w:val="00452E0D"/>
    <w:rsid w:val="0045309A"/>
    <w:rsid w:val="004534FE"/>
    <w:rsid w:val="00453684"/>
    <w:rsid w:val="00453703"/>
    <w:rsid w:val="0045417C"/>
    <w:rsid w:val="00454187"/>
    <w:rsid w:val="00454C12"/>
    <w:rsid w:val="004552DD"/>
    <w:rsid w:val="00455E08"/>
    <w:rsid w:val="00456851"/>
    <w:rsid w:val="0045687C"/>
    <w:rsid w:val="00456931"/>
    <w:rsid w:val="00456D30"/>
    <w:rsid w:val="00456DC0"/>
    <w:rsid w:val="004575FA"/>
    <w:rsid w:val="00457C3B"/>
    <w:rsid w:val="0046022F"/>
    <w:rsid w:val="00460292"/>
    <w:rsid w:val="0046093F"/>
    <w:rsid w:val="00461094"/>
    <w:rsid w:val="00461134"/>
    <w:rsid w:val="00461507"/>
    <w:rsid w:val="00461DEA"/>
    <w:rsid w:val="0046278E"/>
    <w:rsid w:val="00462D29"/>
    <w:rsid w:val="00462D37"/>
    <w:rsid w:val="00463307"/>
    <w:rsid w:val="004638AA"/>
    <w:rsid w:val="004638FF"/>
    <w:rsid w:val="00463AA2"/>
    <w:rsid w:val="00464033"/>
    <w:rsid w:val="00464221"/>
    <w:rsid w:val="00465684"/>
    <w:rsid w:val="004657AB"/>
    <w:rsid w:val="00465C1A"/>
    <w:rsid w:val="00466B10"/>
    <w:rsid w:val="00467045"/>
    <w:rsid w:val="004672DD"/>
    <w:rsid w:val="00470256"/>
    <w:rsid w:val="004713E0"/>
    <w:rsid w:val="00471656"/>
    <w:rsid w:val="00471678"/>
    <w:rsid w:val="0047260E"/>
    <w:rsid w:val="004729E7"/>
    <w:rsid w:val="004730E5"/>
    <w:rsid w:val="004732F3"/>
    <w:rsid w:val="0047333C"/>
    <w:rsid w:val="00473D04"/>
    <w:rsid w:val="00473F4B"/>
    <w:rsid w:val="0047419E"/>
    <w:rsid w:val="004743EA"/>
    <w:rsid w:val="004744AF"/>
    <w:rsid w:val="004744C1"/>
    <w:rsid w:val="00475235"/>
    <w:rsid w:val="00475543"/>
    <w:rsid w:val="00475BEE"/>
    <w:rsid w:val="004765A3"/>
    <w:rsid w:val="004766B0"/>
    <w:rsid w:val="004767D0"/>
    <w:rsid w:val="00476B0B"/>
    <w:rsid w:val="00477203"/>
    <w:rsid w:val="00477360"/>
    <w:rsid w:val="004777A2"/>
    <w:rsid w:val="00477AE9"/>
    <w:rsid w:val="00477CDF"/>
    <w:rsid w:val="00480024"/>
    <w:rsid w:val="00480137"/>
    <w:rsid w:val="004804DF"/>
    <w:rsid w:val="00480E32"/>
    <w:rsid w:val="004819C9"/>
    <w:rsid w:val="00482D8D"/>
    <w:rsid w:val="00483430"/>
    <w:rsid w:val="00483928"/>
    <w:rsid w:val="00483F9D"/>
    <w:rsid w:val="004844B3"/>
    <w:rsid w:val="0048561C"/>
    <w:rsid w:val="0048571B"/>
    <w:rsid w:val="004859A4"/>
    <w:rsid w:val="00485D3D"/>
    <w:rsid w:val="004866C3"/>
    <w:rsid w:val="004867B1"/>
    <w:rsid w:val="0048691D"/>
    <w:rsid w:val="0048709F"/>
    <w:rsid w:val="0048731A"/>
    <w:rsid w:val="00487843"/>
    <w:rsid w:val="00487B95"/>
    <w:rsid w:val="00487E84"/>
    <w:rsid w:val="00487FD0"/>
    <w:rsid w:val="0049028F"/>
    <w:rsid w:val="004914ED"/>
    <w:rsid w:val="00491CC6"/>
    <w:rsid w:val="00491D9E"/>
    <w:rsid w:val="00494604"/>
    <w:rsid w:val="00494C47"/>
    <w:rsid w:val="004955A8"/>
    <w:rsid w:val="0049593B"/>
    <w:rsid w:val="00495D01"/>
    <w:rsid w:val="00496793"/>
    <w:rsid w:val="00496F85"/>
    <w:rsid w:val="00497367"/>
    <w:rsid w:val="0049776D"/>
    <w:rsid w:val="004978E5"/>
    <w:rsid w:val="004979D5"/>
    <w:rsid w:val="00497FA0"/>
    <w:rsid w:val="004A0371"/>
    <w:rsid w:val="004A03BE"/>
    <w:rsid w:val="004A06E6"/>
    <w:rsid w:val="004A1602"/>
    <w:rsid w:val="004A20EA"/>
    <w:rsid w:val="004A24D7"/>
    <w:rsid w:val="004A257F"/>
    <w:rsid w:val="004A3707"/>
    <w:rsid w:val="004A3795"/>
    <w:rsid w:val="004A3CFD"/>
    <w:rsid w:val="004A3E92"/>
    <w:rsid w:val="004A48F2"/>
    <w:rsid w:val="004A49A0"/>
    <w:rsid w:val="004A50EB"/>
    <w:rsid w:val="004A55FA"/>
    <w:rsid w:val="004A5958"/>
    <w:rsid w:val="004A5B05"/>
    <w:rsid w:val="004A5B7E"/>
    <w:rsid w:val="004A5DC3"/>
    <w:rsid w:val="004A6181"/>
    <w:rsid w:val="004A6F0E"/>
    <w:rsid w:val="004A7010"/>
    <w:rsid w:val="004A7EE6"/>
    <w:rsid w:val="004B00F6"/>
    <w:rsid w:val="004B02D0"/>
    <w:rsid w:val="004B0A99"/>
    <w:rsid w:val="004B18AE"/>
    <w:rsid w:val="004B1F27"/>
    <w:rsid w:val="004B207A"/>
    <w:rsid w:val="004B24BC"/>
    <w:rsid w:val="004B2EA3"/>
    <w:rsid w:val="004B31C5"/>
    <w:rsid w:val="004B3234"/>
    <w:rsid w:val="004B34C3"/>
    <w:rsid w:val="004B35E8"/>
    <w:rsid w:val="004B4027"/>
    <w:rsid w:val="004B4229"/>
    <w:rsid w:val="004B4681"/>
    <w:rsid w:val="004B48A8"/>
    <w:rsid w:val="004B5152"/>
    <w:rsid w:val="004B531D"/>
    <w:rsid w:val="004B5948"/>
    <w:rsid w:val="004B595B"/>
    <w:rsid w:val="004B65DA"/>
    <w:rsid w:val="004B6967"/>
    <w:rsid w:val="004B6F7B"/>
    <w:rsid w:val="004C0483"/>
    <w:rsid w:val="004C0DB9"/>
    <w:rsid w:val="004C15A3"/>
    <w:rsid w:val="004C1F98"/>
    <w:rsid w:val="004C2095"/>
    <w:rsid w:val="004C20CE"/>
    <w:rsid w:val="004C236B"/>
    <w:rsid w:val="004C2616"/>
    <w:rsid w:val="004C266D"/>
    <w:rsid w:val="004C2887"/>
    <w:rsid w:val="004C2B9D"/>
    <w:rsid w:val="004C3DA5"/>
    <w:rsid w:val="004C41F4"/>
    <w:rsid w:val="004C42AB"/>
    <w:rsid w:val="004C4712"/>
    <w:rsid w:val="004C4925"/>
    <w:rsid w:val="004C4E5D"/>
    <w:rsid w:val="004C5965"/>
    <w:rsid w:val="004C6003"/>
    <w:rsid w:val="004C62D1"/>
    <w:rsid w:val="004C6E5A"/>
    <w:rsid w:val="004C7318"/>
    <w:rsid w:val="004C7A83"/>
    <w:rsid w:val="004C7B32"/>
    <w:rsid w:val="004D14C4"/>
    <w:rsid w:val="004D168F"/>
    <w:rsid w:val="004D221D"/>
    <w:rsid w:val="004D3578"/>
    <w:rsid w:val="004D36AC"/>
    <w:rsid w:val="004D44EC"/>
    <w:rsid w:val="004D46D0"/>
    <w:rsid w:val="004D4D7C"/>
    <w:rsid w:val="004D4ECD"/>
    <w:rsid w:val="004D5C51"/>
    <w:rsid w:val="004D71B1"/>
    <w:rsid w:val="004D739E"/>
    <w:rsid w:val="004D767B"/>
    <w:rsid w:val="004D780B"/>
    <w:rsid w:val="004D7C9B"/>
    <w:rsid w:val="004E04E9"/>
    <w:rsid w:val="004E0D21"/>
    <w:rsid w:val="004E1D2E"/>
    <w:rsid w:val="004E21B9"/>
    <w:rsid w:val="004E25F7"/>
    <w:rsid w:val="004E291F"/>
    <w:rsid w:val="004E3132"/>
    <w:rsid w:val="004E3940"/>
    <w:rsid w:val="004E3956"/>
    <w:rsid w:val="004E4CDC"/>
    <w:rsid w:val="004E4F04"/>
    <w:rsid w:val="004E55B9"/>
    <w:rsid w:val="004E5D55"/>
    <w:rsid w:val="004E6BC9"/>
    <w:rsid w:val="004E6E92"/>
    <w:rsid w:val="004E751B"/>
    <w:rsid w:val="004F0448"/>
    <w:rsid w:val="004F048D"/>
    <w:rsid w:val="004F0E9E"/>
    <w:rsid w:val="004F109B"/>
    <w:rsid w:val="004F1FD1"/>
    <w:rsid w:val="004F207B"/>
    <w:rsid w:val="004F269D"/>
    <w:rsid w:val="004F269E"/>
    <w:rsid w:val="004F2763"/>
    <w:rsid w:val="004F29F2"/>
    <w:rsid w:val="004F32E8"/>
    <w:rsid w:val="004F4039"/>
    <w:rsid w:val="004F4932"/>
    <w:rsid w:val="004F4B72"/>
    <w:rsid w:val="004F5142"/>
    <w:rsid w:val="004F51AF"/>
    <w:rsid w:val="004F52AA"/>
    <w:rsid w:val="004F562B"/>
    <w:rsid w:val="004F56D3"/>
    <w:rsid w:val="004F5A4F"/>
    <w:rsid w:val="004F5E99"/>
    <w:rsid w:val="004F5F07"/>
    <w:rsid w:val="004F5F1B"/>
    <w:rsid w:val="004F647A"/>
    <w:rsid w:val="005000E1"/>
    <w:rsid w:val="00501AA8"/>
    <w:rsid w:val="00501BAE"/>
    <w:rsid w:val="00501F39"/>
    <w:rsid w:val="00502455"/>
    <w:rsid w:val="00502E9D"/>
    <w:rsid w:val="00503D99"/>
    <w:rsid w:val="0050423D"/>
    <w:rsid w:val="0050439C"/>
    <w:rsid w:val="005046B9"/>
    <w:rsid w:val="005049C3"/>
    <w:rsid w:val="005049FA"/>
    <w:rsid w:val="00504BA4"/>
    <w:rsid w:val="005055DD"/>
    <w:rsid w:val="0050623B"/>
    <w:rsid w:val="005064E6"/>
    <w:rsid w:val="0050664C"/>
    <w:rsid w:val="005067EC"/>
    <w:rsid w:val="00506870"/>
    <w:rsid w:val="00506BE8"/>
    <w:rsid w:val="005072D7"/>
    <w:rsid w:val="00507414"/>
    <w:rsid w:val="00507AA5"/>
    <w:rsid w:val="00507D34"/>
    <w:rsid w:val="005102D3"/>
    <w:rsid w:val="00510B5F"/>
    <w:rsid w:val="00510D45"/>
    <w:rsid w:val="005115E7"/>
    <w:rsid w:val="00511B03"/>
    <w:rsid w:val="00511C57"/>
    <w:rsid w:val="00511DDB"/>
    <w:rsid w:val="00511F3E"/>
    <w:rsid w:val="00512117"/>
    <w:rsid w:val="00513A79"/>
    <w:rsid w:val="00513D75"/>
    <w:rsid w:val="00514E81"/>
    <w:rsid w:val="005154CD"/>
    <w:rsid w:val="00515AA7"/>
    <w:rsid w:val="0051767D"/>
    <w:rsid w:val="00517BEB"/>
    <w:rsid w:val="00520222"/>
    <w:rsid w:val="00520450"/>
    <w:rsid w:val="00520AC0"/>
    <w:rsid w:val="00520B01"/>
    <w:rsid w:val="00520B33"/>
    <w:rsid w:val="00521A46"/>
    <w:rsid w:val="00521BAD"/>
    <w:rsid w:val="00521F51"/>
    <w:rsid w:val="005225B1"/>
    <w:rsid w:val="0052265A"/>
    <w:rsid w:val="0052291E"/>
    <w:rsid w:val="00522E09"/>
    <w:rsid w:val="0052402B"/>
    <w:rsid w:val="00524C5E"/>
    <w:rsid w:val="00526222"/>
    <w:rsid w:val="00526606"/>
    <w:rsid w:val="00526A6F"/>
    <w:rsid w:val="00530079"/>
    <w:rsid w:val="00530980"/>
    <w:rsid w:val="00531348"/>
    <w:rsid w:val="005313DE"/>
    <w:rsid w:val="00531749"/>
    <w:rsid w:val="00531E2B"/>
    <w:rsid w:val="00531E76"/>
    <w:rsid w:val="00532480"/>
    <w:rsid w:val="00534185"/>
    <w:rsid w:val="00534392"/>
    <w:rsid w:val="00534641"/>
    <w:rsid w:val="00534A73"/>
    <w:rsid w:val="005353D3"/>
    <w:rsid w:val="005355E4"/>
    <w:rsid w:val="00535A5B"/>
    <w:rsid w:val="005360CC"/>
    <w:rsid w:val="00536B26"/>
    <w:rsid w:val="00537167"/>
    <w:rsid w:val="005407D1"/>
    <w:rsid w:val="00540D26"/>
    <w:rsid w:val="00540D2A"/>
    <w:rsid w:val="00540EAF"/>
    <w:rsid w:val="00541307"/>
    <w:rsid w:val="00542842"/>
    <w:rsid w:val="00542EC5"/>
    <w:rsid w:val="0054312A"/>
    <w:rsid w:val="0054370A"/>
    <w:rsid w:val="00543885"/>
    <w:rsid w:val="00544B75"/>
    <w:rsid w:val="00545A6F"/>
    <w:rsid w:val="00545FC3"/>
    <w:rsid w:val="00545FE3"/>
    <w:rsid w:val="0054627E"/>
    <w:rsid w:val="00546591"/>
    <w:rsid w:val="00546A25"/>
    <w:rsid w:val="00546D03"/>
    <w:rsid w:val="00547240"/>
    <w:rsid w:val="00547565"/>
    <w:rsid w:val="00547843"/>
    <w:rsid w:val="00547B56"/>
    <w:rsid w:val="00550DBD"/>
    <w:rsid w:val="00550F3D"/>
    <w:rsid w:val="00551F38"/>
    <w:rsid w:val="005523E2"/>
    <w:rsid w:val="0055293F"/>
    <w:rsid w:val="00552A3A"/>
    <w:rsid w:val="005535C4"/>
    <w:rsid w:val="00553C2B"/>
    <w:rsid w:val="00553E28"/>
    <w:rsid w:val="0055475C"/>
    <w:rsid w:val="00554C4A"/>
    <w:rsid w:val="005554AE"/>
    <w:rsid w:val="00555D46"/>
    <w:rsid w:val="00556041"/>
    <w:rsid w:val="005561F9"/>
    <w:rsid w:val="00556CA6"/>
    <w:rsid w:val="00557B5C"/>
    <w:rsid w:val="00560364"/>
    <w:rsid w:val="00560733"/>
    <w:rsid w:val="00561208"/>
    <w:rsid w:val="00561A23"/>
    <w:rsid w:val="00561B4D"/>
    <w:rsid w:val="00561B94"/>
    <w:rsid w:val="0056212E"/>
    <w:rsid w:val="00562437"/>
    <w:rsid w:val="005633C0"/>
    <w:rsid w:val="0056451E"/>
    <w:rsid w:val="0056498B"/>
    <w:rsid w:val="00564A61"/>
    <w:rsid w:val="00564C2A"/>
    <w:rsid w:val="00564CE9"/>
    <w:rsid w:val="00565015"/>
    <w:rsid w:val="00565605"/>
    <w:rsid w:val="0056655D"/>
    <w:rsid w:val="005665E1"/>
    <w:rsid w:val="00566CC1"/>
    <w:rsid w:val="00566F90"/>
    <w:rsid w:val="0056744A"/>
    <w:rsid w:val="00567FC8"/>
    <w:rsid w:val="00571021"/>
    <w:rsid w:val="0057158A"/>
    <w:rsid w:val="0057166B"/>
    <w:rsid w:val="0057170C"/>
    <w:rsid w:val="0057214D"/>
    <w:rsid w:val="005723C8"/>
    <w:rsid w:val="0057267F"/>
    <w:rsid w:val="0057282A"/>
    <w:rsid w:val="00572991"/>
    <w:rsid w:val="0057307A"/>
    <w:rsid w:val="00573471"/>
    <w:rsid w:val="00573F33"/>
    <w:rsid w:val="005741A9"/>
    <w:rsid w:val="00575264"/>
    <w:rsid w:val="005756BD"/>
    <w:rsid w:val="00575D6B"/>
    <w:rsid w:val="00575E61"/>
    <w:rsid w:val="00577870"/>
    <w:rsid w:val="00580659"/>
    <w:rsid w:val="00580E9B"/>
    <w:rsid w:val="00581516"/>
    <w:rsid w:val="00581EBF"/>
    <w:rsid w:val="00582414"/>
    <w:rsid w:val="00582ED8"/>
    <w:rsid w:val="00583367"/>
    <w:rsid w:val="00583824"/>
    <w:rsid w:val="005840E9"/>
    <w:rsid w:val="0058444C"/>
    <w:rsid w:val="00584492"/>
    <w:rsid w:val="005847F5"/>
    <w:rsid w:val="0058617A"/>
    <w:rsid w:val="005861FA"/>
    <w:rsid w:val="00586C77"/>
    <w:rsid w:val="00586E9E"/>
    <w:rsid w:val="0059070A"/>
    <w:rsid w:val="005916CE"/>
    <w:rsid w:val="00591B17"/>
    <w:rsid w:val="00591D5A"/>
    <w:rsid w:val="005925E6"/>
    <w:rsid w:val="00592A30"/>
    <w:rsid w:val="00592A7C"/>
    <w:rsid w:val="00592C8E"/>
    <w:rsid w:val="00593CCA"/>
    <w:rsid w:val="00593E06"/>
    <w:rsid w:val="00594D41"/>
    <w:rsid w:val="00595511"/>
    <w:rsid w:val="00595633"/>
    <w:rsid w:val="00595AA5"/>
    <w:rsid w:val="00595ADD"/>
    <w:rsid w:val="00595CBA"/>
    <w:rsid w:val="00595D4B"/>
    <w:rsid w:val="00595E5F"/>
    <w:rsid w:val="00596603"/>
    <w:rsid w:val="00596A85"/>
    <w:rsid w:val="00597741"/>
    <w:rsid w:val="005979B0"/>
    <w:rsid w:val="00597EF3"/>
    <w:rsid w:val="005A099D"/>
    <w:rsid w:val="005A0B08"/>
    <w:rsid w:val="005A1636"/>
    <w:rsid w:val="005A2508"/>
    <w:rsid w:val="005A28AE"/>
    <w:rsid w:val="005A370E"/>
    <w:rsid w:val="005A3BDC"/>
    <w:rsid w:val="005A51E1"/>
    <w:rsid w:val="005A55F6"/>
    <w:rsid w:val="005A5AA4"/>
    <w:rsid w:val="005A5CAE"/>
    <w:rsid w:val="005A5EA1"/>
    <w:rsid w:val="005A733C"/>
    <w:rsid w:val="005A74F3"/>
    <w:rsid w:val="005B0247"/>
    <w:rsid w:val="005B0838"/>
    <w:rsid w:val="005B0C78"/>
    <w:rsid w:val="005B0C8E"/>
    <w:rsid w:val="005B0E1F"/>
    <w:rsid w:val="005B11E4"/>
    <w:rsid w:val="005B1E7A"/>
    <w:rsid w:val="005B20AE"/>
    <w:rsid w:val="005B2BFF"/>
    <w:rsid w:val="005B2D90"/>
    <w:rsid w:val="005B2E76"/>
    <w:rsid w:val="005B3F82"/>
    <w:rsid w:val="005B5120"/>
    <w:rsid w:val="005B514E"/>
    <w:rsid w:val="005B5382"/>
    <w:rsid w:val="005B55D7"/>
    <w:rsid w:val="005B5918"/>
    <w:rsid w:val="005B5ADB"/>
    <w:rsid w:val="005B6F13"/>
    <w:rsid w:val="005B72B9"/>
    <w:rsid w:val="005B7A0A"/>
    <w:rsid w:val="005C0CD8"/>
    <w:rsid w:val="005C1163"/>
    <w:rsid w:val="005C1341"/>
    <w:rsid w:val="005C2175"/>
    <w:rsid w:val="005C22A1"/>
    <w:rsid w:val="005C2578"/>
    <w:rsid w:val="005C25E8"/>
    <w:rsid w:val="005C2D8B"/>
    <w:rsid w:val="005C3202"/>
    <w:rsid w:val="005C3B2F"/>
    <w:rsid w:val="005C3BD6"/>
    <w:rsid w:val="005C3DE7"/>
    <w:rsid w:val="005C49B1"/>
    <w:rsid w:val="005C5051"/>
    <w:rsid w:val="005C54BF"/>
    <w:rsid w:val="005C5C04"/>
    <w:rsid w:val="005C5E37"/>
    <w:rsid w:val="005C6E8F"/>
    <w:rsid w:val="005C7F40"/>
    <w:rsid w:val="005D0807"/>
    <w:rsid w:val="005D1106"/>
    <w:rsid w:val="005D263E"/>
    <w:rsid w:val="005D2787"/>
    <w:rsid w:val="005D29AD"/>
    <w:rsid w:val="005D2A80"/>
    <w:rsid w:val="005D2D5C"/>
    <w:rsid w:val="005D3A2A"/>
    <w:rsid w:val="005D585C"/>
    <w:rsid w:val="005D645A"/>
    <w:rsid w:val="005D718C"/>
    <w:rsid w:val="005D7354"/>
    <w:rsid w:val="005D77D7"/>
    <w:rsid w:val="005D79FC"/>
    <w:rsid w:val="005D7EDF"/>
    <w:rsid w:val="005E09B2"/>
    <w:rsid w:val="005E0DFF"/>
    <w:rsid w:val="005E1283"/>
    <w:rsid w:val="005E15AE"/>
    <w:rsid w:val="005E1949"/>
    <w:rsid w:val="005E1D17"/>
    <w:rsid w:val="005E1F80"/>
    <w:rsid w:val="005E208D"/>
    <w:rsid w:val="005E21A2"/>
    <w:rsid w:val="005E2E55"/>
    <w:rsid w:val="005E2F86"/>
    <w:rsid w:val="005E35A5"/>
    <w:rsid w:val="005E3EA5"/>
    <w:rsid w:val="005E4310"/>
    <w:rsid w:val="005E4BC5"/>
    <w:rsid w:val="005E5574"/>
    <w:rsid w:val="005E6773"/>
    <w:rsid w:val="005E68ED"/>
    <w:rsid w:val="005E6F12"/>
    <w:rsid w:val="005E71F8"/>
    <w:rsid w:val="005E764C"/>
    <w:rsid w:val="005F0674"/>
    <w:rsid w:val="005F0EAD"/>
    <w:rsid w:val="005F12F4"/>
    <w:rsid w:val="005F2065"/>
    <w:rsid w:val="005F24C3"/>
    <w:rsid w:val="005F3004"/>
    <w:rsid w:val="005F320B"/>
    <w:rsid w:val="005F38E1"/>
    <w:rsid w:val="005F3E38"/>
    <w:rsid w:val="005F4299"/>
    <w:rsid w:val="005F4909"/>
    <w:rsid w:val="005F51B3"/>
    <w:rsid w:val="005F5264"/>
    <w:rsid w:val="005F5A77"/>
    <w:rsid w:val="005F5C60"/>
    <w:rsid w:val="005F5D21"/>
    <w:rsid w:val="005F61BD"/>
    <w:rsid w:val="005F61DB"/>
    <w:rsid w:val="005F67FE"/>
    <w:rsid w:val="005F68A7"/>
    <w:rsid w:val="005F7233"/>
    <w:rsid w:val="005F7256"/>
    <w:rsid w:val="005F7285"/>
    <w:rsid w:val="005F744D"/>
    <w:rsid w:val="005F750A"/>
    <w:rsid w:val="00600290"/>
    <w:rsid w:val="00600635"/>
    <w:rsid w:val="006012B9"/>
    <w:rsid w:val="00602914"/>
    <w:rsid w:val="00602C7D"/>
    <w:rsid w:val="00604621"/>
    <w:rsid w:val="00604BC3"/>
    <w:rsid w:val="00605441"/>
    <w:rsid w:val="00605DFB"/>
    <w:rsid w:val="006060F0"/>
    <w:rsid w:val="00606326"/>
    <w:rsid w:val="006064F0"/>
    <w:rsid w:val="00606840"/>
    <w:rsid w:val="006069F7"/>
    <w:rsid w:val="00606CBB"/>
    <w:rsid w:val="00607563"/>
    <w:rsid w:val="00607A31"/>
    <w:rsid w:val="00610726"/>
    <w:rsid w:val="00610914"/>
    <w:rsid w:val="006109C8"/>
    <w:rsid w:val="00610C25"/>
    <w:rsid w:val="006112AD"/>
    <w:rsid w:val="006115B6"/>
    <w:rsid w:val="0061166A"/>
    <w:rsid w:val="00611B59"/>
    <w:rsid w:val="00612878"/>
    <w:rsid w:val="006129A5"/>
    <w:rsid w:val="00613898"/>
    <w:rsid w:val="0061404D"/>
    <w:rsid w:val="00615803"/>
    <w:rsid w:val="006163AC"/>
    <w:rsid w:val="006166B1"/>
    <w:rsid w:val="00616CA1"/>
    <w:rsid w:val="00617A19"/>
    <w:rsid w:val="00617ECA"/>
    <w:rsid w:val="00620ED0"/>
    <w:rsid w:val="0062115C"/>
    <w:rsid w:val="006223EB"/>
    <w:rsid w:val="00622D2B"/>
    <w:rsid w:val="006236B0"/>
    <w:rsid w:val="00623A8C"/>
    <w:rsid w:val="00624D82"/>
    <w:rsid w:val="00624DD0"/>
    <w:rsid w:val="006260EB"/>
    <w:rsid w:val="0062673B"/>
    <w:rsid w:val="006268D3"/>
    <w:rsid w:val="00626DEB"/>
    <w:rsid w:val="00627098"/>
    <w:rsid w:val="0062768C"/>
    <w:rsid w:val="00627876"/>
    <w:rsid w:val="00627BDD"/>
    <w:rsid w:val="00627CE1"/>
    <w:rsid w:val="00627D81"/>
    <w:rsid w:val="00630431"/>
    <w:rsid w:val="00630584"/>
    <w:rsid w:val="00630FA2"/>
    <w:rsid w:val="0063142B"/>
    <w:rsid w:val="0063154C"/>
    <w:rsid w:val="0063179C"/>
    <w:rsid w:val="00631820"/>
    <w:rsid w:val="00631DFE"/>
    <w:rsid w:val="00631F01"/>
    <w:rsid w:val="00632A73"/>
    <w:rsid w:val="00633292"/>
    <w:rsid w:val="00634572"/>
    <w:rsid w:val="00634787"/>
    <w:rsid w:val="006349BF"/>
    <w:rsid w:val="00634AAE"/>
    <w:rsid w:val="006353B2"/>
    <w:rsid w:val="00635702"/>
    <w:rsid w:val="00635EC8"/>
    <w:rsid w:val="006360B2"/>
    <w:rsid w:val="00637844"/>
    <w:rsid w:val="006378D6"/>
    <w:rsid w:val="00637F95"/>
    <w:rsid w:val="0064001B"/>
    <w:rsid w:val="00640166"/>
    <w:rsid w:val="00640BD6"/>
    <w:rsid w:val="00640F2E"/>
    <w:rsid w:val="00640F49"/>
    <w:rsid w:val="006412BA"/>
    <w:rsid w:val="00641C5E"/>
    <w:rsid w:val="00642AA5"/>
    <w:rsid w:val="00642FB0"/>
    <w:rsid w:val="006431D6"/>
    <w:rsid w:val="006437B8"/>
    <w:rsid w:val="00643F02"/>
    <w:rsid w:val="006440D2"/>
    <w:rsid w:val="00644E65"/>
    <w:rsid w:val="00644F51"/>
    <w:rsid w:val="00645960"/>
    <w:rsid w:val="006462BD"/>
    <w:rsid w:val="006464DF"/>
    <w:rsid w:val="006472CB"/>
    <w:rsid w:val="00647E4B"/>
    <w:rsid w:val="00651163"/>
    <w:rsid w:val="00651664"/>
    <w:rsid w:val="00651723"/>
    <w:rsid w:val="00652270"/>
    <w:rsid w:val="0065354C"/>
    <w:rsid w:val="00653715"/>
    <w:rsid w:val="00653829"/>
    <w:rsid w:val="00653AA0"/>
    <w:rsid w:val="00654EAD"/>
    <w:rsid w:val="00655854"/>
    <w:rsid w:val="00655AE6"/>
    <w:rsid w:val="006560E0"/>
    <w:rsid w:val="00656894"/>
    <w:rsid w:val="00656CDA"/>
    <w:rsid w:val="00656E85"/>
    <w:rsid w:val="00657DA2"/>
    <w:rsid w:val="0066035C"/>
    <w:rsid w:val="00660AA1"/>
    <w:rsid w:val="0066102E"/>
    <w:rsid w:val="006613C9"/>
    <w:rsid w:val="0066145D"/>
    <w:rsid w:val="006620D5"/>
    <w:rsid w:val="006625D4"/>
    <w:rsid w:val="00662EFE"/>
    <w:rsid w:val="006632A0"/>
    <w:rsid w:val="006632D4"/>
    <w:rsid w:val="0066391F"/>
    <w:rsid w:val="00663C73"/>
    <w:rsid w:val="00663DA0"/>
    <w:rsid w:val="00664113"/>
    <w:rsid w:val="006645C4"/>
    <w:rsid w:val="0066469E"/>
    <w:rsid w:val="006649D2"/>
    <w:rsid w:val="00664D28"/>
    <w:rsid w:val="0066584F"/>
    <w:rsid w:val="00665B4D"/>
    <w:rsid w:val="006662CC"/>
    <w:rsid w:val="006664B8"/>
    <w:rsid w:val="006668EF"/>
    <w:rsid w:val="0066739B"/>
    <w:rsid w:val="0066747E"/>
    <w:rsid w:val="006675CB"/>
    <w:rsid w:val="0066783F"/>
    <w:rsid w:val="00670323"/>
    <w:rsid w:val="00670824"/>
    <w:rsid w:val="00670C93"/>
    <w:rsid w:val="00670EB5"/>
    <w:rsid w:val="006711D5"/>
    <w:rsid w:val="00671FBC"/>
    <w:rsid w:val="00673572"/>
    <w:rsid w:val="00674C5D"/>
    <w:rsid w:val="00674D79"/>
    <w:rsid w:val="00674FC1"/>
    <w:rsid w:val="0067559E"/>
    <w:rsid w:val="00675E6E"/>
    <w:rsid w:val="006763B9"/>
    <w:rsid w:val="006769E4"/>
    <w:rsid w:val="00676BD0"/>
    <w:rsid w:val="00676FD6"/>
    <w:rsid w:val="00677417"/>
    <w:rsid w:val="0067785A"/>
    <w:rsid w:val="00677BDD"/>
    <w:rsid w:val="0068000F"/>
    <w:rsid w:val="00680967"/>
    <w:rsid w:val="00681A69"/>
    <w:rsid w:val="006823FD"/>
    <w:rsid w:val="006826A8"/>
    <w:rsid w:val="00682C43"/>
    <w:rsid w:val="00682E24"/>
    <w:rsid w:val="00682FCB"/>
    <w:rsid w:val="00683327"/>
    <w:rsid w:val="006834A9"/>
    <w:rsid w:val="0068394A"/>
    <w:rsid w:val="00683A29"/>
    <w:rsid w:val="006843E7"/>
    <w:rsid w:val="00684582"/>
    <w:rsid w:val="00685034"/>
    <w:rsid w:val="00685179"/>
    <w:rsid w:val="00685317"/>
    <w:rsid w:val="006857A0"/>
    <w:rsid w:val="00686572"/>
    <w:rsid w:val="00686C92"/>
    <w:rsid w:val="00686EED"/>
    <w:rsid w:val="0068762B"/>
    <w:rsid w:val="0069007E"/>
    <w:rsid w:val="00690157"/>
    <w:rsid w:val="006905DF"/>
    <w:rsid w:val="00690681"/>
    <w:rsid w:val="006907FA"/>
    <w:rsid w:val="00691206"/>
    <w:rsid w:val="00691966"/>
    <w:rsid w:val="0069209F"/>
    <w:rsid w:val="0069260C"/>
    <w:rsid w:val="00692C45"/>
    <w:rsid w:val="00692D94"/>
    <w:rsid w:val="00692DE2"/>
    <w:rsid w:val="00692E12"/>
    <w:rsid w:val="00693145"/>
    <w:rsid w:val="00693192"/>
    <w:rsid w:val="006931A7"/>
    <w:rsid w:val="006936EE"/>
    <w:rsid w:val="0069388F"/>
    <w:rsid w:val="0069390B"/>
    <w:rsid w:val="00693F89"/>
    <w:rsid w:val="0069415E"/>
    <w:rsid w:val="006945DC"/>
    <w:rsid w:val="00695227"/>
    <w:rsid w:val="00695947"/>
    <w:rsid w:val="00695BDA"/>
    <w:rsid w:val="00696572"/>
    <w:rsid w:val="00696B17"/>
    <w:rsid w:val="00696E79"/>
    <w:rsid w:val="00697270"/>
    <w:rsid w:val="0069785D"/>
    <w:rsid w:val="006A09FB"/>
    <w:rsid w:val="006A0AC9"/>
    <w:rsid w:val="006A0D63"/>
    <w:rsid w:val="006A10E3"/>
    <w:rsid w:val="006A1B05"/>
    <w:rsid w:val="006A1EF0"/>
    <w:rsid w:val="006A1FC5"/>
    <w:rsid w:val="006A23A2"/>
    <w:rsid w:val="006A24DE"/>
    <w:rsid w:val="006A26E9"/>
    <w:rsid w:val="006A28C1"/>
    <w:rsid w:val="006A29D2"/>
    <w:rsid w:val="006A305E"/>
    <w:rsid w:val="006A3CE0"/>
    <w:rsid w:val="006A45CC"/>
    <w:rsid w:val="006A45E0"/>
    <w:rsid w:val="006A4C4B"/>
    <w:rsid w:val="006A4C51"/>
    <w:rsid w:val="006A51CD"/>
    <w:rsid w:val="006A6424"/>
    <w:rsid w:val="006A6DA5"/>
    <w:rsid w:val="006A7014"/>
    <w:rsid w:val="006A7026"/>
    <w:rsid w:val="006A72F5"/>
    <w:rsid w:val="006A730D"/>
    <w:rsid w:val="006A7695"/>
    <w:rsid w:val="006B00DF"/>
    <w:rsid w:val="006B01D6"/>
    <w:rsid w:val="006B0F38"/>
    <w:rsid w:val="006B0F6B"/>
    <w:rsid w:val="006B36A1"/>
    <w:rsid w:val="006B3B7E"/>
    <w:rsid w:val="006B3F61"/>
    <w:rsid w:val="006B4098"/>
    <w:rsid w:val="006B417D"/>
    <w:rsid w:val="006B4C80"/>
    <w:rsid w:val="006B51AA"/>
    <w:rsid w:val="006B690D"/>
    <w:rsid w:val="006B6C40"/>
    <w:rsid w:val="006B6D96"/>
    <w:rsid w:val="006B7067"/>
    <w:rsid w:val="006B7361"/>
    <w:rsid w:val="006C013B"/>
    <w:rsid w:val="006C19DB"/>
    <w:rsid w:val="006C1B55"/>
    <w:rsid w:val="006C1BB0"/>
    <w:rsid w:val="006C269B"/>
    <w:rsid w:val="006C2AB5"/>
    <w:rsid w:val="006C2F4A"/>
    <w:rsid w:val="006C2FF4"/>
    <w:rsid w:val="006C313C"/>
    <w:rsid w:val="006C3415"/>
    <w:rsid w:val="006C3BEB"/>
    <w:rsid w:val="006C3CC5"/>
    <w:rsid w:val="006C4500"/>
    <w:rsid w:val="006C488A"/>
    <w:rsid w:val="006C5019"/>
    <w:rsid w:val="006C53E5"/>
    <w:rsid w:val="006C54C7"/>
    <w:rsid w:val="006C578A"/>
    <w:rsid w:val="006C6988"/>
    <w:rsid w:val="006C6AE1"/>
    <w:rsid w:val="006C745F"/>
    <w:rsid w:val="006D0A7F"/>
    <w:rsid w:val="006D0C78"/>
    <w:rsid w:val="006D1A37"/>
    <w:rsid w:val="006D222C"/>
    <w:rsid w:val="006D231A"/>
    <w:rsid w:val="006D2914"/>
    <w:rsid w:val="006D2F68"/>
    <w:rsid w:val="006D3322"/>
    <w:rsid w:val="006D3993"/>
    <w:rsid w:val="006D4345"/>
    <w:rsid w:val="006D4C12"/>
    <w:rsid w:val="006D5790"/>
    <w:rsid w:val="006D669D"/>
    <w:rsid w:val="006D6A03"/>
    <w:rsid w:val="006D6B1D"/>
    <w:rsid w:val="006D7193"/>
    <w:rsid w:val="006D7446"/>
    <w:rsid w:val="006D780A"/>
    <w:rsid w:val="006D7C3B"/>
    <w:rsid w:val="006D7E20"/>
    <w:rsid w:val="006D7E2F"/>
    <w:rsid w:val="006D7FA7"/>
    <w:rsid w:val="006E0439"/>
    <w:rsid w:val="006E056E"/>
    <w:rsid w:val="006E0A2A"/>
    <w:rsid w:val="006E0AAE"/>
    <w:rsid w:val="006E148C"/>
    <w:rsid w:val="006E230D"/>
    <w:rsid w:val="006E23EA"/>
    <w:rsid w:val="006E25AC"/>
    <w:rsid w:val="006E2DF5"/>
    <w:rsid w:val="006E33BE"/>
    <w:rsid w:val="006E4713"/>
    <w:rsid w:val="006E4879"/>
    <w:rsid w:val="006E506D"/>
    <w:rsid w:val="006E53D2"/>
    <w:rsid w:val="006E5561"/>
    <w:rsid w:val="006E55E0"/>
    <w:rsid w:val="006E6615"/>
    <w:rsid w:val="006E77F1"/>
    <w:rsid w:val="006E78AB"/>
    <w:rsid w:val="006E7EF0"/>
    <w:rsid w:val="006F02AA"/>
    <w:rsid w:val="006F0867"/>
    <w:rsid w:val="006F10D3"/>
    <w:rsid w:val="006F1455"/>
    <w:rsid w:val="006F15AB"/>
    <w:rsid w:val="006F180C"/>
    <w:rsid w:val="006F229D"/>
    <w:rsid w:val="006F27AA"/>
    <w:rsid w:val="006F33D7"/>
    <w:rsid w:val="006F3765"/>
    <w:rsid w:val="006F3C74"/>
    <w:rsid w:val="006F4135"/>
    <w:rsid w:val="006F416A"/>
    <w:rsid w:val="006F44F6"/>
    <w:rsid w:val="006F56E3"/>
    <w:rsid w:val="006F58AE"/>
    <w:rsid w:val="006F5A82"/>
    <w:rsid w:val="006F7F45"/>
    <w:rsid w:val="00700857"/>
    <w:rsid w:val="007010CA"/>
    <w:rsid w:val="00701199"/>
    <w:rsid w:val="007013DD"/>
    <w:rsid w:val="00701DFA"/>
    <w:rsid w:val="00701ED9"/>
    <w:rsid w:val="00702461"/>
    <w:rsid w:val="0070297E"/>
    <w:rsid w:val="00702DD5"/>
    <w:rsid w:val="0070329F"/>
    <w:rsid w:val="00703330"/>
    <w:rsid w:val="00703378"/>
    <w:rsid w:val="00704EC6"/>
    <w:rsid w:val="00704EFB"/>
    <w:rsid w:val="00705091"/>
    <w:rsid w:val="00705469"/>
    <w:rsid w:val="00705A31"/>
    <w:rsid w:val="00705FA9"/>
    <w:rsid w:val="00706693"/>
    <w:rsid w:val="007067E4"/>
    <w:rsid w:val="00706D42"/>
    <w:rsid w:val="00706E5F"/>
    <w:rsid w:val="0070700E"/>
    <w:rsid w:val="00707041"/>
    <w:rsid w:val="00707070"/>
    <w:rsid w:val="0070759D"/>
    <w:rsid w:val="00707E37"/>
    <w:rsid w:val="00710144"/>
    <w:rsid w:val="00710F6E"/>
    <w:rsid w:val="0071194C"/>
    <w:rsid w:val="00711B1D"/>
    <w:rsid w:val="007126C4"/>
    <w:rsid w:val="00713580"/>
    <w:rsid w:val="00713AD1"/>
    <w:rsid w:val="00713D05"/>
    <w:rsid w:val="00713E41"/>
    <w:rsid w:val="007140F2"/>
    <w:rsid w:val="0071421D"/>
    <w:rsid w:val="007146BF"/>
    <w:rsid w:val="00714A81"/>
    <w:rsid w:val="0071509B"/>
    <w:rsid w:val="0071573B"/>
    <w:rsid w:val="007158F3"/>
    <w:rsid w:val="00716300"/>
    <w:rsid w:val="007171F9"/>
    <w:rsid w:val="00717688"/>
    <w:rsid w:val="00717DD5"/>
    <w:rsid w:val="00717E3E"/>
    <w:rsid w:val="00720FEB"/>
    <w:rsid w:val="0072171B"/>
    <w:rsid w:val="007222DA"/>
    <w:rsid w:val="0072257E"/>
    <w:rsid w:val="00722919"/>
    <w:rsid w:val="0072299A"/>
    <w:rsid w:val="00722DAD"/>
    <w:rsid w:val="00723D39"/>
    <w:rsid w:val="00723DA7"/>
    <w:rsid w:val="00723F0A"/>
    <w:rsid w:val="00724848"/>
    <w:rsid w:val="007258DC"/>
    <w:rsid w:val="00727205"/>
    <w:rsid w:val="00727368"/>
    <w:rsid w:val="00727457"/>
    <w:rsid w:val="00730DC9"/>
    <w:rsid w:val="0073141E"/>
    <w:rsid w:val="00731587"/>
    <w:rsid w:val="00731754"/>
    <w:rsid w:val="0073222A"/>
    <w:rsid w:val="007326F2"/>
    <w:rsid w:val="00733DAD"/>
    <w:rsid w:val="00733EFB"/>
    <w:rsid w:val="00734586"/>
    <w:rsid w:val="007353C5"/>
    <w:rsid w:val="00735449"/>
    <w:rsid w:val="0073560F"/>
    <w:rsid w:val="00735EDF"/>
    <w:rsid w:val="00736997"/>
    <w:rsid w:val="00736BF8"/>
    <w:rsid w:val="0073739D"/>
    <w:rsid w:val="007407C1"/>
    <w:rsid w:val="00740F9F"/>
    <w:rsid w:val="00741D80"/>
    <w:rsid w:val="0074214D"/>
    <w:rsid w:val="00742239"/>
    <w:rsid w:val="00742C46"/>
    <w:rsid w:val="00742EE3"/>
    <w:rsid w:val="00744705"/>
    <w:rsid w:val="00744F1F"/>
    <w:rsid w:val="0074526E"/>
    <w:rsid w:val="0074534A"/>
    <w:rsid w:val="00745402"/>
    <w:rsid w:val="0074549B"/>
    <w:rsid w:val="007455A9"/>
    <w:rsid w:val="0074565F"/>
    <w:rsid w:val="00746654"/>
    <w:rsid w:val="007469AC"/>
    <w:rsid w:val="00747126"/>
    <w:rsid w:val="0074716D"/>
    <w:rsid w:val="00747176"/>
    <w:rsid w:val="0074724E"/>
    <w:rsid w:val="00747989"/>
    <w:rsid w:val="00747E74"/>
    <w:rsid w:val="0075024C"/>
    <w:rsid w:val="00750535"/>
    <w:rsid w:val="00750D29"/>
    <w:rsid w:val="0075218C"/>
    <w:rsid w:val="007521B9"/>
    <w:rsid w:val="00752415"/>
    <w:rsid w:val="0075242B"/>
    <w:rsid w:val="007526E6"/>
    <w:rsid w:val="00752BB4"/>
    <w:rsid w:val="007534AD"/>
    <w:rsid w:val="00753669"/>
    <w:rsid w:val="00754715"/>
    <w:rsid w:val="0075483A"/>
    <w:rsid w:val="0075490E"/>
    <w:rsid w:val="00754A1B"/>
    <w:rsid w:val="00755762"/>
    <w:rsid w:val="0075612B"/>
    <w:rsid w:val="007562BA"/>
    <w:rsid w:val="00756398"/>
    <w:rsid w:val="007572B9"/>
    <w:rsid w:val="007577C3"/>
    <w:rsid w:val="0075793B"/>
    <w:rsid w:val="00757C1A"/>
    <w:rsid w:val="00760398"/>
    <w:rsid w:val="007604EC"/>
    <w:rsid w:val="007605FF"/>
    <w:rsid w:val="00760C18"/>
    <w:rsid w:val="00760F24"/>
    <w:rsid w:val="00761908"/>
    <w:rsid w:val="00762C39"/>
    <w:rsid w:val="00762FAD"/>
    <w:rsid w:val="00763835"/>
    <w:rsid w:val="00763C66"/>
    <w:rsid w:val="00763E9B"/>
    <w:rsid w:val="00763FE5"/>
    <w:rsid w:val="00764071"/>
    <w:rsid w:val="007647AB"/>
    <w:rsid w:val="00764998"/>
    <w:rsid w:val="007649FC"/>
    <w:rsid w:val="0076656F"/>
    <w:rsid w:val="00766648"/>
    <w:rsid w:val="00766A31"/>
    <w:rsid w:val="00766D37"/>
    <w:rsid w:val="0076726E"/>
    <w:rsid w:val="00767352"/>
    <w:rsid w:val="0076755F"/>
    <w:rsid w:val="00767FEF"/>
    <w:rsid w:val="00770063"/>
    <w:rsid w:val="00770074"/>
    <w:rsid w:val="007704AB"/>
    <w:rsid w:val="00770707"/>
    <w:rsid w:val="00770746"/>
    <w:rsid w:val="00770F21"/>
    <w:rsid w:val="00771965"/>
    <w:rsid w:val="00771AC8"/>
    <w:rsid w:val="0077325E"/>
    <w:rsid w:val="0077331C"/>
    <w:rsid w:val="00773404"/>
    <w:rsid w:val="007743A8"/>
    <w:rsid w:val="007744F2"/>
    <w:rsid w:val="0077460B"/>
    <w:rsid w:val="00774911"/>
    <w:rsid w:val="00774E49"/>
    <w:rsid w:val="00774F41"/>
    <w:rsid w:val="007752E8"/>
    <w:rsid w:val="00775AB9"/>
    <w:rsid w:val="00776566"/>
    <w:rsid w:val="00777719"/>
    <w:rsid w:val="0077788A"/>
    <w:rsid w:val="00777CFC"/>
    <w:rsid w:val="00777F5D"/>
    <w:rsid w:val="00780D26"/>
    <w:rsid w:val="00780DB4"/>
    <w:rsid w:val="00781866"/>
    <w:rsid w:val="00781A3F"/>
    <w:rsid w:val="00781BE6"/>
    <w:rsid w:val="007822F9"/>
    <w:rsid w:val="0078235A"/>
    <w:rsid w:val="007824A4"/>
    <w:rsid w:val="0078267A"/>
    <w:rsid w:val="00783CB0"/>
    <w:rsid w:val="00783ED3"/>
    <w:rsid w:val="007857BF"/>
    <w:rsid w:val="00785CCF"/>
    <w:rsid w:val="0078617A"/>
    <w:rsid w:val="0078677C"/>
    <w:rsid w:val="007867F7"/>
    <w:rsid w:val="0078720B"/>
    <w:rsid w:val="007872E6"/>
    <w:rsid w:val="00787EFB"/>
    <w:rsid w:val="00790C14"/>
    <w:rsid w:val="007913CA"/>
    <w:rsid w:val="007917BD"/>
    <w:rsid w:val="0079184F"/>
    <w:rsid w:val="00791BF2"/>
    <w:rsid w:val="00792500"/>
    <w:rsid w:val="00792619"/>
    <w:rsid w:val="007926D1"/>
    <w:rsid w:val="00792F5D"/>
    <w:rsid w:val="007932BC"/>
    <w:rsid w:val="00793A4D"/>
    <w:rsid w:val="0079496A"/>
    <w:rsid w:val="0079539B"/>
    <w:rsid w:val="007962E2"/>
    <w:rsid w:val="0079635D"/>
    <w:rsid w:val="007974E6"/>
    <w:rsid w:val="00797C98"/>
    <w:rsid w:val="007A2158"/>
    <w:rsid w:val="007A27D5"/>
    <w:rsid w:val="007A376D"/>
    <w:rsid w:val="007A3ED2"/>
    <w:rsid w:val="007A43BA"/>
    <w:rsid w:val="007A4729"/>
    <w:rsid w:val="007A486B"/>
    <w:rsid w:val="007A5BC3"/>
    <w:rsid w:val="007A5C93"/>
    <w:rsid w:val="007A5D0C"/>
    <w:rsid w:val="007A60D6"/>
    <w:rsid w:val="007A6878"/>
    <w:rsid w:val="007A7406"/>
    <w:rsid w:val="007A7B19"/>
    <w:rsid w:val="007A7E9B"/>
    <w:rsid w:val="007B001F"/>
    <w:rsid w:val="007B010F"/>
    <w:rsid w:val="007B0314"/>
    <w:rsid w:val="007B0943"/>
    <w:rsid w:val="007B0AB4"/>
    <w:rsid w:val="007B113B"/>
    <w:rsid w:val="007B124C"/>
    <w:rsid w:val="007B17B5"/>
    <w:rsid w:val="007B18A4"/>
    <w:rsid w:val="007B20C0"/>
    <w:rsid w:val="007B2675"/>
    <w:rsid w:val="007B32EA"/>
    <w:rsid w:val="007B3B85"/>
    <w:rsid w:val="007B3F2F"/>
    <w:rsid w:val="007B457F"/>
    <w:rsid w:val="007B4AA7"/>
    <w:rsid w:val="007B4ACF"/>
    <w:rsid w:val="007B4B00"/>
    <w:rsid w:val="007B4F13"/>
    <w:rsid w:val="007B5605"/>
    <w:rsid w:val="007B65F4"/>
    <w:rsid w:val="007B67D5"/>
    <w:rsid w:val="007B7426"/>
    <w:rsid w:val="007B76A5"/>
    <w:rsid w:val="007B7787"/>
    <w:rsid w:val="007B796F"/>
    <w:rsid w:val="007C00B9"/>
    <w:rsid w:val="007C04B9"/>
    <w:rsid w:val="007C1077"/>
    <w:rsid w:val="007C16A9"/>
    <w:rsid w:val="007C1812"/>
    <w:rsid w:val="007C1871"/>
    <w:rsid w:val="007C188C"/>
    <w:rsid w:val="007C19B3"/>
    <w:rsid w:val="007C1C95"/>
    <w:rsid w:val="007C2AF6"/>
    <w:rsid w:val="007C2C6D"/>
    <w:rsid w:val="007C3D69"/>
    <w:rsid w:val="007C3F5A"/>
    <w:rsid w:val="007C4311"/>
    <w:rsid w:val="007C45EB"/>
    <w:rsid w:val="007C491F"/>
    <w:rsid w:val="007C513C"/>
    <w:rsid w:val="007C61C9"/>
    <w:rsid w:val="007C6AB1"/>
    <w:rsid w:val="007C6CDF"/>
    <w:rsid w:val="007C79E8"/>
    <w:rsid w:val="007C7B99"/>
    <w:rsid w:val="007D046D"/>
    <w:rsid w:val="007D0F10"/>
    <w:rsid w:val="007D1B8F"/>
    <w:rsid w:val="007D1FFB"/>
    <w:rsid w:val="007D2235"/>
    <w:rsid w:val="007D2525"/>
    <w:rsid w:val="007D2620"/>
    <w:rsid w:val="007D3035"/>
    <w:rsid w:val="007D319F"/>
    <w:rsid w:val="007D31FE"/>
    <w:rsid w:val="007D3252"/>
    <w:rsid w:val="007D32EA"/>
    <w:rsid w:val="007D3359"/>
    <w:rsid w:val="007D3624"/>
    <w:rsid w:val="007D4070"/>
    <w:rsid w:val="007D42F0"/>
    <w:rsid w:val="007D4AAE"/>
    <w:rsid w:val="007D4C8A"/>
    <w:rsid w:val="007D5D48"/>
    <w:rsid w:val="007D5EE1"/>
    <w:rsid w:val="007D6BAC"/>
    <w:rsid w:val="007D6C67"/>
    <w:rsid w:val="007D6FBB"/>
    <w:rsid w:val="007D71F4"/>
    <w:rsid w:val="007D7515"/>
    <w:rsid w:val="007D785A"/>
    <w:rsid w:val="007D788B"/>
    <w:rsid w:val="007E00FE"/>
    <w:rsid w:val="007E0427"/>
    <w:rsid w:val="007E0C31"/>
    <w:rsid w:val="007E0EB3"/>
    <w:rsid w:val="007E18AE"/>
    <w:rsid w:val="007E3E41"/>
    <w:rsid w:val="007E4916"/>
    <w:rsid w:val="007E4BAF"/>
    <w:rsid w:val="007E5FFC"/>
    <w:rsid w:val="007E6F06"/>
    <w:rsid w:val="007E6FFE"/>
    <w:rsid w:val="007F0199"/>
    <w:rsid w:val="007F0C9C"/>
    <w:rsid w:val="007F11B0"/>
    <w:rsid w:val="007F139F"/>
    <w:rsid w:val="007F1C35"/>
    <w:rsid w:val="007F2C09"/>
    <w:rsid w:val="007F2D22"/>
    <w:rsid w:val="007F334D"/>
    <w:rsid w:val="007F3669"/>
    <w:rsid w:val="007F43AB"/>
    <w:rsid w:val="007F480F"/>
    <w:rsid w:val="007F48F3"/>
    <w:rsid w:val="007F49AF"/>
    <w:rsid w:val="007F57B4"/>
    <w:rsid w:val="007F5F08"/>
    <w:rsid w:val="007F651F"/>
    <w:rsid w:val="007F6672"/>
    <w:rsid w:val="007F6E59"/>
    <w:rsid w:val="007F6F70"/>
    <w:rsid w:val="007F708C"/>
    <w:rsid w:val="007F7B70"/>
    <w:rsid w:val="00800329"/>
    <w:rsid w:val="0080083E"/>
    <w:rsid w:val="00800888"/>
    <w:rsid w:val="00801528"/>
    <w:rsid w:val="00801F0B"/>
    <w:rsid w:val="00802331"/>
    <w:rsid w:val="008027F0"/>
    <w:rsid w:val="0080288A"/>
    <w:rsid w:val="008028E0"/>
    <w:rsid w:val="00802B9C"/>
    <w:rsid w:val="00803708"/>
    <w:rsid w:val="00803A64"/>
    <w:rsid w:val="00803F9E"/>
    <w:rsid w:val="00804125"/>
    <w:rsid w:val="00804618"/>
    <w:rsid w:val="00804C8B"/>
    <w:rsid w:val="00804E5E"/>
    <w:rsid w:val="00805A3C"/>
    <w:rsid w:val="00805B54"/>
    <w:rsid w:val="00806B8A"/>
    <w:rsid w:val="00806E71"/>
    <w:rsid w:val="0080709A"/>
    <w:rsid w:val="0080733E"/>
    <w:rsid w:val="00807456"/>
    <w:rsid w:val="0080745B"/>
    <w:rsid w:val="00807B70"/>
    <w:rsid w:val="008113F7"/>
    <w:rsid w:val="00811484"/>
    <w:rsid w:val="00812332"/>
    <w:rsid w:val="008125E7"/>
    <w:rsid w:val="00812865"/>
    <w:rsid w:val="00813EF9"/>
    <w:rsid w:val="00814D21"/>
    <w:rsid w:val="008150B8"/>
    <w:rsid w:val="00815197"/>
    <w:rsid w:val="00815690"/>
    <w:rsid w:val="00815FD5"/>
    <w:rsid w:val="00816AAF"/>
    <w:rsid w:val="0081703D"/>
    <w:rsid w:val="008172B7"/>
    <w:rsid w:val="00817621"/>
    <w:rsid w:val="00817BF7"/>
    <w:rsid w:val="00820094"/>
    <w:rsid w:val="00820B9F"/>
    <w:rsid w:val="00820F99"/>
    <w:rsid w:val="0082131F"/>
    <w:rsid w:val="0082142B"/>
    <w:rsid w:val="00821489"/>
    <w:rsid w:val="008239FF"/>
    <w:rsid w:val="00823C47"/>
    <w:rsid w:val="0082433F"/>
    <w:rsid w:val="0082458C"/>
    <w:rsid w:val="00824650"/>
    <w:rsid w:val="008251E5"/>
    <w:rsid w:val="008260B3"/>
    <w:rsid w:val="0082629A"/>
    <w:rsid w:val="00826365"/>
    <w:rsid w:val="00826372"/>
    <w:rsid w:val="008267FD"/>
    <w:rsid w:val="00826B13"/>
    <w:rsid w:val="00826C50"/>
    <w:rsid w:val="00826E97"/>
    <w:rsid w:val="00826F81"/>
    <w:rsid w:val="00826FD3"/>
    <w:rsid w:val="0082726A"/>
    <w:rsid w:val="00827546"/>
    <w:rsid w:val="0082755C"/>
    <w:rsid w:val="00827CAB"/>
    <w:rsid w:val="00830154"/>
    <w:rsid w:val="00830793"/>
    <w:rsid w:val="008329E9"/>
    <w:rsid w:val="00832D27"/>
    <w:rsid w:val="008330D9"/>
    <w:rsid w:val="008337AD"/>
    <w:rsid w:val="00833A4E"/>
    <w:rsid w:val="00834000"/>
    <w:rsid w:val="008343E1"/>
    <w:rsid w:val="0083536B"/>
    <w:rsid w:val="00835A74"/>
    <w:rsid w:val="00835C72"/>
    <w:rsid w:val="00835CE1"/>
    <w:rsid w:val="008367E3"/>
    <w:rsid w:val="00840293"/>
    <w:rsid w:val="00840A6A"/>
    <w:rsid w:val="008410EE"/>
    <w:rsid w:val="00841428"/>
    <w:rsid w:val="008419B6"/>
    <w:rsid w:val="00842392"/>
    <w:rsid w:val="008427D7"/>
    <w:rsid w:val="00843037"/>
    <w:rsid w:val="008430D3"/>
    <w:rsid w:val="008432E5"/>
    <w:rsid w:val="0084331C"/>
    <w:rsid w:val="00844484"/>
    <w:rsid w:val="0084460D"/>
    <w:rsid w:val="008446C9"/>
    <w:rsid w:val="0084486D"/>
    <w:rsid w:val="00844A16"/>
    <w:rsid w:val="008457D4"/>
    <w:rsid w:val="00846762"/>
    <w:rsid w:val="008467FA"/>
    <w:rsid w:val="00846A66"/>
    <w:rsid w:val="00846C7B"/>
    <w:rsid w:val="00847126"/>
    <w:rsid w:val="0084785D"/>
    <w:rsid w:val="008479F2"/>
    <w:rsid w:val="00847C96"/>
    <w:rsid w:val="00850418"/>
    <w:rsid w:val="00850574"/>
    <w:rsid w:val="00850C6E"/>
    <w:rsid w:val="00850FA1"/>
    <w:rsid w:val="00851350"/>
    <w:rsid w:val="00851596"/>
    <w:rsid w:val="0085196D"/>
    <w:rsid w:val="00851A03"/>
    <w:rsid w:val="00851B90"/>
    <w:rsid w:val="00852130"/>
    <w:rsid w:val="008522C0"/>
    <w:rsid w:val="0085230E"/>
    <w:rsid w:val="00852BB4"/>
    <w:rsid w:val="00852ED6"/>
    <w:rsid w:val="00853AFE"/>
    <w:rsid w:val="00854A8D"/>
    <w:rsid w:val="008551C8"/>
    <w:rsid w:val="00855745"/>
    <w:rsid w:val="008557EF"/>
    <w:rsid w:val="00855B48"/>
    <w:rsid w:val="0085615B"/>
    <w:rsid w:val="00856CCC"/>
    <w:rsid w:val="00856E5B"/>
    <w:rsid w:val="00856E6E"/>
    <w:rsid w:val="00857B32"/>
    <w:rsid w:val="00857CEF"/>
    <w:rsid w:val="0086112C"/>
    <w:rsid w:val="008616E4"/>
    <w:rsid w:val="00861A41"/>
    <w:rsid w:val="00861BD0"/>
    <w:rsid w:val="00862180"/>
    <w:rsid w:val="0086291B"/>
    <w:rsid w:val="0086338F"/>
    <w:rsid w:val="00863D9D"/>
    <w:rsid w:val="00863FFA"/>
    <w:rsid w:val="00864242"/>
    <w:rsid w:val="00864D21"/>
    <w:rsid w:val="0086545D"/>
    <w:rsid w:val="00865AB2"/>
    <w:rsid w:val="00865D03"/>
    <w:rsid w:val="00865F6F"/>
    <w:rsid w:val="008668F4"/>
    <w:rsid w:val="00866FB4"/>
    <w:rsid w:val="00867650"/>
    <w:rsid w:val="00867692"/>
    <w:rsid w:val="0086770D"/>
    <w:rsid w:val="00867725"/>
    <w:rsid w:val="008709B8"/>
    <w:rsid w:val="00871078"/>
    <w:rsid w:val="00872002"/>
    <w:rsid w:val="0087242A"/>
    <w:rsid w:val="008726DA"/>
    <w:rsid w:val="00872FA1"/>
    <w:rsid w:val="00873279"/>
    <w:rsid w:val="00873353"/>
    <w:rsid w:val="008738AF"/>
    <w:rsid w:val="00873BAE"/>
    <w:rsid w:val="00873C9B"/>
    <w:rsid w:val="00873F69"/>
    <w:rsid w:val="008743EA"/>
    <w:rsid w:val="008752C3"/>
    <w:rsid w:val="0087563F"/>
    <w:rsid w:val="008759A5"/>
    <w:rsid w:val="00876071"/>
    <w:rsid w:val="00876079"/>
    <w:rsid w:val="00876DBB"/>
    <w:rsid w:val="00876DC8"/>
    <w:rsid w:val="0087746C"/>
    <w:rsid w:val="00877534"/>
    <w:rsid w:val="008775D4"/>
    <w:rsid w:val="00877DBD"/>
    <w:rsid w:val="00880AF2"/>
    <w:rsid w:val="00881D93"/>
    <w:rsid w:val="0088258F"/>
    <w:rsid w:val="008828F0"/>
    <w:rsid w:val="008830C6"/>
    <w:rsid w:val="00883522"/>
    <w:rsid w:val="0088380B"/>
    <w:rsid w:val="00883A8D"/>
    <w:rsid w:val="00883AD9"/>
    <w:rsid w:val="008845C2"/>
    <w:rsid w:val="008846B4"/>
    <w:rsid w:val="00884C35"/>
    <w:rsid w:val="0088545F"/>
    <w:rsid w:val="00885630"/>
    <w:rsid w:val="0088604C"/>
    <w:rsid w:val="008863E7"/>
    <w:rsid w:val="00886928"/>
    <w:rsid w:val="00886DD8"/>
    <w:rsid w:val="00886F3C"/>
    <w:rsid w:val="0088713E"/>
    <w:rsid w:val="008879C6"/>
    <w:rsid w:val="00890231"/>
    <w:rsid w:val="0089032E"/>
    <w:rsid w:val="00890E07"/>
    <w:rsid w:val="0089164C"/>
    <w:rsid w:val="00891871"/>
    <w:rsid w:val="00891922"/>
    <w:rsid w:val="00892333"/>
    <w:rsid w:val="00892EC4"/>
    <w:rsid w:val="00892F09"/>
    <w:rsid w:val="008936A2"/>
    <w:rsid w:val="00893DB2"/>
    <w:rsid w:val="008940F4"/>
    <w:rsid w:val="0089451E"/>
    <w:rsid w:val="0089453D"/>
    <w:rsid w:val="008948AB"/>
    <w:rsid w:val="00894EB8"/>
    <w:rsid w:val="00895C87"/>
    <w:rsid w:val="00895E61"/>
    <w:rsid w:val="0089629E"/>
    <w:rsid w:val="008965EA"/>
    <w:rsid w:val="00896BC6"/>
    <w:rsid w:val="00897081"/>
    <w:rsid w:val="008A04C5"/>
    <w:rsid w:val="008A0C13"/>
    <w:rsid w:val="008A0D8D"/>
    <w:rsid w:val="008A15C0"/>
    <w:rsid w:val="008A1CAE"/>
    <w:rsid w:val="008A1E5D"/>
    <w:rsid w:val="008A206B"/>
    <w:rsid w:val="008A214F"/>
    <w:rsid w:val="008A273F"/>
    <w:rsid w:val="008A2A01"/>
    <w:rsid w:val="008A2A1D"/>
    <w:rsid w:val="008A2A73"/>
    <w:rsid w:val="008A2BFC"/>
    <w:rsid w:val="008A3116"/>
    <w:rsid w:val="008A31B1"/>
    <w:rsid w:val="008A35CA"/>
    <w:rsid w:val="008A3643"/>
    <w:rsid w:val="008A3982"/>
    <w:rsid w:val="008A3BD5"/>
    <w:rsid w:val="008A4152"/>
    <w:rsid w:val="008A4501"/>
    <w:rsid w:val="008A4AE6"/>
    <w:rsid w:val="008A62A4"/>
    <w:rsid w:val="008A63D8"/>
    <w:rsid w:val="008A6B29"/>
    <w:rsid w:val="008A7087"/>
    <w:rsid w:val="008A7BBB"/>
    <w:rsid w:val="008B0371"/>
    <w:rsid w:val="008B066E"/>
    <w:rsid w:val="008B139E"/>
    <w:rsid w:val="008B19ED"/>
    <w:rsid w:val="008B1A64"/>
    <w:rsid w:val="008B26A1"/>
    <w:rsid w:val="008B2818"/>
    <w:rsid w:val="008B2893"/>
    <w:rsid w:val="008B2DD1"/>
    <w:rsid w:val="008B3583"/>
    <w:rsid w:val="008B381F"/>
    <w:rsid w:val="008B3DD1"/>
    <w:rsid w:val="008B462A"/>
    <w:rsid w:val="008B471B"/>
    <w:rsid w:val="008B4C6A"/>
    <w:rsid w:val="008B567F"/>
    <w:rsid w:val="008B699A"/>
    <w:rsid w:val="008B74F3"/>
    <w:rsid w:val="008B7DC0"/>
    <w:rsid w:val="008C12D4"/>
    <w:rsid w:val="008C1474"/>
    <w:rsid w:val="008C165E"/>
    <w:rsid w:val="008C1A65"/>
    <w:rsid w:val="008C248C"/>
    <w:rsid w:val="008C2897"/>
    <w:rsid w:val="008C289D"/>
    <w:rsid w:val="008C3002"/>
    <w:rsid w:val="008C3836"/>
    <w:rsid w:val="008C3949"/>
    <w:rsid w:val="008C3D0A"/>
    <w:rsid w:val="008C3F26"/>
    <w:rsid w:val="008C41B1"/>
    <w:rsid w:val="008C42B6"/>
    <w:rsid w:val="008C4841"/>
    <w:rsid w:val="008C4928"/>
    <w:rsid w:val="008C5339"/>
    <w:rsid w:val="008C5C05"/>
    <w:rsid w:val="008C5FF3"/>
    <w:rsid w:val="008C6C13"/>
    <w:rsid w:val="008C70F2"/>
    <w:rsid w:val="008C7116"/>
    <w:rsid w:val="008C7DDE"/>
    <w:rsid w:val="008D0154"/>
    <w:rsid w:val="008D14DB"/>
    <w:rsid w:val="008D29EC"/>
    <w:rsid w:val="008D2C7B"/>
    <w:rsid w:val="008D2DCC"/>
    <w:rsid w:val="008D3A73"/>
    <w:rsid w:val="008D49B1"/>
    <w:rsid w:val="008D4ED8"/>
    <w:rsid w:val="008D4F47"/>
    <w:rsid w:val="008D51D4"/>
    <w:rsid w:val="008D528B"/>
    <w:rsid w:val="008D6231"/>
    <w:rsid w:val="008D6355"/>
    <w:rsid w:val="008D6414"/>
    <w:rsid w:val="008D6A31"/>
    <w:rsid w:val="008D7624"/>
    <w:rsid w:val="008D7B17"/>
    <w:rsid w:val="008E014E"/>
    <w:rsid w:val="008E03A1"/>
    <w:rsid w:val="008E0D0C"/>
    <w:rsid w:val="008E0FFC"/>
    <w:rsid w:val="008E1523"/>
    <w:rsid w:val="008E1538"/>
    <w:rsid w:val="008E1913"/>
    <w:rsid w:val="008E1FE1"/>
    <w:rsid w:val="008E2356"/>
    <w:rsid w:val="008E2A30"/>
    <w:rsid w:val="008E2BB5"/>
    <w:rsid w:val="008E3A31"/>
    <w:rsid w:val="008E3CF7"/>
    <w:rsid w:val="008E46A2"/>
    <w:rsid w:val="008E4D0D"/>
    <w:rsid w:val="008E4F07"/>
    <w:rsid w:val="008E5659"/>
    <w:rsid w:val="008E58E9"/>
    <w:rsid w:val="008E69AF"/>
    <w:rsid w:val="008F0D02"/>
    <w:rsid w:val="008F0E82"/>
    <w:rsid w:val="008F0FEA"/>
    <w:rsid w:val="008F10F1"/>
    <w:rsid w:val="008F15F3"/>
    <w:rsid w:val="008F1B1B"/>
    <w:rsid w:val="008F1B43"/>
    <w:rsid w:val="008F1F39"/>
    <w:rsid w:val="008F226B"/>
    <w:rsid w:val="008F333A"/>
    <w:rsid w:val="008F3A6D"/>
    <w:rsid w:val="008F4255"/>
    <w:rsid w:val="008F44A2"/>
    <w:rsid w:val="008F46A9"/>
    <w:rsid w:val="008F5F88"/>
    <w:rsid w:val="008F5FD5"/>
    <w:rsid w:val="008F6FC2"/>
    <w:rsid w:val="008F7A90"/>
    <w:rsid w:val="0090042A"/>
    <w:rsid w:val="0090085F"/>
    <w:rsid w:val="00900B4E"/>
    <w:rsid w:val="00900DB6"/>
    <w:rsid w:val="00900F8F"/>
    <w:rsid w:val="0090172B"/>
    <w:rsid w:val="00901EDD"/>
    <w:rsid w:val="0090237A"/>
    <w:rsid w:val="009030F0"/>
    <w:rsid w:val="00903771"/>
    <w:rsid w:val="00903A9F"/>
    <w:rsid w:val="00904D08"/>
    <w:rsid w:val="009061B4"/>
    <w:rsid w:val="0090641D"/>
    <w:rsid w:val="00906670"/>
    <w:rsid w:val="00907799"/>
    <w:rsid w:val="00907A39"/>
    <w:rsid w:val="00907BA6"/>
    <w:rsid w:val="0091016B"/>
    <w:rsid w:val="009103B9"/>
    <w:rsid w:val="009105D9"/>
    <w:rsid w:val="0091092A"/>
    <w:rsid w:val="009117A1"/>
    <w:rsid w:val="009129AE"/>
    <w:rsid w:val="00912E42"/>
    <w:rsid w:val="009138A5"/>
    <w:rsid w:val="00914170"/>
    <w:rsid w:val="00914282"/>
    <w:rsid w:val="00914B2E"/>
    <w:rsid w:val="00914B8E"/>
    <w:rsid w:val="00914DD0"/>
    <w:rsid w:val="00914E7F"/>
    <w:rsid w:val="00915097"/>
    <w:rsid w:val="0091536C"/>
    <w:rsid w:val="00915702"/>
    <w:rsid w:val="0091592B"/>
    <w:rsid w:val="00915A44"/>
    <w:rsid w:val="00916B17"/>
    <w:rsid w:val="009177B5"/>
    <w:rsid w:val="00917CE9"/>
    <w:rsid w:val="00920FE9"/>
    <w:rsid w:val="009210A9"/>
    <w:rsid w:val="0092154E"/>
    <w:rsid w:val="009216A1"/>
    <w:rsid w:val="009223F8"/>
    <w:rsid w:val="009229F2"/>
    <w:rsid w:val="009232A5"/>
    <w:rsid w:val="00923869"/>
    <w:rsid w:val="00923AD7"/>
    <w:rsid w:val="00923DE7"/>
    <w:rsid w:val="00924194"/>
    <w:rsid w:val="00924422"/>
    <w:rsid w:val="0092478F"/>
    <w:rsid w:val="0092501E"/>
    <w:rsid w:val="009259C9"/>
    <w:rsid w:val="00925C5A"/>
    <w:rsid w:val="00925E5F"/>
    <w:rsid w:val="00925FB0"/>
    <w:rsid w:val="00926329"/>
    <w:rsid w:val="0092650E"/>
    <w:rsid w:val="009268AB"/>
    <w:rsid w:val="00926DE4"/>
    <w:rsid w:val="0092715A"/>
    <w:rsid w:val="0092750E"/>
    <w:rsid w:val="0093119C"/>
    <w:rsid w:val="00931725"/>
    <w:rsid w:val="00932326"/>
    <w:rsid w:val="00932B93"/>
    <w:rsid w:val="00932C2E"/>
    <w:rsid w:val="0093331E"/>
    <w:rsid w:val="00933B53"/>
    <w:rsid w:val="00934ABD"/>
    <w:rsid w:val="00935656"/>
    <w:rsid w:val="00935B79"/>
    <w:rsid w:val="00935D2F"/>
    <w:rsid w:val="00935DFE"/>
    <w:rsid w:val="00936080"/>
    <w:rsid w:val="00937153"/>
    <w:rsid w:val="009376BC"/>
    <w:rsid w:val="00937FD0"/>
    <w:rsid w:val="00940DE6"/>
    <w:rsid w:val="00942688"/>
    <w:rsid w:val="00942842"/>
    <w:rsid w:val="00942A25"/>
    <w:rsid w:val="00942A8F"/>
    <w:rsid w:val="00943380"/>
    <w:rsid w:val="0094413F"/>
    <w:rsid w:val="00944573"/>
    <w:rsid w:val="00945799"/>
    <w:rsid w:val="0094597D"/>
    <w:rsid w:val="00945F41"/>
    <w:rsid w:val="00950F0F"/>
    <w:rsid w:val="00951217"/>
    <w:rsid w:val="00951EE3"/>
    <w:rsid w:val="00952094"/>
    <w:rsid w:val="009530A0"/>
    <w:rsid w:val="00953965"/>
    <w:rsid w:val="00953FA9"/>
    <w:rsid w:val="0095449C"/>
    <w:rsid w:val="00954B72"/>
    <w:rsid w:val="00955BCB"/>
    <w:rsid w:val="00955E38"/>
    <w:rsid w:val="00956D53"/>
    <w:rsid w:val="0095725A"/>
    <w:rsid w:val="0095738C"/>
    <w:rsid w:val="0095739B"/>
    <w:rsid w:val="00960453"/>
    <w:rsid w:val="00960508"/>
    <w:rsid w:val="00960544"/>
    <w:rsid w:val="00960E79"/>
    <w:rsid w:val="00960EE8"/>
    <w:rsid w:val="0096128B"/>
    <w:rsid w:val="009613C0"/>
    <w:rsid w:val="009619A6"/>
    <w:rsid w:val="00961E78"/>
    <w:rsid w:val="00962046"/>
    <w:rsid w:val="0096224C"/>
    <w:rsid w:val="00962275"/>
    <w:rsid w:val="009628F9"/>
    <w:rsid w:val="00964127"/>
    <w:rsid w:val="00964A8B"/>
    <w:rsid w:val="00964F80"/>
    <w:rsid w:val="00966273"/>
    <w:rsid w:val="00970F64"/>
    <w:rsid w:val="009710FC"/>
    <w:rsid w:val="0097292D"/>
    <w:rsid w:val="009732C6"/>
    <w:rsid w:val="009740CB"/>
    <w:rsid w:val="009743BD"/>
    <w:rsid w:val="00974831"/>
    <w:rsid w:val="00974D05"/>
    <w:rsid w:val="00975FEA"/>
    <w:rsid w:val="009768B0"/>
    <w:rsid w:val="00976AAD"/>
    <w:rsid w:val="00976D09"/>
    <w:rsid w:val="00977287"/>
    <w:rsid w:val="009779D9"/>
    <w:rsid w:val="00977ADD"/>
    <w:rsid w:val="00977E9A"/>
    <w:rsid w:val="009806A7"/>
    <w:rsid w:val="009809E3"/>
    <w:rsid w:val="00980C19"/>
    <w:rsid w:val="00981927"/>
    <w:rsid w:val="00981C81"/>
    <w:rsid w:val="00982F76"/>
    <w:rsid w:val="009834A3"/>
    <w:rsid w:val="00983653"/>
    <w:rsid w:val="0098382C"/>
    <w:rsid w:val="00983FA7"/>
    <w:rsid w:val="0098421F"/>
    <w:rsid w:val="009843FC"/>
    <w:rsid w:val="0098465A"/>
    <w:rsid w:val="0098466E"/>
    <w:rsid w:val="00984933"/>
    <w:rsid w:val="00985841"/>
    <w:rsid w:val="0098598F"/>
    <w:rsid w:val="0098767C"/>
    <w:rsid w:val="00987940"/>
    <w:rsid w:val="00987E88"/>
    <w:rsid w:val="00990039"/>
    <w:rsid w:val="00990932"/>
    <w:rsid w:val="00990E2D"/>
    <w:rsid w:val="00990E67"/>
    <w:rsid w:val="00991854"/>
    <w:rsid w:val="00991866"/>
    <w:rsid w:val="0099230F"/>
    <w:rsid w:val="00992739"/>
    <w:rsid w:val="0099336F"/>
    <w:rsid w:val="00993B05"/>
    <w:rsid w:val="00993B19"/>
    <w:rsid w:val="00993FB4"/>
    <w:rsid w:val="00994BB6"/>
    <w:rsid w:val="0099521F"/>
    <w:rsid w:val="00995336"/>
    <w:rsid w:val="0099556B"/>
    <w:rsid w:val="00995713"/>
    <w:rsid w:val="00995796"/>
    <w:rsid w:val="00996493"/>
    <w:rsid w:val="00997A14"/>
    <w:rsid w:val="009A005D"/>
    <w:rsid w:val="009A053A"/>
    <w:rsid w:val="009A1135"/>
    <w:rsid w:val="009A12C4"/>
    <w:rsid w:val="009A18C3"/>
    <w:rsid w:val="009A1DF2"/>
    <w:rsid w:val="009A2478"/>
    <w:rsid w:val="009A26E0"/>
    <w:rsid w:val="009A2D3F"/>
    <w:rsid w:val="009A3587"/>
    <w:rsid w:val="009A3772"/>
    <w:rsid w:val="009A382F"/>
    <w:rsid w:val="009A4C15"/>
    <w:rsid w:val="009A52D5"/>
    <w:rsid w:val="009A5711"/>
    <w:rsid w:val="009A5943"/>
    <w:rsid w:val="009A59CB"/>
    <w:rsid w:val="009A5ED8"/>
    <w:rsid w:val="009A70CC"/>
    <w:rsid w:val="009A7753"/>
    <w:rsid w:val="009A7ADA"/>
    <w:rsid w:val="009A7C4C"/>
    <w:rsid w:val="009B008B"/>
    <w:rsid w:val="009B057E"/>
    <w:rsid w:val="009B084D"/>
    <w:rsid w:val="009B18DC"/>
    <w:rsid w:val="009B222A"/>
    <w:rsid w:val="009B2ECB"/>
    <w:rsid w:val="009B350E"/>
    <w:rsid w:val="009B3E72"/>
    <w:rsid w:val="009B4271"/>
    <w:rsid w:val="009B497A"/>
    <w:rsid w:val="009B5012"/>
    <w:rsid w:val="009B5406"/>
    <w:rsid w:val="009B5495"/>
    <w:rsid w:val="009B6B52"/>
    <w:rsid w:val="009B6C92"/>
    <w:rsid w:val="009B6D71"/>
    <w:rsid w:val="009B6F95"/>
    <w:rsid w:val="009B70E6"/>
    <w:rsid w:val="009B718F"/>
    <w:rsid w:val="009B7DA7"/>
    <w:rsid w:val="009C0478"/>
    <w:rsid w:val="009C056E"/>
    <w:rsid w:val="009C0665"/>
    <w:rsid w:val="009C0B26"/>
    <w:rsid w:val="009C0DBB"/>
    <w:rsid w:val="009C143A"/>
    <w:rsid w:val="009C14E1"/>
    <w:rsid w:val="009C15EF"/>
    <w:rsid w:val="009C2490"/>
    <w:rsid w:val="009C2F46"/>
    <w:rsid w:val="009C3013"/>
    <w:rsid w:val="009C3388"/>
    <w:rsid w:val="009C4326"/>
    <w:rsid w:val="009C44B3"/>
    <w:rsid w:val="009C47A6"/>
    <w:rsid w:val="009C4C80"/>
    <w:rsid w:val="009C52B2"/>
    <w:rsid w:val="009C5315"/>
    <w:rsid w:val="009C5E77"/>
    <w:rsid w:val="009C6095"/>
    <w:rsid w:val="009C6CC5"/>
    <w:rsid w:val="009C6CC7"/>
    <w:rsid w:val="009C7ACA"/>
    <w:rsid w:val="009C7E03"/>
    <w:rsid w:val="009C7ED2"/>
    <w:rsid w:val="009D0420"/>
    <w:rsid w:val="009D05CF"/>
    <w:rsid w:val="009D0B27"/>
    <w:rsid w:val="009D17C3"/>
    <w:rsid w:val="009D1BD9"/>
    <w:rsid w:val="009D31BA"/>
    <w:rsid w:val="009D39A7"/>
    <w:rsid w:val="009D3CF6"/>
    <w:rsid w:val="009D3D23"/>
    <w:rsid w:val="009D43DE"/>
    <w:rsid w:val="009D4841"/>
    <w:rsid w:val="009D4DA0"/>
    <w:rsid w:val="009D4EB4"/>
    <w:rsid w:val="009D5152"/>
    <w:rsid w:val="009D520F"/>
    <w:rsid w:val="009D5330"/>
    <w:rsid w:val="009D634F"/>
    <w:rsid w:val="009D6BA7"/>
    <w:rsid w:val="009D76A3"/>
    <w:rsid w:val="009D7810"/>
    <w:rsid w:val="009D7ACE"/>
    <w:rsid w:val="009D7E21"/>
    <w:rsid w:val="009E0276"/>
    <w:rsid w:val="009E1F80"/>
    <w:rsid w:val="009E2230"/>
    <w:rsid w:val="009E2730"/>
    <w:rsid w:val="009E2CEC"/>
    <w:rsid w:val="009E3065"/>
    <w:rsid w:val="009E313A"/>
    <w:rsid w:val="009E3861"/>
    <w:rsid w:val="009E470A"/>
    <w:rsid w:val="009E4BEB"/>
    <w:rsid w:val="009E5B7E"/>
    <w:rsid w:val="009E5CF6"/>
    <w:rsid w:val="009E678B"/>
    <w:rsid w:val="009F049E"/>
    <w:rsid w:val="009F0913"/>
    <w:rsid w:val="009F0AF8"/>
    <w:rsid w:val="009F10F1"/>
    <w:rsid w:val="009F17C1"/>
    <w:rsid w:val="009F1860"/>
    <w:rsid w:val="009F2329"/>
    <w:rsid w:val="009F2415"/>
    <w:rsid w:val="009F3102"/>
    <w:rsid w:val="009F46D0"/>
    <w:rsid w:val="009F4FDA"/>
    <w:rsid w:val="009F5026"/>
    <w:rsid w:val="009F539C"/>
    <w:rsid w:val="009F5505"/>
    <w:rsid w:val="009F63D4"/>
    <w:rsid w:val="009F7911"/>
    <w:rsid w:val="009F7A93"/>
    <w:rsid w:val="009F7D9B"/>
    <w:rsid w:val="00A00821"/>
    <w:rsid w:val="00A013B4"/>
    <w:rsid w:val="00A0158B"/>
    <w:rsid w:val="00A025AF"/>
    <w:rsid w:val="00A040A6"/>
    <w:rsid w:val="00A040ED"/>
    <w:rsid w:val="00A0418A"/>
    <w:rsid w:val="00A043A6"/>
    <w:rsid w:val="00A0443C"/>
    <w:rsid w:val="00A044C0"/>
    <w:rsid w:val="00A04864"/>
    <w:rsid w:val="00A052AC"/>
    <w:rsid w:val="00A057F8"/>
    <w:rsid w:val="00A06965"/>
    <w:rsid w:val="00A06F06"/>
    <w:rsid w:val="00A07355"/>
    <w:rsid w:val="00A07A75"/>
    <w:rsid w:val="00A07BA4"/>
    <w:rsid w:val="00A07E91"/>
    <w:rsid w:val="00A10282"/>
    <w:rsid w:val="00A10A31"/>
    <w:rsid w:val="00A10EE3"/>
    <w:rsid w:val="00A115E1"/>
    <w:rsid w:val="00A11D8E"/>
    <w:rsid w:val="00A12204"/>
    <w:rsid w:val="00A12217"/>
    <w:rsid w:val="00A123E5"/>
    <w:rsid w:val="00A124C8"/>
    <w:rsid w:val="00A12648"/>
    <w:rsid w:val="00A1373B"/>
    <w:rsid w:val="00A13BD3"/>
    <w:rsid w:val="00A1427A"/>
    <w:rsid w:val="00A1427D"/>
    <w:rsid w:val="00A14471"/>
    <w:rsid w:val="00A14A8D"/>
    <w:rsid w:val="00A14AF7"/>
    <w:rsid w:val="00A15348"/>
    <w:rsid w:val="00A158D6"/>
    <w:rsid w:val="00A159B2"/>
    <w:rsid w:val="00A15E0A"/>
    <w:rsid w:val="00A164D9"/>
    <w:rsid w:val="00A165A3"/>
    <w:rsid w:val="00A16B98"/>
    <w:rsid w:val="00A16CF1"/>
    <w:rsid w:val="00A170DA"/>
    <w:rsid w:val="00A173DA"/>
    <w:rsid w:val="00A17797"/>
    <w:rsid w:val="00A177D7"/>
    <w:rsid w:val="00A17D08"/>
    <w:rsid w:val="00A2047D"/>
    <w:rsid w:val="00A20816"/>
    <w:rsid w:val="00A20D2D"/>
    <w:rsid w:val="00A20EA3"/>
    <w:rsid w:val="00A21257"/>
    <w:rsid w:val="00A21924"/>
    <w:rsid w:val="00A21A32"/>
    <w:rsid w:val="00A2211D"/>
    <w:rsid w:val="00A22772"/>
    <w:rsid w:val="00A227D4"/>
    <w:rsid w:val="00A2285C"/>
    <w:rsid w:val="00A238F3"/>
    <w:rsid w:val="00A23A92"/>
    <w:rsid w:val="00A240A3"/>
    <w:rsid w:val="00A24601"/>
    <w:rsid w:val="00A2473B"/>
    <w:rsid w:val="00A24D89"/>
    <w:rsid w:val="00A25272"/>
    <w:rsid w:val="00A257F9"/>
    <w:rsid w:val="00A259E9"/>
    <w:rsid w:val="00A2617E"/>
    <w:rsid w:val="00A271B1"/>
    <w:rsid w:val="00A27777"/>
    <w:rsid w:val="00A27F58"/>
    <w:rsid w:val="00A30794"/>
    <w:rsid w:val="00A30DA9"/>
    <w:rsid w:val="00A31ACE"/>
    <w:rsid w:val="00A31F3D"/>
    <w:rsid w:val="00A32491"/>
    <w:rsid w:val="00A3363C"/>
    <w:rsid w:val="00A33B70"/>
    <w:rsid w:val="00A33EB5"/>
    <w:rsid w:val="00A342A1"/>
    <w:rsid w:val="00A34363"/>
    <w:rsid w:val="00A344C7"/>
    <w:rsid w:val="00A3473A"/>
    <w:rsid w:val="00A3564A"/>
    <w:rsid w:val="00A358B2"/>
    <w:rsid w:val="00A35AD4"/>
    <w:rsid w:val="00A3616B"/>
    <w:rsid w:val="00A36378"/>
    <w:rsid w:val="00A37074"/>
    <w:rsid w:val="00A3722F"/>
    <w:rsid w:val="00A37827"/>
    <w:rsid w:val="00A4043C"/>
    <w:rsid w:val="00A4080C"/>
    <w:rsid w:val="00A40DF4"/>
    <w:rsid w:val="00A41287"/>
    <w:rsid w:val="00A414EE"/>
    <w:rsid w:val="00A4298A"/>
    <w:rsid w:val="00A43970"/>
    <w:rsid w:val="00A43D64"/>
    <w:rsid w:val="00A44297"/>
    <w:rsid w:val="00A44477"/>
    <w:rsid w:val="00A45344"/>
    <w:rsid w:val="00A4534F"/>
    <w:rsid w:val="00A45BD4"/>
    <w:rsid w:val="00A46DD5"/>
    <w:rsid w:val="00A47469"/>
    <w:rsid w:val="00A47B9B"/>
    <w:rsid w:val="00A47FE1"/>
    <w:rsid w:val="00A50832"/>
    <w:rsid w:val="00A50FA4"/>
    <w:rsid w:val="00A511C1"/>
    <w:rsid w:val="00A51202"/>
    <w:rsid w:val="00A512D3"/>
    <w:rsid w:val="00A51558"/>
    <w:rsid w:val="00A51DA1"/>
    <w:rsid w:val="00A51F04"/>
    <w:rsid w:val="00A5232B"/>
    <w:rsid w:val="00A52461"/>
    <w:rsid w:val="00A526EA"/>
    <w:rsid w:val="00A53153"/>
    <w:rsid w:val="00A540A4"/>
    <w:rsid w:val="00A54123"/>
    <w:rsid w:val="00A54A98"/>
    <w:rsid w:val="00A54B71"/>
    <w:rsid w:val="00A55235"/>
    <w:rsid w:val="00A5587A"/>
    <w:rsid w:val="00A559A1"/>
    <w:rsid w:val="00A55BF0"/>
    <w:rsid w:val="00A5624A"/>
    <w:rsid w:val="00A5674A"/>
    <w:rsid w:val="00A56A52"/>
    <w:rsid w:val="00A610FD"/>
    <w:rsid w:val="00A61752"/>
    <w:rsid w:val="00A617EF"/>
    <w:rsid w:val="00A61F39"/>
    <w:rsid w:val="00A631AA"/>
    <w:rsid w:val="00A64620"/>
    <w:rsid w:val="00A64916"/>
    <w:rsid w:val="00A64CC8"/>
    <w:rsid w:val="00A64CFE"/>
    <w:rsid w:val="00A64DD0"/>
    <w:rsid w:val="00A65219"/>
    <w:rsid w:val="00A65A15"/>
    <w:rsid w:val="00A65C5B"/>
    <w:rsid w:val="00A66E87"/>
    <w:rsid w:val="00A673DB"/>
    <w:rsid w:val="00A67423"/>
    <w:rsid w:val="00A70D0C"/>
    <w:rsid w:val="00A70FFF"/>
    <w:rsid w:val="00A71F49"/>
    <w:rsid w:val="00A71F7D"/>
    <w:rsid w:val="00A73FC9"/>
    <w:rsid w:val="00A752A0"/>
    <w:rsid w:val="00A7581F"/>
    <w:rsid w:val="00A75AF8"/>
    <w:rsid w:val="00A76658"/>
    <w:rsid w:val="00A7678C"/>
    <w:rsid w:val="00A768B2"/>
    <w:rsid w:val="00A77BEA"/>
    <w:rsid w:val="00A80432"/>
    <w:rsid w:val="00A80BB1"/>
    <w:rsid w:val="00A81A95"/>
    <w:rsid w:val="00A82A4F"/>
    <w:rsid w:val="00A82ADA"/>
    <w:rsid w:val="00A8305E"/>
    <w:rsid w:val="00A83328"/>
    <w:rsid w:val="00A83608"/>
    <w:rsid w:val="00A839C8"/>
    <w:rsid w:val="00A83DD7"/>
    <w:rsid w:val="00A845AA"/>
    <w:rsid w:val="00A84844"/>
    <w:rsid w:val="00A85602"/>
    <w:rsid w:val="00A85735"/>
    <w:rsid w:val="00A85CCB"/>
    <w:rsid w:val="00A85E6B"/>
    <w:rsid w:val="00A860E2"/>
    <w:rsid w:val="00A86896"/>
    <w:rsid w:val="00A86C28"/>
    <w:rsid w:val="00A86D69"/>
    <w:rsid w:val="00A870E6"/>
    <w:rsid w:val="00A8712C"/>
    <w:rsid w:val="00A8777E"/>
    <w:rsid w:val="00A87AE9"/>
    <w:rsid w:val="00A90917"/>
    <w:rsid w:val="00A90BCE"/>
    <w:rsid w:val="00A90C29"/>
    <w:rsid w:val="00A90DD9"/>
    <w:rsid w:val="00A90F08"/>
    <w:rsid w:val="00A918BF"/>
    <w:rsid w:val="00A92249"/>
    <w:rsid w:val="00A93076"/>
    <w:rsid w:val="00A93248"/>
    <w:rsid w:val="00A938AF"/>
    <w:rsid w:val="00A949E3"/>
    <w:rsid w:val="00A951CC"/>
    <w:rsid w:val="00A95471"/>
    <w:rsid w:val="00A9555E"/>
    <w:rsid w:val="00A95971"/>
    <w:rsid w:val="00A9666C"/>
    <w:rsid w:val="00A96D2D"/>
    <w:rsid w:val="00A9747E"/>
    <w:rsid w:val="00A97B28"/>
    <w:rsid w:val="00AA02A2"/>
    <w:rsid w:val="00AA0315"/>
    <w:rsid w:val="00AA07CF"/>
    <w:rsid w:val="00AA0F32"/>
    <w:rsid w:val="00AA16E3"/>
    <w:rsid w:val="00AA23A9"/>
    <w:rsid w:val="00AA2AD1"/>
    <w:rsid w:val="00AA2C2E"/>
    <w:rsid w:val="00AA2FD9"/>
    <w:rsid w:val="00AA30F1"/>
    <w:rsid w:val="00AA3279"/>
    <w:rsid w:val="00AA3622"/>
    <w:rsid w:val="00AA45AD"/>
    <w:rsid w:val="00AA4E11"/>
    <w:rsid w:val="00AA5EB7"/>
    <w:rsid w:val="00AA66DA"/>
    <w:rsid w:val="00AA6E1E"/>
    <w:rsid w:val="00AA6EAA"/>
    <w:rsid w:val="00AB0346"/>
    <w:rsid w:val="00AB0769"/>
    <w:rsid w:val="00AB0849"/>
    <w:rsid w:val="00AB0C0C"/>
    <w:rsid w:val="00AB2C17"/>
    <w:rsid w:val="00AB309C"/>
    <w:rsid w:val="00AB382B"/>
    <w:rsid w:val="00AB5042"/>
    <w:rsid w:val="00AB5089"/>
    <w:rsid w:val="00AB529E"/>
    <w:rsid w:val="00AB5947"/>
    <w:rsid w:val="00AB6320"/>
    <w:rsid w:val="00AB6EC1"/>
    <w:rsid w:val="00AB73CB"/>
    <w:rsid w:val="00AB7BE2"/>
    <w:rsid w:val="00AC1090"/>
    <w:rsid w:val="00AC32C9"/>
    <w:rsid w:val="00AC363F"/>
    <w:rsid w:val="00AC3B42"/>
    <w:rsid w:val="00AC408B"/>
    <w:rsid w:val="00AC46C4"/>
    <w:rsid w:val="00AC4E46"/>
    <w:rsid w:val="00AC4E4A"/>
    <w:rsid w:val="00AC4FC4"/>
    <w:rsid w:val="00AC508B"/>
    <w:rsid w:val="00AC57BF"/>
    <w:rsid w:val="00AC5D73"/>
    <w:rsid w:val="00AC6157"/>
    <w:rsid w:val="00AC61D5"/>
    <w:rsid w:val="00AC68AE"/>
    <w:rsid w:val="00AC69B6"/>
    <w:rsid w:val="00AC7132"/>
    <w:rsid w:val="00AC741A"/>
    <w:rsid w:val="00AC767F"/>
    <w:rsid w:val="00AD19DE"/>
    <w:rsid w:val="00AD20DB"/>
    <w:rsid w:val="00AD2235"/>
    <w:rsid w:val="00AD240C"/>
    <w:rsid w:val="00AD264E"/>
    <w:rsid w:val="00AD2670"/>
    <w:rsid w:val="00AD2CC2"/>
    <w:rsid w:val="00AD2F0F"/>
    <w:rsid w:val="00AD3553"/>
    <w:rsid w:val="00AD3A2F"/>
    <w:rsid w:val="00AD4392"/>
    <w:rsid w:val="00AD4DFB"/>
    <w:rsid w:val="00AD55B1"/>
    <w:rsid w:val="00AD5756"/>
    <w:rsid w:val="00AD63C1"/>
    <w:rsid w:val="00AD645C"/>
    <w:rsid w:val="00AE25A7"/>
    <w:rsid w:val="00AE36F0"/>
    <w:rsid w:val="00AE36FC"/>
    <w:rsid w:val="00AE3BB6"/>
    <w:rsid w:val="00AE54D8"/>
    <w:rsid w:val="00AE5892"/>
    <w:rsid w:val="00AE5BC9"/>
    <w:rsid w:val="00AE5DEC"/>
    <w:rsid w:val="00AE64C4"/>
    <w:rsid w:val="00AE72B1"/>
    <w:rsid w:val="00AE72CD"/>
    <w:rsid w:val="00AE7387"/>
    <w:rsid w:val="00AE7C93"/>
    <w:rsid w:val="00AE7EE4"/>
    <w:rsid w:val="00AE7F2C"/>
    <w:rsid w:val="00AE7F3A"/>
    <w:rsid w:val="00AF0300"/>
    <w:rsid w:val="00AF0E3A"/>
    <w:rsid w:val="00AF0F2F"/>
    <w:rsid w:val="00AF1E5D"/>
    <w:rsid w:val="00AF2030"/>
    <w:rsid w:val="00AF2FF8"/>
    <w:rsid w:val="00AF3296"/>
    <w:rsid w:val="00AF4B9C"/>
    <w:rsid w:val="00AF4CAA"/>
    <w:rsid w:val="00AF534C"/>
    <w:rsid w:val="00AF5422"/>
    <w:rsid w:val="00AF6BAE"/>
    <w:rsid w:val="00AF6F5A"/>
    <w:rsid w:val="00AF71C0"/>
    <w:rsid w:val="00B00815"/>
    <w:rsid w:val="00B00AF3"/>
    <w:rsid w:val="00B01188"/>
    <w:rsid w:val="00B01373"/>
    <w:rsid w:val="00B01C20"/>
    <w:rsid w:val="00B01E66"/>
    <w:rsid w:val="00B029F6"/>
    <w:rsid w:val="00B034A2"/>
    <w:rsid w:val="00B03BA1"/>
    <w:rsid w:val="00B058A7"/>
    <w:rsid w:val="00B0665D"/>
    <w:rsid w:val="00B06C71"/>
    <w:rsid w:val="00B07E6D"/>
    <w:rsid w:val="00B107C3"/>
    <w:rsid w:val="00B10BA9"/>
    <w:rsid w:val="00B10DED"/>
    <w:rsid w:val="00B110D2"/>
    <w:rsid w:val="00B1177F"/>
    <w:rsid w:val="00B11AD0"/>
    <w:rsid w:val="00B126C0"/>
    <w:rsid w:val="00B12C19"/>
    <w:rsid w:val="00B13353"/>
    <w:rsid w:val="00B13CA4"/>
    <w:rsid w:val="00B142F0"/>
    <w:rsid w:val="00B14555"/>
    <w:rsid w:val="00B14624"/>
    <w:rsid w:val="00B1514C"/>
    <w:rsid w:val="00B154BB"/>
    <w:rsid w:val="00B15A2F"/>
    <w:rsid w:val="00B16E1F"/>
    <w:rsid w:val="00B17540"/>
    <w:rsid w:val="00B17773"/>
    <w:rsid w:val="00B20478"/>
    <w:rsid w:val="00B20556"/>
    <w:rsid w:val="00B20649"/>
    <w:rsid w:val="00B209F2"/>
    <w:rsid w:val="00B20AE6"/>
    <w:rsid w:val="00B20BBD"/>
    <w:rsid w:val="00B20D51"/>
    <w:rsid w:val="00B20FD1"/>
    <w:rsid w:val="00B215CE"/>
    <w:rsid w:val="00B21DA9"/>
    <w:rsid w:val="00B22566"/>
    <w:rsid w:val="00B2263B"/>
    <w:rsid w:val="00B226E6"/>
    <w:rsid w:val="00B228F2"/>
    <w:rsid w:val="00B23486"/>
    <w:rsid w:val="00B2402A"/>
    <w:rsid w:val="00B241A6"/>
    <w:rsid w:val="00B244E8"/>
    <w:rsid w:val="00B24908"/>
    <w:rsid w:val="00B24FA2"/>
    <w:rsid w:val="00B250ED"/>
    <w:rsid w:val="00B251A7"/>
    <w:rsid w:val="00B252BB"/>
    <w:rsid w:val="00B2613B"/>
    <w:rsid w:val="00B262AC"/>
    <w:rsid w:val="00B2667D"/>
    <w:rsid w:val="00B2690B"/>
    <w:rsid w:val="00B26A64"/>
    <w:rsid w:val="00B26B6D"/>
    <w:rsid w:val="00B26E1F"/>
    <w:rsid w:val="00B26F7E"/>
    <w:rsid w:val="00B27599"/>
    <w:rsid w:val="00B275A2"/>
    <w:rsid w:val="00B27E9B"/>
    <w:rsid w:val="00B30143"/>
    <w:rsid w:val="00B301FF"/>
    <w:rsid w:val="00B30249"/>
    <w:rsid w:val="00B304E3"/>
    <w:rsid w:val="00B30565"/>
    <w:rsid w:val="00B3076B"/>
    <w:rsid w:val="00B31317"/>
    <w:rsid w:val="00B31A95"/>
    <w:rsid w:val="00B31C44"/>
    <w:rsid w:val="00B31C94"/>
    <w:rsid w:val="00B31EA2"/>
    <w:rsid w:val="00B326DD"/>
    <w:rsid w:val="00B328DD"/>
    <w:rsid w:val="00B32EC5"/>
    <w:rsid w:val="00B33015"/>
    <w:rsid w:val="00B332D0"/>
    <w:rsid w:val="00B333D8"/>
    <w:rsid w:val="00B33517"/>
    <w:rsid w:val="00B33CD5"/>
    <w:rsid w:val="00B33CED"/>
    <w:rsid w:val="00B33FAF"/>
    <w:rsid w:val="00B343CC"/>
    <w:rsid w:val="00B34C35"/>
    <w:rsid w:val="00B3573B"/>
    <w:rsid w:val="00B35B53"/>
    <w:rsid w:val="00B36A8F"/>
    <w:rsid w:val="00B3714C"/>
    <w:rsid w:val="00B40C7F"/>
    <w:rsid w:val="00B40C97"/>
    <w:rsid w:val="00B40F83"/>
    <w:rsid w:val="00B41866"/>
    <w:rsid w:val="00B4198F"/>
    <w:rsid w:val="00B42322"/>
    <w:rsid w:val="00B428BF"/>
    <w:rsid w:val="00B42A9F"/>
    <w:rsid w:val="00B42E4C"/>
    <w:rsid w:val="00B42ED6"/>
    <w:rsid w:val="00B435F6"/>
    <w:rsid w:val="00B44286"/>
    <w:rsid w:val="00B4497C"/>
    <w:rsid w:val="00B44E6E"/>
    <w:rsid w:val="00B44F7E"/>
    <w:rsid w:val="00B45265"/>
    <w:rsid w:val="00B47113"/>
    <w:rsid w:val="00B47F2A"/>
    <w:rsid w:val="00B507BF"/>
    <w:rsid w:val="00B50AD5"/>
    <w:rsid w:val="00B50DE9"/>
    <w:rsid w:val="00B50F57"/>
    <w:rsid w:val="00B5130D"/>
    <w:rsid w:val="00B5151E"/>
    <w:rsid w:val="00B52C3A"/>
    <w:rsid w:val="00B52FDD"/>
    <w:rsid w:val="00B53126"/>
    <w:rsid w:val="00B5371F"/>
    <w:rsid w:val="00B53E8C"/>
    <w:rsid w:val="00B540F2"/>
    <w:rsid w:val="00B54567"/>
    <w:rsid w:val="00B5613B"/>
    <w:rsid w:val="00B56DCB"/>
    <w:rsid w:val="00B57864"/>
    <w:rsid w:val="00B57BA3"/>
    <w:rsid w:val="00B57E29"/>
    <w:rsid w:val="00B61430"/>
    <w:rsid w:val="00B619AB"/>
    <w:rsid w:val="00B61B19"/>
    <w:rsid w:val="00B62540"/>
    <w:rsid w:val="00B63542"/>
    <w:rsid w:val="00B635D2"/>
    <w:rsid w:val="00B636A2"/>
    <w:rsid w:val="00B63C13"/>
    <w:rsid w:val="00B63ECC"/>
    <w:rsid w:val="00B64AA2"/>
    <w:rsid w:val="00B65050"/>
    <w:rsid w:val="00B651B4"/>
    <w:rsid w:val="00B6592F"/>
    <w:rsid w:val="00B65F72"/>
    <w:rsid w:val="00B6719F"/>
    <w:rsid w:val="00B67C3F"/>
    <w:rsid w:val="00B703CD"/>
    <w:rsid w:val="00B7139C"/>
    <w:rsid w:val="00B71BA3"/>
    <w:rsid w:val="00B721A7"/>
    <w:rsid w:val="00B72973"/>
    <w:rsid w:val="00B729F0"/>
    <w:rsid w:val="00B73992"/>
    <w:rsid w:val="00B7434B"/>
    <w:rsid w:val="00B7466C"/>
    <w:rsid w:val="00B746C7"/>
    <w:rsid w:val="00B74B6A"/>
    <w:rsid w:val="00B758D0"/>
    <w:rsid w:val="00B75A4C"/>
    <w:rsid w:val="00B75DB7"/>
    <w:rsid w:val="00B76116"/>
    <w:rsid w:val="00B769CF"/>
    <w:rsid w:val="00B76BE5"/>
    <w:rsid w:val="00B771E7"/>
    <w:rsid w:val="00B7756F"/>
    <w:rsid w:val="00B775BA"/>
    <w:rsid w:val="00B7763C"/>
    <w:rsid w:val="00B77735"/>
    <w:rsid w:val="00B80024"/>
    <w:rsid w:val="00B804A3"/>
    <w:rsid w:val="00B806A7"/>
    <w:rsid w:val="00B81059"/>
    <w:rsid w:val="00B813A0"/>
    <w:rsid w:val="00B817C3"/>
    <w:rsid w:val="00B8197B"/>
    <w:rsid w:val="00B819BE"/>
    <w:rsid w:val="00B8337D"/>
    <w:rsid w:val="00B8408A"/>
    <w:rsid w:val="00B847BE"/>
    <w:rsid w:val="00B85DDC"/>
    <w:rsid w:val="00B86C23"/>
    <w:rsid w:val="00B876DD"/>
    <w:rsid w:val="00B877AA"/>
    <w:rsid w:val="00B87CFA"/>
    <w:rsid w:val="00B87E17"/>
    <w:rsid w:val="00B9050E"/>
    <w:rsid w:val="00B90646"/>
    <w:rsid w:val="00B909E1"/>
    <w:rsid w:val="00B90CD5"/>
    <w:rsid w:val="00B90FAD"/>
    <w:rsid w:val="00B9101C"/>
    <w:rsid w:val="00B91130"/>
    <w:rsid w:val="00B91A33"/>
    <w:rsid w:val="00B91ABD"/>
    <w:rsid w:val="00B91AFC"/>
    <w:rsid w:val="00B91F6E"/>
    <w:rsid w:val="00B929EE"/>
    <w:rsid w:val="00B94971"/>
    <w:rsid w:val="00B94CE5"/>
    <w:rsid w:val="00B95AF3"/>
    <w:rsid w:val="00B95F13"/>
    <w:rsid w:val="00B96849"/>
    <w:rsid w:val="00B96ACD"/>
    <w:rsid w:val="00B96F0C"/>
    <w:rsid w:val="00B9717D"/>
    <w:rsid w:val="00B97BB1"/>
    <w:rsid w:val="00B97F4B"/>
    <w:rsid w:val="00BA05E3"/>
    <w:rsid w:val="00BA0E8A"/>
    <w:rsid w:val="00BA116E"/>
    <w:rsid w:val="00BA18CB"/>
    <w:rsid w:val="00BA1D50"/>
    <w:rsid w:val="00BA1E62"/>
    <w:rsid w:val="00BA22BB"/>
    <w:rsid w:val="00BA23FD"/>
    <w:rsid w:val="00BA2533"/>
    <w:rsid w:val="00BA2787"/>
    <w:rsid w:val="00BA2C78"/>
    <w:rsid w:val="00BA38B4"/>
    <w:rsid w:val="00BA3CB5"/>
    <w:rsid w:val="00BA4C7A"/>
    <w:rsid w:val="00BA558A"/>
    <w:rsid w:val="00BA5C48"/>
    <w:rsid w:val="00BA5D53"/>
    <w:rsid w:val="00BA6F15"/>
    <w:rsid w:val="00BA719A"/>
    <w:rsid w:val="00BA7EF0"/>
    <w:rsid w:val="00BA7F3D"/>
    <w:rsid w:val="00BB0088"/>
    <w:rsid w:val="00BB00AD"/>
    <w:rsid w:val="00BB0AF1"/>
    <w:rsid w:val="00BB10EC"/>
    <w:rsid w:val="00BB134D"/>
    <w:rsid w:val="00BB1540"/>
    <w:rsid w:val="00BB1749"/>
    <w:rsid w:val="00BB1A42"/>
    <w:rsid w:val="00BB1F74"/>
    <w:rsid w:val="00BB2340"/>
    <w:rsid w:val="00BB2814"/>
    <w:rsid w:val="00BB2B65"/>
    <w:rsid w:val="00BB3D12"/>
    <w:rsid w:val="00BB3E6F"/>
    <w:rsid w:val="00BB4FB6"/>
    <w:rsid w:val="00BB539E"/>
    <w:rsid w:val="00BB5942"/>
    <w:rsid w:val="00BB6147"/>
    <w:rsid w:val="00BB6EA7"/>
    <w:rsid w:val="00BB72CC"/>
    <w:rsid w:val="00BB75CB"/>
    <w:rsid w:val="00BB76F5"/>
    <w:rsid w:val="00BB77C0"/>
    <w:rsid w:val="00BC09BF"/>
    <w:rsid w:val="00BC0D69"/>
    <w:rsid w:val="00BC0E02"/>
    <w:rsid w:val="00BC20AD"/>
    <w:rsid w:val="00BC2F9E"/>
    <w:rsid w:val="00BC445D"/>
    <w:rsid w:val="00BC4BE8"/>
    <w:rsid w:val="00BC5112"/>
    <w:rsid w:val="00BC5C9D"/>
    <w:rsid w:val="00BC714D"/>
    <w:rsid w:val="00BC71D6"/>
    <w:rsid w:val="00BC7261"/>
    <w:rsid w:val="00BC7268"/>
    <w:rsid w:val="00BD068A"/>
    <w:rsid w:val="00BD09F1"/>
    <w:rsid w:val="00BD0BAB"/>
    <w:rsid w:val="00BD17B8"/>
    <w:rsid w:val="00BD1E63"/>
    <w:rsid w:val="00BD2061"/>
    <w:rsid w:val="00BD2965"/>
    <w:rsid w:val="00BD30FA"/>
    <w:rsid w:val="00BD3CF4"/>
    <w:rsid w:val="00BD47BF"/>
    <w:rsid w:val="00BD50FA"/>
    <w:rsid w:val="00BD51C2"/>
    <w:rsid w:val="00BD5665"/>
    <w:rsid w:val="00BD6221"/>
    <w:rsid w:val="00BD6786"/>
    <w:rsid w:val="00BE06C0"/>
    <w:rsid w:val="00BE0D1C"/>
    <w:rsid w:val="00BE0DBE"/>
    <w:rsid w:val="00BE397F"/>
    <w:rsid w:val="00BE3CD6"/>
    <w:rsid w:val="00BE4A55"/>
    <w:rsid w:val="00BE4DE4"/>
    <w:rsid w:val="00BE529C"/>
    <w:rsid w:val="00BE5472"/>
    <w:rsid w:val="00BE55BD"/>
    <w:rsid w:val="00BE5B9F"/>
    <w:rsid w:val="00BE5D93"/>
    <w:rsid w:val="00BE6EDC"/>
    <w:rsid w:val="00BE77B1"/>
    <w:rsid w:val="00BE7EA3"/>
    <w:rsid w:val="00BF03CB"/>
    <w:rsid w:val="00BF0F54"/>
    <w:rsid w:val="00BF1030"/>
    <w:rsid w:val="00BF1D1B"/>
    <w:rsid w:val="00BF22E0"/>
    <w:rsid w:val="00BF3404"/>
    <w:rsid w:val="00BF385B"/>
    <w:rsid w:val="00BF3B8C"/>
    <w:rsid w:val="00BF3E02"/>
    <w:rsid w:val="00BF3E50"/>
    <w:rsid w:val="00BF3F8D"/>
    <w:rsid w:val="00BF4CA5"/>
    <w:rsid w:val="00BF4E4B"/>
    <w:rsid w:val="00BF4F00"/>
    <w:rsid w:val="00BF575F"/>
    <w:rsid w:val="00BF5F28"/>
    <w:rsid w:val="00BF61D9"/>
    <w:rsid w:val="00BF6683"/>
    <w:rsid w:val="00BF6A96"/>
    <w:rsid w:val="00BF6DC9"/>
    <w:rsid w:val="00BF7686"/>
    <w:rsid w:val="00BF794D"/>
    <w:rsid w:val="00BF7BFE"/>
    <w:rsid w:val="00BF7F25"/>
    <w:rsid w:val="00C00704"/>
    <w:rsid w:val="00C008A1"/>
    <w:rsid w:val="00C013AE"/>
    <w:rsid w:val="00C023AA"/>
    <w:rsid w:val="00C02ED3"/>
    <w:rsid w:val="00C02F61"/>
    <w:rsid w:val="00C03FC3"/>
    <w:rsid w:val="00C04DF2"/>
    <w:rsid w:val="00C04F9E"/>
    <w:rsid w:val="00C0579F"/>
    <w:rsid w:val="00C05C6A"/>
    <w:rsid w:val="00C060A5"/>
    <w:rsid w:val="00C06549"/>
    <w:rsid w:val="00C066A1"/>
    <w:rsid w:val="00C10966"/>
    <w:rsid w:val="00C11450"/>
    <w:rsid w:val="00C11772"/>
    <w:rsid w:val="00C1187F"/>
    <w:rsid w:val="00C12343"/>
    <w:rsid w:val="00C12382"/>
    <w:rsid w:val="00C127DC"/>
    <w:rsid w:val="00C1285A"/>
    <w:rsid w:val="00C12B91"/>
    <w:rsid w:val="00C13AA6"/>
    <w:rsid w:val="00C13C7B"/>
    <w:rsid w:val="00C13EA7"/>
    <w:rsid w:val="00C14863"/>
    <w:rsid w:val="00C1566C"/>
    <w:rsid w:val="00C15691"/>
    <w:rsid w:val="00C16B3B"/>
    <w:rsid w:val="00C16E67"/>
    <w:rsid w:val="00C172B4"/>
    <w:rsid w:val="00C176A4"/>
    <w:rsid w:val="00C178ED"/>
    <w:rsid w:val="00C20B92"/>
    <w:rsid w:val="00C210C2"/>
    <w:rsid w:val="00C22610"/>
    <w:rsid w:val="00C22631"/>
    <w:rsid w:val="00C23867"/>
    <w:rsid w:val="00C24026"/>
    <w:rsid w:val="00C2469A"/>
    <w:rsid w:val="00C24C2A"/>
    <w:rsid w:val="00C255A9"/>
    <w:rsid w:val="00C25A01"/>
    <w:rsid w:val="00C25D7D"/>
    <w:rsid w:val="00C264AC"/>
    <w:rsid w:val="00C26758"/>
    <w:rsid w:val="00C269CD"/>
    <w:rsid w:val="00C27B2B"/>
    <w:rsid w:val="00C27D14"/>
    <w:rsid w:val="00C304B0"/>
    <w:rsid w:val="00C30803"/>
    <w:rsid w:val="00C31033"/>
    <w:rsid w:val="00C311C8"/>
    <w:rsid w:val="00C313EF"/>
    <w:rsid w:val="00C320F2"/>
    <w:rsid w:val="00C3223B"/>
    <w:rsid w:val="00C3291F"/>
    <w:rsid w:val="00C32BC8"/>
    <w:rsid w:val="00C33ADF"/>
    <w:rsid w:val="00C34BFF"/>
    <w:rsid w:val="00C34DCD"/>
    <w:rsid w:val="00C350AB"/>
    <w:rsid w:val="00C35309"/>
    <w:rsid w:val="00C35C7F"/>
    <w:rsid w:val="00C35FB0"/>
    <w:rsid w:val="00C36238"/>
    <w:rsid w:val="00C36353"/>
    <w:rsid w:val="00C36361"/>
    <w:rsid w:val="00C36FA9"/>
    <w:rsid w:val="00C375E0"/>
    <w:rsid w:val="00C376AF"/>
    <w:rsid w:val="00C402C2"/>
    <w:rsid w:val="00C4144A"/>
    <w:rsid w:val="00C4188B"/>
    <w:rsid w:val="00C41A5D"/>
    <w:rsid w:val="00C41E52"/>
    <w:rsid w:val="00C423DF"/>
    <w:rsid w:val="00C431D4"/>
    <w:rsid w:val="00C44A65"/>
    <w:rsid w:val="00C45450"/>
    <w:rsid w:val="00C460E4"/>
    <w:rsid w:val="00C46295"/>
    <w:rsid w:val="00C46484"/>
    <w:rsid w:val="00C4691F"/>
    <w:rsid w:val="00C46BF3"/>
    <w:rsid w:val="00C46CD4"/>
    <w:rsid w:val="00C46E58"/>
    <w:rsid w:val="00C46FCF"/>
    <w:rsid w:val="00C50313"/>
    <w:rsid w:val="00C51004"/>
    <w:rsid w:val="00C5117B"/>
    <w:rsid w:val="00C51531"/>
    <w:rsid w:val="00C528FD"/>
    <w:rsid w:val="00C53DBC"/>
    <w:rsid w:val="00C546F9"/>
    <w:rsid w:val="00C54F8C"/>
    <w:rsid w:val="00C558D9"/>
    <w:rsid w:val="00C55E0A"/>
    <w:rsid w:val="00C55FA2"/>
    <w:rsid w:val="00C56008"/>
    <w:rsid w:val="00C56911"/>
    <w:rsid w:val="00C56929"/>
    <w:rsid w:val="00C56B57"/>
    <w:rsid w:val="00C56B72"/>
    <w:rsid w:val="00C56D24"/>
    <w:rsid w:val="00C5714A"/>
    <w:rsid w:val="00C57481"/>
    <w:rsid w:val="00C57816"/>
    <w:rsid w:val="00C57F63"/>
    <w:rsid w:val="00C60015"/>
    <w:rsid w:val="00C600A5"/>
    <w:rsid w:val="00C603CE"/>
    <w:rsid w:val="00C61142"/>
    <w:rsid w:val="00C61649"/>
    <w:rsid w:val="00C618B3"/>
    <w:rsid w:val="00C61EC4"/>
    <w:rsid w:val="00C62B9A"/>
    <w:rsid w:val="00C62DA7"/>
    <w:rsid w:val="00C63339"/>
    <w:rsid w:val="00C63F24"/>
    <w:rsid w:val="00C641B5"/>
    <w:rsid w:val="00C641BE"/>
    <w:rsid w:val="00C6441B"/>
    <w:rsid w:val="00C645BF"/>
    <w:rsid w:val="00C64A7F"/>
    <w:rsid w:val="00C6530A"/>
    <w:rsid w:val="00C655B8"/>
    <w:rsid w:val="00C656B3"/>
    <w:rsid w:val="00C65B80"/>
    <w:rsid w:val="00C65E0A"/>
    <w:rsid w:val="00C65FAB"/>
    <w:rsid w:val="00C667B5"/>
    <w:rsid w:val="00C66856"/>
    <w:rsid w:val="00C6698C"/>
    <w:rsid w:val="00C67DF5"/>
    <w:rsid w:val="00C709EE"/>
    <w:rsid w:val="00C70AE8"/>
    <w:rsid w:val="00C71B17"/>
    <w:rsid w:val="00C73004"/>
    <w:rsid w:val="00C73521"/>
    <w:rsid w:val="00C7352B"/>
    <w:rsid w:val="00C73F95"/>
    <w:rsid w:val="00C74B4D"/>
    <w:rsid w:val="00C74BD3"/>
    <w:rsid w:val="00C74C34"/>
    <w:rsid w:val="00C7574F"/>
    <w:rsid w:val="00C760A6"/>
    <w:rsid w:val="00C761E0"/>
    <w:rsid w:val="00C7707F"/>
    <w:rsid w:val="00C77242"/>
    <w:rsid w:val="00C80862"/>
    <w:rsid w:val="00C809C4"/>
    <w:rsid w:val="00C8164B"/>
    <w:rsid w:val="00C81761"/>
    <w:rsid w:val="00C822FA"/>
    <w:rsid w:val="00C82AD4"/>
    <w:rsid w:val="00C82CCE"/>
    <w:rsid w:val="00C833D1"/>
    <w:rsid w:val="00C834AB"/>
    <w:rsid w:val="00C8363A"/>
    <w:rsid w:val="00C84085"/>
    <w:rsid w:val="00C8422C"/>
    <w:rsid w:val="00C84620"/>
    <w:rsid w:val="00C8516E"/>
    <w:rsid w:val="00C8576B"/>
    <w:rsid w:val="00C8682E"/>
    <w:rsid w:val="00C8689A"/>
    <w:rsid w:val="00C86A25"/>
    <w:rsid w:val="00C8777C"/>
    <w:rsid w:val="00C87D9C"/>
    <w:rsid w:val="00C90169"/>
    <w:rsid w:val="00C9041C"/>
    <w:rsid w:val="00C909BE"/>
    <w:rsid w:val="00C91B98"/>
    <w:rsid w:val="00C91D10"/>
    <w:rsid w:val="00C92AD4"/>
    <w:rsid w:val="00C937F5"/>
    <w:rsid w:val="00C94175"/>
    <w:rsid w:val="00C9438F"/>
    <w:rsid w:val="00C943B5"/>
    <w:rsid w:val="00C94A09"/>
    <w:rsid w:val="00C952F0"/>
    <w:rsid w:val="00C956DC"/>
    <w:rsid w:val="00C95C20"/>
    <w:rsid w:val="00C95CE4"/>
    <w:rsid w:val="00C96806"/>
    <w:rsid w:val="00C96D17"/>
    <w:rsid w:val="00C97B99"/>
    <w:rsid w:val="00C97CD8"/>
    <w:rsid w:val="00CA05C0"/>
    <w:rsid w:val="00CA1EFC"/>
    <w:rsid w:val="00CA1F9C"/>
    <w:rsid w:val="00CA224D"/>
    <w:rsid w:val="00CA2AAF"/>
    <w:rsid w:val="00CA39F9"/>
    <w:rsid w:val="00CA3ADD"/>
    <w:rsid w:val="00CA3D50"/>
    <w:rsid w:val="00CA4048"/>
    <w:rsid w:val="00CA41DD"/>
    <w:rsid w:val="00CA4449"/>
    <w:rsid w:val="00CA4B92"/>
    <w:rsid w:val="00CA614A"/>
    <w:rsid w:val="00CA64D5"/>
    <w:rsid w:val="00CA65D1"/>
    <w:rsid w:val="00CA6AA1"/>
    <w:rsid w:val="00CA6FA6"/>
    <w:rsid w:val="00CA7017"/>
    <w:rsid w:val="00CA7831"/>
    <w:rsid w:val="00CA7AB6"/>
    <w:rsid w:val="00CA7B43"/>
    <w:rsid w:val="00CA7B85"/>
    <w:rsid w:val="00CA7E5C"/>
    <w:rsid w:val="00CA7E6E"/>
    <w:rsid w:val="00CB0B0F"/>
    <w:rsid w:val="00CB15BB"/>
    <w:rsid w:val="00CB1DA2"/>
    <w:rsid w:val="00CB1F66"/>
    <w:rsid w:val="00CB2B5F"/>
    <w:rsid w:val="00CB31EF"/>
    <w:rsid w:val="00CB342D"/>
    <w:rsid w:val="00CB3523"/>
    <w:rsid w:val="00CB3CA4"/>
    <w:rsid w:val="00CB4A71"/>
    <w:rsid w:val="00CB51BE"/>
    <w:rsid w:val="00CB5470"/>
    <w:rsid w:val="00CB57B7"/>
    <w:rsid w:val="00CB5A09"/>
    <w:rsid w:val="00CB668B"/>
    <w:rsid w:val="00CB73A4"/>
    <w:rsid w:val="00CC0685"/>
    <w:rsid w:val="00CC0D26"/>
    <w:rsid w:val="00CC1434"/>
    <w:rsid w:val="00CC2137"/>
    <w:rsid w:val="00CC29BA"/>
    <w:rsid w:val="00CC2B2D"/>
    <w:rsid w:val="00CC31E6"/>
    <w:rsid w:val="00CC336B"/>
    <w:rsid w:val="00CC3FAC"/>
    <w:rsid w:val="00CC4386"/>
    <w:rsid w:val="00CC50A0"/>
    <w:rsid w:val="00CC54DE"/>
    <w:rsid w:val="00CC5CA3"/>
    <w:rsid w:val="00CC6684"/>
    <w:rsid w:val="00CC7A30"/>
    <w:rsid w:val="00CC7BFE"/>
    <w:rsid w:val="00CC7D29"/>
    <w:rsid w:val="00CD13B9"/>
    <w:rsid w:val="00CD149C"/>
    <w:rsid w:val="00CD1B30"/>
    <w:rsid w:val="00CD1EDE"/>
    <w:rsid w:val="00CD25A0"/>
    <w:rsid w:val="00CD2DEB"/>
    <w:rsid w:val="00CD2EA4"/>
    <w:rsid w:val="00CD34AE"/>
    <w:rsid w:val="00CD3D68"/>
    <w:rsid w:val="00CD4529"/>
    <w:rsid w:val="00CD46A4"/>
    <w:rsid w:val="00CD49E0"/>
    <w:rsid w:val="00CD4EDF"/>
    <w:rsid w:val="00CD5394"/>
    <w:rsid w:val="00CD55A7"/>
    <w:rsid w:val="00CD5A38"/>
    <w:rsid w:val="00CD5B41"/>
    <w:rsid w:val="00CD5D8D"/>
    <w:rsid w:val="00CD5E23"/>
    <w:rsid w:val="00CD6454"/>
    <w:rsid w:val="00CD6F05"/>
    <w:rsid w:val="00CE0838"/>
    <w:rsid w:val="00CE0C30"/>
    <w:rsid w:val="00CE10C4"/>
    <w:rsid w:val="00CE1FC8"/>
    <w:rsid w:val="00CE210C"/>
    <w:rsid w:val="00CE29A4"/>
    <w:rsid w:val="00CE3A8B"/>
    <w:rsid w:val="00CE3B2E"/>
    <w:rsid w:val="00CE3C5F"/>
    <w:rsid w:val="00CE3F03"/>
    <w:rsid w:val="00CE479A"/>
    <w:rsid w:val="00CE4A12"/>
    <w:rsid w:val="00CE4B2C"/>
    <w:rsid w:val="00CE54CE"/>
    <w:rsid w:val="00CE559F"/>
    <w:rsid w:val="00CE58EB"/>
    <w:rsid w:val="00CE59C0"/>
    <w:rsid w:val="00CE5A56"/>
    <w:rsid w:val="00CE6767"/>
    <w:rsid w:val="00CE71FB"/>
    <w:rsid w:val="00CE7A88"/>
    <w:rsid w:val="00CE7ADE"/>
    <w:rsid w:val="00CF054D"/>
    <w:rsid w:val="00CF09C1"/>
    <w:rsid w:val="00CF1063"/>
    <w:rsid w:val="00CF12CD"/>
    <w:rsid w:val="00CF16B2"/>
    <w:rsid w:val="00CF21A4"/>
    <w:rsid w:val="00CF2211"/>
    <w:rsid w:val="00CF2233"/>
    <w:rsid w:val="00CF2284"/>
    <w:rsid w:val="00CF276C"/>
    <w:rsid w:val="00CF294E"/>
    <w:rsid w:val="00CF340F"/>
    <w:rsid w:val="00CF3D79"/>
    <w:rsid w:val="00CF3E66"/>
    <w:rsid w:val="00CF41F8"/>
    <w:rsid w:val="00CF52AE"/>
    <w:rsid w:val="00CF52F8"/>
    <w:rsid w:val="00CF5411"/>
    <w:rsid w:val="00CF5E1E"/>
    <w:rsid w:val="00CF5FEF"/>
    <w:rsid w:val="00CF61C4"/>
    <w:rsid w:val="00CF6686"/>
    <w:rsid w:val="00CF6B6B"/>
    <w:rsid w:val="00CF7370"/>
    <w:rsid w:val="00CF770F"/>
    <w:rsid w:val="00CF7775"/>
    <w:rsid w:val="00CF782A"/>
    <w:rsid w:val="00CF7C7F"/>
    <w:rsid w:val="00D008D5"/>
    <w:rsid w:val="00D008D6"/>
    <w:rsid w:val="00D01471"/>
    <w:rsid w:val="00D03260"/>
    <w:rsid w:val="00D0463F"/>
    <w:rsid w:val="00D04964"/>
    <w:rsid w:val="00D049D0"/>
    <w:rsid w:val="00D049D6"/>
    <w:rsid w:val="00D0592C"/>
    <w:rsid w:val="00D05A37"/>
    <w:rsid w:val="00D0608E"/>
    <w:rsid w:val="00D069F6"/>
    <w:rsid w:val="00D07C32"/>
    <w:rsid w:val="00D07F4A"/>
    <w:rsid w:val="00D109A3"/>
    <w:rsid w:val="00D10E02"/>
    <w:rsid w:val="00D10F61"/>
    <w:rsid w:val="00D10F75"/>
    <w:rsid w:val="00D110E6"/>
    <w:rsid w:val="00D11ABD"/>
    <w:rsid w:val="00D12151"/>
    <w:rsid w:val="00D12E54"/>
    <w:rsid w:val="00D1374F"/>
    <w:rsid w:val="00D13E46"/>
    <w:rsid w:val="00D148BF"/>
    <w:rsid w:val="00D16119"/>
    <w:rsid w:val="00D16B33"/>
    <w:rsid w:val="00D17B5B"/>
    <w:rsid w:val="00D17B7F"/>
    <w:rsid w:val="00D205AA"/>
    <w:rsid w:val="00D222FC"/>
    <w:rsid w:val="00D2239A"/>
    <w:rsid w:val="00D22CB7"/>
    <w:rsid w:val="00D23302"/>
    <w:rsid w:val="00D247B5"/>
    <w:rsid w:val="00D247CC"/>
    <w:rsid w:val="00D24924"/>
    <w:rsid w:val="00D24AB9"/>
    <w:rsid w:val="00D24FC6"/>
    <w:rsid w:val="00D25580"/>
    <w:rsid w:val="00D2576F"/>
    <w:rsid w:val="00D25D5B"/>
    <w:rsid w:val="00D2606E"/>
    <w:rsid w:val="00D270EB"/>
    <w:rsid w:val="00D271BF"/>
    <w:rsid w:val="00D27813"/>
    <w:rsid w:val="00D27EAB"/>
    <w:rsid w:val="00D3033D"/>
    <w:rsid w:val="00D303E8"/>
    <w:rsid w:val="00D30CBC"/>
    <w:rsid w:val="00D31154"/>
    <w:rsid w:val="00D31315"/>
    <w:rsid w:val="00D31BAD"/>
    <w:rsid w:val="00D327CE"/>
    <w:rsid w:val="00D328CF"/>
    <w:rsid w:val="00D32FA4"/>
    <w:rsid w:val="00D33273"/>
    <w:rsid w:val="00D334A6"/>
    <w:rsid w:val="00D33E2A"/>
    <w:rsid w:val="00D34578"/>
    <w:rsid w:val="00D35136"/>
    <w:rsid w:val="00D353AF"/>
    <w:rsid w:val="00D358A2"/>
    <w:rsid w:val="00D35942"/>
    <w:rsid w:val="00D35F50"/>
    <w:rsid w:val="00D3647A"/>
    <w:rsid w:val="00D36BBA"/>
    <w:rsid w:val="00D370DA"/>
    <w:rsid w:val="00D37B56"/>
    <w:rsid w:val="00D40093"/>
    <w:rsid w:val="00D40F54"/>
    <w:rsid w:val="00D41BF5"/>
    <w:rsid w:val="00D426A8"/>
    <w:rsid w:val="00D42B33"/>
    <w:rsid w:val="00D431AD"/>
    <w:rsid w:val="00D4339E"/>
    <w:rsid w:val="00D43866"/>
    <w:rsid w:val="00D43885"/>
    <w:rsid w:val="00D45169"/>
    <w:rsid w:val="00D4524D"/>
    <w:rsid w:val="00D454C0"/>
    <w:rsid w:val="00D45B56"/>
    <w:rsid w:val="00D45C66"/>
    <w:rsid w:val="00D4627B"/>
    <w:rsid w:val="00D46499"/>
    <w:rsid w:val="00D46C1E"/>
    <w:rsid w:val="00D46D61"/>
    <w:rsid w:val="00D46FC0"/>
    <w:rsid w:val="00D46FF2"/>
    <w:rsid w:val="00D47556"/>
    <w:rsid w:val="00D479A9"/>
    <w:rsid w:val="00D504E4"/>
    <w:rsid w:val="00D50B52"/>
    <w:rsid w:val="00D50FB9"/>
    <w:rsid w:val="00D518B9"/>
    <w:rsid w:val="00D52344"/>
    <w:rsid w:val="00D52587"/>
    <w:rsid w:val="00D525B1"/>
    <w:rsid w:val="00D5269C"/>
    <w:rsid w:val="00D53195"/>
    <w:rsid w:val="00D5321A"/>
    <w:rsid w:val="00D548A2"/>
    <w:rsid w:val="00D54BC1"/>
    <w:rsid w:val="00D54CB6"/>
    <w:rsid w:val="00D54E92"/>
    <w:rsid w:val="00D55C25"/>
    <w:rsid w:val="00D55C27"/>
    <w:rsid w:val="00D55E4A"/>
    <w:rsid w:val="00D56170"/>
    <w:rsid w:val="00D56284"/>
    <w:rsid w:val="00D565D8"/>
    <w:rsid w:val="00D56F5C"/>
    <w:rsid w:val="00D57194"/>
    <w:rsid w:val="00D601F2"/>
    <w:rsid w:val="00D6077B"/>
    <w:rsid w:val="00D611C3"/>
    <w:rsid w:val="00D61203"/>
    <w:rsid w:val="00D61396"/>
    <w:rsid w:val="00D61A4D"/>
    <w:rsid w:val="00D620E9"/>
    <w:rsid w:val="00D62B3B"/>
    <w:rsid w:val="00D633DA"/>
    <w:rsid w:val="00D63986"/>
    <w:rsid w:val="00D640E8"/>
    <w:rsid w:val="00D643C9"/>
    <w:rsid w:val="00D65B4C"/>
    <w:rsid w:val="00D65BED"/>
    <w:rsid w:val="00D660E8"/>
    <w:rsid w:val="00D66DE1"/>
    <w:rsid w:val="00D6710D"/>
    <w:rsid w:val="00D67FA8"/>
    <w:rsid w:val="00D700D8"/>
    <w:rsid w:val="00D70B9C"/>
    <w:rsid w:val="00D70BF8"/>
    <w:rsid w:val="00D70E34"/>
    <w:rsid w:val="00D70E78"/>
    <w:rsid w:val="00D71689"/>
    <w:rsid w:val="00D71C05"/>
    <w:rsid w:val="00D72A2B"/>
    <w:rsid w:val="00D72C35"/>
    <w:rsid w:val="00D73251"/>
    <w:rsid w:val="00D73908"/>
    <w:rsid w:val="00D73AAF"/>
    <w:rsid w:val="00D73B5B"/>
    <w:rsid w:val="00D73FA7"/>
    <w:rsid w:val="00D7412B"/>
    <w:rsid w:val="00D742D3"/>
    <w:rsid w:val="00D749D8"/>
    <w:rsid w:val="00D74AF2"/>
    <w:rsid w:val="00D74D31"/>
    <w:rsid w:val="00D7526D"/>
    <w:rsid w:val="00D7555B"/>
    <w:rsid w:val="00D75777"/>
    <w:rsid w:val="00D75D58"/>
    <w:rsid w:val="00D770B9"/>
    <w:rsid w:val="00D773F7"/>
    <w:rsid w:val="00D8005E"/>
    <w:rsid w:val="00D8053E"/>
    <w:rsid w:val="00D80B9B"/>
    <w:rsid w:val="00D81B74"/>
    <w:rsid w:val="00D824A8"/>
    <w:rsid w:val="00D825A1"/>
    <w:rsid w:val="00D82CF1"/>
    <w:rsid w:val="00D83C31"/>
    <w:rsid w:val="00D84C30"/>
    <w:rsid w:val="00D862FA"/>
    <w:rsid w:val="00D877B5"/>
    <w:rsid w:val="00D90278"/>
    <w:rsid w:val="00D9054E"/>
    <w:rsid w:val="00D90875"/>
    <w:rsid w:val="00D91088"/>
    <w:rsid w:val="00D91E01"/>
    <w:rsid w:val="00D9235C"/>
    <w:rsid w:val="00D92372"/>
    <w:rsid w:val="00D927E4"/>
    <w:rsid w:val="00D92CC8"/>
    <w:rsid w:val="00D92F19"/>
    <w:rsid w:val="00D92FAD"/>
    <w:rsid w:val="00D92FD7"/>
    <w:rsid w:val="00D933BF"/>
    <w:rsid w:val="00D935CA"/>
    <w:rsid w:val="00D94003"/>
    <w:rsid w:val="00D941EB"/>
    <w:rsid w:val="00D9431C"/>
    <w:rsid w:val="00D946B7"/>
    <w:rsid w:val="00D94C78"/>
    <w:rsid w:val="00D95523"/>
    <w:rsid w:val="00D9553B"/>
    <w:rsid w:val="00D955CE"/>
    <w:rsid w:val="00D958DF"/>
    <w:rsid w:val="00D95B76"/>
    <w:rsid w:val="00D95D0C"/>
    <w:rsid w:val="00D95EC0"/>
    <w:rsid w:val="00D95FD4"/>
    <w:rsid w:val="00D962F1"/>
    <w:rsid w:val="00D96391"/>
    <w:rsid w:val="00D96B71"/>
    <w:rsid w:val="00D96C0C"/>
    <w:rsid w:val="00D96FE4"/>
    <w:rsid w:val="00D971B4"/>
    <w:rsid w:val="00D9737F"/>
    <w:rsid w:val="00D975AB"/>
    <w:rsid w:val="00DA27A0"/>
    <w:rsid w:val="00DA2D51"/>
    <w:rsid w:val="00DA3313"/>
    <w:rsid w:val="00DA3368"/>
    <w:rsid w:val="00DA387F"/>
    <w:rsid w:val="00DA38FF"/>
    <w:rsid w:val="00DA3936"/>
    <w:rsid w:val="00DA3E0D"/>
    <w:rsid w:val="00DA3ECF"/>
    <w:rsid w:val="00DA3F9D"/>
    <w:rsid w:val="00DA488E"/>
    <w:rsid w:val="00DA4E9B"/>
    <w:rsid w:val="00DA6A42"/>
    <w:rsid w:val="00DA7C0A"/>
    <w:rsid w:val="00DA7E69"/>
    <w:rsid w:val="00DB049E"/>
    <w:rsid w:val="00DB116B"/>
    <w:rsid w:val="00DB178A"/>
    <w:rsid w:val="00DB24EA"/>
    <w:rsid w:val="00DB28BC"/>
    <w:rsid w:val="00DB2A3B"/>
    <w:rsid w:val="00DB3083"/>
    <w:rsid w:val="00DB35A9"/>
    <w:rsid w:val="00DB360F"/>
    <w:rsid w:val="00DB443E"/>
    <w:rsid w:val="00DB5794"/>
    <w:rsid w:val="00DB5A5F"/>
    <w:rsid w:val="00DB5A69"/>
    <w:rsid w:val="00DB5C99"/>
    <w:rsid w:val="00DB7940"/>
    <w:rsid w:val="00DB7CDB"/>
    <w:rsid w:val="00DC0232"/>
    <w:rsid w:val="00DC0481"/>
    <w:rsid w:val="00DC051D"/>
    <w:rsid w:val="00DC059E"/>
    <w:rsid w:val="00DC06CA"/>
    <w:rsid w:val="00DC0A3C"/>
    <w:rsid w:val="00DC1471"/>
    <w:rsid w:val="00DC1483"/>
    <w:rsid w:val="00DC1C84"/>
    <w:rsid w:val="00DC1D8C"/>
    <w:rsid w:val="00DC1E66"/>
    <w:rsid w:val="00DC21A9"/>
    <w:rsid w:val="00DC2B34"/>
    <w:rsid w:val="00DC2B56"/>
    <w:rsid w:val="00DC2E41"/>
    <w:rsid w:val="00DC3D1E"/>
    <w:rsid w:val="00DC3E96"/>
    <w:rsid w:val="00DC49F0"/>
    <w:rsid w:val="00DC4D86"/>
    <w:rsid w:val="00DC5226"/>
    <w:rsid w:val="00DC583D"/>
    <w:rsid w:val="00DC6A16"/>
    <w:rsid w:val="00DC73E0"/>
    <w:rsid w:val="00DC7707"/>
    <w:rsid w:val="00DC7F6D"/>
    <w:rsid w:val="00DD06D3"/>
    <w:rsid w:val="00DD138E"/>
    <w:rsid w:val="00DD1E23"/>
    <w:rsid w:val="00DD2260"/>
    <w:rsid w:val="00DD2619"/>
    <w:rsid w:val="00DD3FDF"/>
    <w:rsid w:val="00DD4FC5"/>
    <w:rsid w:val="00DD5212"/>
    <w:rsid w:val="00DD5FA5"/>
    <w:rsid w:val="00DD6942"/>
    <w:rsid w:val="00DD6AC1"/>
    <w:rsid w:val="00DD6D74"/>
    <w:rsid w:val="00DD6FB6"/>
    <w:rsid w:val="00DD7294"/>
    <w:rsid w:val="00DD7299"/>
    <w:rsid w:val="00DD77BB"/>
    <w:rsid w:val="00DD77E7"/>
    <w:rsid w:val="00DE00FB"/>
    <w:rsid w:val="00DE043F"/>
    <w:rsid w:val="00DE077D"/>
    <w:rsid w:val="00DE0D81"/>
    <w:rsid w:val="00DE169C"/>
    <w:rsid w:val="00DE17A4"/>
    <w:rsid w:val="00DE1CF5"/>
    <w:rsid w:val="00DE23FF"/>
    <w:rsid w:val="00DE3020"/>
    <w:rsid w:val="00DE3AB5"/>
    <w:rsid w:val="00DE420A"/>
    <w:rsid w:val="00DE54B3"/>
    <w:rsid w:val="00DE5BA3"/>
    <w:rsid w:val="00DE724D"/>
    <w:rsid w:val="00DE7F66"/>
    <w:rsid w:val="00DF0A76"/>
    <w:rsid w:val="00DF0ACB"/>
    <w:rsid w:val="00DF0CF3"/>
    <w:rsid w:val="00DF1165"/>
    <w:rsid w:val="00DF16B5"/>
    <w:rsid w:val="00DF1AB9"/>
    <w:rsid w:val="00DF1C5E"/>
    <w:rsid w:val="00DF3110"/>
    <w:rsid w:val="00DF41EF"/>
    <w:rsid w:val="00DF46F7"/>
    <w:rsid w:val="00DF46FF"/>
    <w:rsid w:val="00DF4D1B"/>
    <w:rsid w:val="00DF50B6"/>
    <w:rsid w:val="00DF536A"/>
    <w:rsid w:val="00DF53D3"/>
    <w:rsid w:val="00DF5402"/>
    <w:rsid w:val="00DF57EF"/>
    <w:rsid w:val="00DF6426"/>
    <w:rsid w:val="00DF65B8"/>
    <w:rsid w:val="00DF7906"/>
    <w:rsid w:val="00DF7D2F"/>
    <w:rsid w:val="00DF7DAE"/>
    <w:rsid w:val="00E006C6"/>
    <w:rsid w:val="00E00775"/>
    <w:rsid w:val="00E00A30"/>
    <w:rsid w:val="00E0134C"/>
    <w:rsid w:val="00E013B2"/>
    <w:rsid w:val="00E01400"/>
    <w:rsid w:val="00E019DA"/>
    <w:rsid w:val="00E02178"/>
    <w:rsid w:val="00E022B9"/>
    <w:rsid w:val="00E024F9"/>
    <w:rsid w:val="00E02E6C"/>
    <w:rsid w:val="00E02EE0"/>
    <w:rsid w:val="00E031D4"/>
    <w:rsid w:val="00E047D7"/>
    <w:rsid w:val="00E0541F"/>
    <w:rsid w:val="00E05B92"/>
    <w:rsid w:val="00E05DA5"/>
    <w:rsid w:val="00E061EE"/>
    <w:rsid w:val="00E06247"/>
    <w:rsid w:val="00E06B0B"/>
    <w:rsid w:val="00E06F8C"/>
    <w:rsid w:val="00E07E09"/>
    <w:rsid w:val="00E101C0"/>
    <w:rsid w:val="00E105F9"/>
    <w:rsid w:val="00E10E3E"/>
    <w:rsid w:val="00E113BE"/>
    <w:rsid w:val="00E119A2"/>
    <w:rsid w:val="00E11EC4"/>
    <w:rsid w:val="00E12751"/>
    <w:rsid w:val="00E12EA1"/>
    <w:rsid w:val="00E13B41"/>
    <w:rsid w:val="00E14897"/>
    <w:rsid w:val="00E14E51"/>
    <w:rsid w:val="00E151A7"/>
    <w:rsid w:val="00E1550E"/>
    <w:rsid w:val="00E166A9"/>
    <w:rsid w:val="00E16EE8"/>
    <w:rsid w:val="00E16FBE"/>
    <w:rsid w:val="00E17FA8"/>
    <w:rsid w:val="00E20049"/>
    <w:rsid w:val="00E204E6"/>
    <w:rsid w:val="00E20E21"/>
    <w:rsid w:val="00E210D3"/>
    <w:rsid w:val="00E2145C"/>
    <w:rsid w:val="00E21D75"/>
    <w:rsid w:val="00E21F3E"/>
    <w:rsid w:val="00E223AB"/>
    <w:rsid w:val="00E22408"/>
    <w:rsid w:val="00E22483"/>
    <w:rsid w:val="00E227A9"/>
    <w:rsid w:val="00E2326C"/>
    <w:rsid w:val="00E232F2"/>
    <w:rsid w:val="00E23ABC"/>
    <w:rsid w:val="00E247AC"/>
    <w:rsid w:val="00E24B41"/>
    <w:rsid w:val="00E24E91"/>
    <w:rsid w:val="00E257DE"/>
    <w:rsid w:val="00E25ED2"/>
    <w:rsid w:val="00E25F19"/>
    <w:rsid w:val="00E263DF"/>
    <w:rsid w:val="00E265C3"/>
    <w:rsid w:val="00E267A5"/>
    <w:rsid w:val="00E26B57"/>
    <w:rsid w:val="00E2770C"/>
    <w:rsid w:val="00E27916"/>
    <w:rsid w:val="00E27D8B"/>
    <w:rsid w:val="00E30353"/>
    <w:rsid w:val="00E306A1"/>
    <w:rsid w:val="00E31144"/>
    <w:rsid w:val="00E31D7A"/>
    <w:rsid w:val="00E33702"/>
    <w:rsid w:val="00E33A56"/>
    <w:rsid w:val="00E33BBA"/>
    <w:rsid w:val="00E3407D"/>
    <w:rsid w:val="00E3461F"/>
    <w:rsid w:val="00E34E6D"/>
    <w:rsid w:val="00E34E9F"/>
    <w:rsid w:val="00E35ACC"/>
    <w:rsid w:val="00E36E35"/>
    <w:rsid w:val="00E37E98"/>
    <w:rsid w:val="00E40005"/>
    <w:rsid w:val="00E4093D"/>
    <w:rsid w:val="00E40C2A"/>
    <w:rsid w:val="00E42198"/>
    <w:rsid w:val="00E435D2"/>
    <w:rsid w:val="00E4398B"/>
    <w:rsid w:val="00E43B49"/>
    <w:rsid w:val="00E44576"/>
    <w:rsid w:val="00E445D7"/>
    <w:rsid w:val="00E450F6"/>
    <w:rsid w:val="00E4523C"/>
    <w:rsid w:val="00E455D9"/>
    <w:rsid w:val="00E45842"/>
    <w:rsid w:val="00E45AF2"/>
    <w:rsid w:val="00E461C4"/>
    <w:rsid w:val="00E472EC"/>
    <w:rsid w:val="00E474A2"/>
    <w:rsid w:val="00E47811"/>
    <w:rsid w:val="00E50749"/>
    <w:rsid w:val="00E5188E"/>
    <w:rsid w:val="00E51C1B"/>
    <w:rsid w:val="00E5358D"/>
    <w:rsid w:val="00E53A9E"/>
    <w:rsid w:val="00E5537A"/>
    <w:rsid w:val="00E577D5"/>
    <w:rsid w:val="00E57A5E"/>
    <w:rsid w:val="00E604A5"/>
    <w:rsid w:val="00E61845"/>
    <w:rsid w:val="00E618AA"/>
    <w:rsid w:val="00E61B0A"/>
    <w:rsid w:val="00E622C6"/>
    <w:rsid w:val="00E62526"/>
    <w:rsid w:val="00E62586"/>
    <w:rsid w:val="00E63833"/>
    <w:rsid w:val="00E63DBD"/>
    <w:rsid w:val="00E643E0"/>
    <w:rsid w:val="00E6465A"/>
    <w:rsid w:val="00E6502E"/>
    <w:rsid w:val="00E6572D"/>
    <w:rsid w:val="00E65CB4"/>
    <w:rsid w:val="00E65E67"/>
    <w:rsid w:val="00E663FB"/>
    <w:rsid w:val="00E66AE6"/>
    <w:rsid w:val="00E66DC8"/>
    <w:rsid w:val="00E67195"/>
    <w:rsid w:val="00E6795A"/>
    <w:rsid w:val="00E7014B"/>
    <w:rsid w:val="00E70393"/>
    <w:rsid w:val="00E707D4"/>
    <w:rsid w:val="00E70839"/>
    <w:rsid w:val="00E71825"/>
    <w:rsid w:val="00E71A18"/>
    <w:rsid w:val="00E71CE6"/>
    <w:rsid w:val="00E7255E"/>
    <w:rsid w:val="00E7268C"/>
    <w:rsid w:val="00E731B4"/>
    <w:rsid w:val="00E73641"/>
    <w:rsid w:val="00E73C4C"/>
    <w:rsid w:val="00E73F1E"/>
    <w:rsid w:val="00E746B4"/>
    <w:rsid w:val="00E748C6"/>
    <w:rsid w:val="00E748EA"/>
    <w:rsid w:val="00E7530A"/>
    <w:rsid w:val="00E755DC"/>
    <w:rsid w:val="00E75679"/>
    <w:rsid w:val="00E75E80"/>
    <w:rsid w:val="00E76088"/>
    <w:rsid w:val="00E765B0"/>
    <w:rsid w:val="00E76A7E"/>
    <w:rsid w:val="00E76DF0"/>
    <w:rsid w:val="00E77261"/>
    <w:rsid w:val="00E776E3"/>
    <w:rsid w:val="00E778B5"/>
    <w:rsid w:val="00E80AC9"/>
    <w:rsid w:val="00E80CC6"/>
    <w:rsid w:val="00E8118B"/>
    <w:rsid w:val="00E81BAB"/>
    <w:rsid w:val="00E820C1"/>
    <w:rsid w:val="00E826FC"/>
    <w:rsid w:val="00E82A23"/>
    <w:rsid w:val="00E83D04"/>
    <w:rsid w:val="00E85507"/>
    <w:rsid w:val="00E85E14"/>
    <w:rsid w:val="00E86234"/>
    <w:rsid w:val="00E86CC5"/>
    <w:rsid w:val="00E87A14"/>
    <w:rsid w:val="00E90253"/>
    <w:rsid w:val="00E904AF"/>
    <w:rsid w:val="00E90C81"/>
    <w:rsid w:val="00E90D67"/>
    <w:rsid w:val="00E90E80"/>
    <w:rsid w:val="00E918B4"/>
    <w:rsid w:val="00E92A51"/>
    <w:rsid w:val="00E92AA7"/>
    <w:rsid w:val="00E92D21"/>
    <w:rsid w:val="00E9304A"/>
    <w:rsid w:val="00E93067"/>
    <w:rsid w:val="00E9351B"/>
    <w:rsid w:val="00E937A5"/>
    <w:rsid w:val="00E93A17"/>
    <w:rsid w:val="00E943B2"/>
    <w:rsid w:val="00E94E2B"/>
    <w:rsid w:val="00E952A9"/>
    <w:rsid w:val="00E960B0"/>
    <w:rsid w:val="00E966AE"/>
    <w:rsid w:val="00E96EA0"/>
    <w:rsid w:val="00E97BE3"/>
    <w:rsid w:val="00E97DF3"/>
    <w:rsid w:val="00EA04B0"/>
    <w:rsid w:val="00EA1365"/>
    <w:rsid w:val="00EA1A97"/>
    <w:rsid w:val="00EA21FD"/>
    <w:rsid w:val="00EA26D2"/>
    <w:rsid w:val="00EA2D76"/>
    <w:rsid w:val="00EA2E4B"/>
    <w:rsid w:val="00EA2FDC"/>
    <w:rsid w:val="00EA3CBC"/>
    <w:rsid w:val="00EA442B"/>
    <w:rsid w:val="00EA4555"/>
    <w:rsid w:val="00EA468E"/>
    <w:rsid w:val="00EA54A7"/>
    <w:rsid w:val="00EA5578"/>
    <w:rsid w:val="00EA5589"/>
    <w:rsid w:val="00EA56C3"/>
    <w:rsid w:val="00EA56E6"/>
    <w:rsid w:val="00EA6378"/>
    <w:rsid w:val="00EA64E5"/>
    <w:rsid w:val="00EA6F33"/>
    <w:rsid w:val="00EA740C"/>
    <w:rsid w:val="00EA7EDC"/>
    <w:rsid w:val="00EB05B8"/>
    <w:rsid w:val="00EB0878"/>
    <w:rsid w:val="00EB0887"/>
    <w:rsid w:val="00EB09F4"/>
    <w:rsid w:val="00EB0A09"/>
    <w:rsid w:val="00EB0B70"/>
    <w:rsid w:val="00EB1BC6"/>
    <w:rsid w:val="00EB1F90"/>
    <w:rsid w:val="00EB273F"/>
    <w:rsid w:val="00EB32FF"/>
    <w:rsid w:val="00EB4730"/>
    <w:rsid w:val="00EB48EF"/>
    <w:rsid w:val="00EB4B69"/>
    <w:rsid w:val="00EB4D64"/>
    <w:rsid w:val="00EB4E5B"/>
    <w:rsid w:val="00EB4F6D"/>
    <w:rsid w:val="00EB5A84"/>
    <w:rsid w:val="00EB662E"/>
    <w:rsid w:val="00EB6A95"/>
    <w:rsid w:val="00EB6E66"/>
    <w:rsid w:val="00EB7127"/>
    <w:rsid w:val="00EB712A"/>
    <w:rsid w:val="00EB72A6"/>
    <w:rsid w:val="00EB7F1A"/>
    <w:rsid w:val="00EC036C"/>
    <w:rsid w:val="00EC0DA6"/>
    <w:rsid w:val="00EC1106"/>
    <w:rsid w:val="00EC12A9"/>
    <w:rsid w:val="00EC1F18"/>
    <w:rsid w:val="00EC2460"/>
    <w:rsid w:val="00EC2646"/>
    <w:rsid w:val="00EC2693"/>
    <w:rsid w:val="00EC2A7D"/>
    <w:rsid w:val="00EC2BF2"/>
    <w:rsid w:val="00EC4792"/>
    <w:rsid w:val="00EC54CB"/>
    <w:rsid w:val="00EC55BC"/>
    <w:rsid w:val="00EC56AF"/>
    <w:rsid w:val="00EC5D52"/>
    <w:rsid w:val="00EC6032"/>
    <w:rsid w:val="00EC673B"/>
    <w:rsid w:val="00EC6F08"/>
    <w:rsid w:val="00EC71ED"/>
    <w:rsid w:val="00EC7652"/>
    <w:rsid w:val="00ED0098"/>
    <w:rsid w:val="00ED1BA3"/>
    <w:rsid w:val="00ED1C22"/>
    <w:rsid w:val="00ED1E68"/>
    <w:rsid w:val="00ED208E"/>
    <w:rsid w:val="00ED238C"/>
    <w:rsid w:val="00ED371D"/>
    <w:rsid w:val="00ED4336"/>
    <w:rsid w:val="00ED48B0"/>
    <w:rsid w:val="00ED4A5E"/>
    <w:rsid w:val="00ED4C6B"/>
    <w:rsid w:val="00ED5AD3"/>
    <w:rsid w:val="00ED5BD2"/>
    <w:rsid w:val="00ED5CEE"/>
    <w:rsid w:val="00ED61BC"/>
    <w:rsid w:val="00ED657E"/>
    <w:rsid w:val="00ED66DB"/>
    <w:rsid w:val="00ED68C9"/>
    <w:rsid w:val="00ED7A4B"/>
    <w:rsid w:val="00ED7AC6"/>
    <w:rsid w:val="00EE0113"/>
    <w:rsid w:val="00EE1849"/>
    <w:rsid w:val="00EE1C7B"/>
    <w:rsid w:val="00EE1D29"/>
    <w:rsid w:val="00EE1D80"/>
    <w:rsid w:val="00EE269F"/>
    <w:rsid w:val="00EE29AA"/>
    <w:rsid w:val="00EE2CD5"/>
    <w:rsid w:val="00EE317E"/>
    <w:rsid w:val="00EE505F"/>
    <w:rsid w:val="00EE5873"/>
    <w:rsid w:val="00EE5C7E"/>
    <w:rsid w:val="00EE611E"/>
    <w:rsid w:val="00EE6F89"/>
    <w:rsid w:val="00EE7213"/>
    <w:rsid w:val="00EE7845"/>
    <w:rsid w:val="00EF0188"/>
    <w:rsid w:val="00EF0E5D"/>
    <w:rsid w:val="00EF3796"/>
    <w:rsid w:val="00EF3D65"/>
    <w:rsid w:val="00EF40BF"/>
    <w:rsid w:val="00EF45CC"/>
    <w:rsid w:val="00EF57DA"/>
    <w:rsid w:val="00EF5F73"/>
    <w:rsid w:val="00EF64FF"/>
    <w:rsid w:val="00EF7275"/>
    <w:rsid w:val="00EF7AD5"/>
    <w:rsid w:val="00F000AE"/>
    <w:rsid w:val="00F00109"/>
    <w:rsid w:val="00F00BA0"/>
    <w:rsid w:val="00F00DA4"/>
    <w:rsid w:val="00F012CD"/>
    <w:rsid w:val="00F01C3C"/>
    <w:rsid w:val="00F0252F"/>
    <w:rsid w:val="00F02625"/>
    <w:rsid w:val="00F028CE"/>
    <w:rsid w:val="00F03077"/>
    <w:rsid w:val="00F0330A"/>
    <w:rsid w:val="00F03829"/>
    <w:rsid w:val="00F038C0"/>
    <w:rsid w:val="00F04D2E"/>
    <w:rsid w:val="00F05E4A"/>
    <w:rsid w:val="00F06357"/>
    <w:rsid w:val="00F06C1E"/>
    <w:rsid w:val="00F07750"/>
    <w:rsid w:val="00F07785"/>
    <w:rsid w:val="00F07C00"/>
    <w:rsid w:val="00F07D62"/>
    <w:rsid w:val="00F07E51"/>
    <w:rsid w:val="00F10180"/>
    <w:rsid w:val="00F105E3"/>
    <w:rsid w:val="00F107BB"/>
    <w:rsid w:val="00F1084F"/>
    <w:rsid w:val="00F10E72"/>
    <w:rsid w:val="00F10F32"/>
    <w:rsid w:val="00F11254"/>
    <w:rsid w:val="00F11431"/>
    <w:rsid w:val="00F12031"/>
    <w:rsid w:val="00F12275"/>
    <w:rsid w:val="00F1239F"/>
    <w:rsid w:val="00F13A7A"/>
    <w:rsid w:val="00F14250"/>
    <w:rsid w:val="00F1489A"/>
    <w:rsid w:val="00F14AB0"/>
    <w:rsid w:val="00F1582D"/>
    <w:rsid w:val="00F15B0F"/>
    <w:rsid w:val="00F162F5"/>
    <w:rsid w:val="00F1638C"/>
    <w:rsid w:val="00F1703F"/>
    <w:rsid w:val="00F1705F"/>
    <w:rsid w:val="00F171AA"/>
    <w:rsid w:val="00F1747C"/>
    <w:rsid w:val="00F1747E"/>
    <w:rsid w:val="00F176DA"/>
    <w:rsid w:val="00F17705"/>
    <w:rsid w:val="00F17A2B"/>
    <w:rsid w:val="00F17C3C"/>
    <w:rsid w:val="00F2059C"/>
    <w:rsid w:val="00F205BE"/>
    <w:rsid w:val="00F21255"/>
    <w:rsid w:val="00F219F2"/>
    <w:rsid w:val="00F21E24"/>
    <w:rsid w:val="00F220A9"/>
    <w:rsid w:val="00F23432"/>
    <w:rsid w:val="00F235E6"/>
    <w:rsid w:val="00F24C48"/>
    <w:rsid w:val="00F25079"/>
    <w:rsid w:val="00F251BD"/>
    <w:rsid w:val="00F25C25"/>
    <w:rsid w:val="00F25DA0"/>
    <w:rsid w:val="00F25FC5"/>
    <w:rsid w:val="00F26C4E"/>
    <w:rsid w:val="00F27102"/>
    <w:rsid w:val="00F27965"/>
    <w:rsid w:val="00F2797B"/>
    <w:rsid w:val="00F303BB"/>
    <w:rsid w:val="00F31271"/>
    <w:rsid w:val="00F312F8"/>
    <w:rsid w:val="00F3196D"/>
    <w:rsid w:val="00F319BC"/>
    <w:rsid w:val="00F31CD9"/>
    <w:rsid w:val="00F32630"/>
    <w:rsid w:val="00F328DE"/>
    <w:rsid w:val="00F33501"/>
    <w:rsid w:val="00F33F19"/>
    <w:rsid w:val="00F354AE"/>
    <w:rsid w:val="00F35638"/>
    <w:rsid w:val="00F36448"/>
    <w:rsid w:val="00F36894"/>
    <w:rsid w:val="00F3695E"/>
    <w:rsid w:val="00F4040C"/>
    <w:rsid w:val="00F41315"/>
    <w:rsid w:val="00F4185E"/>
    <w:rsid w:val="00F41D0A"/>
    <w:rsid w:val="00F422AF"/>
    <w:rsid w:val="00F423DE"/>
    <w:rsid w:val="00F42A41"/>
    <w:rsid w:val="00F42C01"/>
    <w:rsid w:val="00F42F66"/>
    <w:rsid w:val="00F43058"/>
    <w:rsid w:val="00F43097"/>
    <w:rsid w:val="00F431DE"/>
    <w:rsid w:val="00F435C2"/>
    <w:rsid w:val="00F43A45"/>
    <w:rsid w:val="00F44980"/>
    <w:rsid w:val="00F458DA"/>
    <w:rsid w:val="00F465B5"/>
    <w:rsid w:val="00F47553"/>
    <w:rsid w:val="00F47F37"/>
    <w:rsid w:val="00F47FF1"/>
    <w:rsid w:val="00F500E5"/>
    <w:rsid w:val="00F501BB"/>
    <w:rsid w:val="00F50DA9"/>
    <w:rsid w:val="00F510F5"/>
    <w:rsid w:val="00F5161E"/>
    <w:rsid w:val="00F528A0"/>
    <w:rsid w:val="00F53677"/>
    <w:rsid w:val="00F53850"/>
    <w:rsid w:val="00F53F58"/>
    <w:rsid w:val="00F5409F"/>
    <w:rsid w:val="00F55392"/>
    <w:rsid w:val="00F55767"/>
    <w:rsid w:val="00F55C4D"/>
    <w:rsid w:val="00F55FCF"/>
    <w:rsid w:val="00F5602C"/>
    <w:rsid w:val="00F5691D"/>
    <w:rsid w:val="00F57564"/>
    <w:rsid w:val="00F57A32"/>
    <w:rsid w:val="00F57D5B"/>
    <w:rsid w:val="00F60046"/>
    <w:rsid w:val="00F6058B"/>
    <w:rsid w:val="00F60A9D"/>
    <w:rsid w:val="00F6160B"/>
    <w:rsid w:val="00F616E1"/>
    <w:rsid w:val="00F61C96"/>
    <w:rsid w:val="00F61F1D"/>
    <w:rsid w:val="00F626E4"/>
    <w:rsid w:val="00F627AF"/>
    <w:rsid w:val="00F639A5"/>
    <w:rsid w:val="00F659DA"/>
    <w:rsid w:val="00F65DC6"/>
    <w:rsid w:val="00F65E66"/>
    <w:rsid w:val="00F666F8"/>
    <w:rsid w:val="00F66A0A"/>
    <w:rsid w:val="00F66DBB"/>
    <w:rsid w:val="00F66F93"/>
    <w:rsid w:val="00F670C1"/>
    <w:rsid w:val="00F67A35"/>
    <w:rsid w:val="00F70D65"/>
    <w:rsid w:val="00F71177"/>
    <w:rsid w:val="00F7125F"/>
    <w:rsid w:val="00F7155A"/>
    <w:rsid w:val="00F71A09"/>
    <w:rsid w:val="00F71C49"/>
    <w:rsid w:val="00F72AF7"/>
    <w:rsid w:val="00F72CC6"/>
    <w:rsid w:val="00F734C3"/>
    <w:rsid w:val="00F744F1"/>
    <w:rsid w:val="00F745FF"/>
    <w:rsid w:val="00F75506"/>
    <w:rsid w:val="00F75FCC"/>
    <w:rsid w:val="00F769ED"/>
    <w:rsid w:val="00F774B4"/>
    <w:rsid w:val="00F801F7"/>
    <w:rsid w:val="00F8090F"/>
    <w:rsid w:val="00F80B2A"/>
    <w:rsid w:val="00F8171E"/>
    <w:rsid w:val="00F81A39"/>
    <w:rsid w:val="00F8204D"/>
    <w:rsid w:val="00F8299A"/>
    <w:rsid w:val="00F83091"/>
    <w:rsid w:val="00F830B3"/>
    <w:rsid w:val="00F8361B"/>
    <w:rsid w:val="00F8361D"/>
    <w:rsid w:val="00F84388"/>
    <w:rsid w:val="00F844D5"/>
    <w:rsid w:val="00F84BDE"/>
    <w:rsid w:val="00F851C7"/>
    <w:rsid w:val="00F85622"/>
    <w:rsid w:val="00F85C86"/>
    <w:rsid w:val="00F8609A"/>
    <w:rsid w:val="00F860E2"/>
    <w:rsid w:val="00F86C03"/>
    <w:rsid w:val="00F87576"/>
    <w:rsid w:val="00F8769D"/>
    <w:rsid w:val="00F87E6B"/>
    <w:rsid w:val="00F9045B"/>
    <w:rsid w:val="00F90EB9"/>
    <w:rsid w:val="00F91D44"/>
    <w:rsid w:val="00F923F8"/>
    <w:rsid w:val="00F92504"/>
    <w:rsid w:val="00F92830"/>
    <w:rsid w:val="00F92BEA"/>
    <w:rsid w:val="00F92C51"/>
    <w:rsid w:val="00F92DD2"/>
    <w:rsid w:val="00F93A98"/>
    <w:rsid w:val="00F94D41"/>
    <w:rsid w:val="00F956D1"/>
    <w:rsid w:val="00F95923"/>
    <w:rsid w:val="00F95BE2"/>
    <w:rsid w:val="00F95C23"/>
    <w:rsid w:val="00F95F26"/>
    <w:rsid w:val="00F9616B"/>
    <w:rsid w:val="00F96644"/>
    <w:rsid w:val="00F96BA0"/>
    <w:rsid w:val="00F96ECA"/>
    <w:rsid w:val="00F970C5"/>
    <w:rsid w:val="00F9795A"/>
    <w:rsid w:val="00FA013F"/>
    <w:rsid w:val="00FA01A1"/>
    <w:rsid w:val="00FA06F9"/>
    <w:rsid w:val="00FA0958"/>
    <w:rsid w:val="00FA0987"/>
    <w:rsid w:val="00FA31D9"/>
    <w:rsid w:val="00FA34E5"/>
    <w:rsid w:val="00FA36EF"/>
    <w:rsid w:val="00FA37FE"/>
    <w:rsid w:val="00FA3D93"/>
    <w:rsid w:val="00FA4903"/>
    <w:rsid w:val="00FA4BB7"/>
    <w:rsid w:val="00FA5B5A"/>
    <w:rsid w:val="00FA5DED"/>
    <w:rsid w:val="00FA5F29"/>
    <w:rsid w:val="00FA6176"/>
    <w:rsid w:val="00FA61FA"/>
    <w:rsid w:val="00FA6E21"/>
    <w:rsid w:val="00FA7712"/>
    <w:rsid w:val="00FA798B"/>
    <w:rsid w:val="00FA7A21"/>
    <w:rsid w:val="00FA7ADB"/>
    <w:rsid w:val="00FB0D38"/>
    <w:rsid w:val="00FB1DB4"/>
    <w:rsid w:val="00FB1E07"/>
    <w:rsid w:val="00FB3465"/>
    <w:rsid w:val="00FB3FEA"/>
    <w:rsid w:val="00FB4675"/>
    <w:rsid w:val="00FB490A"/>
    <w:rsid w:val="00FB4A56"/>
    <w:rsid w:val="00FB5886"/>
    <w:rsid w:val="00FB6189"/>
    <w:rsid w:val="00FB68ED"/>
    <w:rsid w:val="00FB6BCA"/>
    <w:rsid w:val="00FB703E"/>
    <w:rsid w:val="00FB7A6A"/>
    <w:rsid w:val="00FB7C5A"/>
    <w:rsid w:val="00FC01AD"/>
    <w:rsid w:val="00FC02F9"/>
    <w:rsid w:val="00FC0525"/>
    <w:rsid w:val="00FC05F5"/>
    <w:rsid w:val="00FC0A42"/>
    <w:rsid w:val="00FC0A91"/>
    <w:rsid w:val="00FC0AF0"/>
    <w:rsid w:val="00FC0DD2"/>
    <w:rsid w:val="00FC0F97"/>
    <w:rsid w:val="00FC10F6"/>
    <w:rsid w:val="00FC19D6"/>
    <w:rsid w:val="00FC1F25"/>
    <w:rsid w:val="00FC2226"/>
    <w:rsid w:val="00FC2A21"/>
    <w:rsid w:val="00FC2ED9"/>
    <w:rsid w:val="00FC3400"/>
    <w:rsid w:val="00FC3689"/>
    <w:rsid w:val="00FC42CD"/>
    <w:rsid w:val="00FC449E"/>
    <w:rsid w:val="00FC4C5A"/>
    <w:rsid w:val="00FC4D00"/>
    <w:rsid w:val="00FC5A15"/>
    <w:rsid w:val="00FC5A26"/>
    <w:rsid w:val="00FC5B32"/>
    <w:rsid w:val="00FC6A96"/>
    <w:rsid w:val="00FC7AE5"/>
    <w:rsid w:val="00FC7E38"/>
    <w:rsid w:val="00FD0040"/>
    <w:rsid w:val="00FD01EC"/>
    <w:rsid w:val="00FD07CE"/>
    <w:rsid w:val="00FD214F"/>
    <w:rsid w:val="00FD25DD"/>
    <w:rsid w:val="00FD2E45"/>
    <w:rsid w:val="00FD3028"/>
    <w:rsid w:val="00FD3D40"/>
    <w:rsid w:val="00FD3D78"/>
    <w:rsid w:val="00FD41BB"/>
    <w:rsid w:val="00FD4762"/>
    <w:rsid w:val="00FD4901"/>
    <w:rsid w:val="00FD508D"/>
    <w:rsid w:val="00FD53C8"/>
    <w:rsid w:val="00FD5713"/>
    <w:rsid w:val="00FD5CD9"/>
    <w:rsid w:val="00FD679B"/>
    <w:rsid w:val="00FD7005"/>
    <w:rsid w:val="00FD7FE2"/>
    <w:rsid w:val="00FE0F46"/>
    <w:rsid w:val="00FE1795"/>
    <w:rsid w:val="00FE1CFA"/>
    <w:rsid w:val="00FE22F3"/>
    <w:rsid w:val="00FE2BDC"/>
    <w:rsid w:val="00FE2DD3"/>
    <w:rsid w:val="00FE3320"/>
    <w:rsid w:val="00FE3491"/>
    <w:rsid w:val="00FE34D0"/>
    <w:rsid w:val="00FE34EB"/>
    <w:rsid w:val="00FE3AFC"/>
    <w:rsid w:val="00FE3D2D"/>
    <w:rsid w:val="00FE3E90"/>
    <w:rsid w:val="00FE3FFF"/>
    <w:rsid w:val="00FE435E"/>
    <w:rsid w:val="00FE47E3"/>
    <w:rsid w:val="00FE5872"/>
    <w:rsid w:val="00FE590A"/>
    <w:rsid w:val="00FE5BE3"/>
    <w:rsid w:val="00FE5F90"/>
    <w:rsid w:val="00FE70F3"/>
    <w:rsid w:val="00FE7854"/>
    <w:rsid w:val="00FE7E3E"/>
    <w:rsid w:val="00FF09C8"/>
    <w:rsid w:val="00FF108D"/>
    <w:rsid w:val="00FF113E"/>
    <w:rsid w:val="00FF1914"/>
    <w:rsid w:val="00FF2BDF"/>
    <w:rsid w:val="00FF37B2"/>
    <w:rsid w:val="00FF3840"/>
    <w:rsid w:val="00FF3D09"/>
    <w:rsid w:val="00FF3D33"/>
    <w:rsid w:val="00FF3F17"/>
    <w:rsid w:val="00FF4157"/>
    <w:rsid w:val="00FF44C6"/>
    <w:rsid w:val="00FF5C9B"/>
    <w:rsid w:val="00FF5DF8"/>
    <w:rsid w:val="00FF5E41"/>
    <w:rsid w:val="00FF6194"/>
    <w:rsid w:val="00FF6F60"/>
    <w:rsid w:val="00FF738F"/>
    <w:rsid w:val="00FF7A56"/>
    <w:rsid w:val="00FF7D20"/>
    <w:rsid w:val="00FF7D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strokecolor="#d4d4d4">
      <v:stroke color="#d4d4d4" weight="1.75pt"/>
      <v:shadow on="t" origin=",32385f" offset="0,-1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57816"/>
    <w:pPr>
      <w:spacing w:line="300" w:lineRule="atLeast"/>
      <w:ind w:firstLine="284"/>
      <w:jc w:val="both"/>
    </w:pPr>
    <w:rPr>
      <w:rFonts w:ascii="Arial" w:hAnsi="Arial"/>
      <w:sz w:val="22"/>
    </w:rPr>
  </w:style>
  <w:style w:type="paragraph" w:styleId="Titolo1">
    <w:name w:val="heading 1"/>
    <w:basedOn w:val="Normale"/>
    <w:next w:val="Normale"/>
    <w:link w:val="Titolo1Carattere1"/>
    <w:qFormat/>
    <w:rsid w:val="006223EB"/>
    <w:pPr>
      <w:keepNext/>
      <w:spacing w:before="480" w:after="480"/>
      <w:ind w:firstLine="0"/>
      <w:jc w:val="center"/>
      <w:outlineLvl w:val="0"/>
    </w:pPr>
    <w:rPr>
      <w:b/>
      <w:smallCaps/>
      <w:kern w:val="28"/>
      <w:sz w:val="26"/>
    </w:rPr>
  </w:style>
  <w:style w:type="paragraph" w:styleId="Titolo2">
    <w:name w:val="heading 2"/>
    <w:basedOn w:val="Normale"/>
    <w:next w:val="Normale"/>
    <w:link w:val="Titolo2Carattere"/>
    <w:qFormat/>
    <w:rsid w:val="006223EB"/>
    <w:pPr>
      <w:keepNext/>
      <w:spacing w:before="480" w:after="240"/>
      <w:ind w:left="284" w:hanging="284"/>
      <w:outlineLvl w:val="1"/>
    </w:pPr>
    <w:rPr>
      <w:b/>
      <w:sz w:val="24"/>
    </w:rPr>
  </w:style>
  <w:style w:type="paragraph" w:styleId="Titolo3">
    <w:name w:val="heading 3"/>
    <w:basedOn w:val="Normale"/>
    <w:next w:val="Normale"/>
    <w:link w:val="Titolo3Carattere"/>
    <w:qFormat/>
    <w:rsid w:val="006223EB"/>
    <w:pPr>
      <w:keepNext/>
      <w:spacing w:before="240" w:after="180"/>
      <w:ind w:left="568" w:hanging="284"/>
      <w:outlineLvl w:val="2"/>
    </w:pPr>
    <w:rPr>
      <w:b/>
      <w:i/>
    </w:rPr>
  </w:style>
  <w:style w:type="paragraph" w:styleId="Titolo4">
    <w:name w:val="heading 4"/>
    <w:basedOn w:val="Normale"/>
    <w:next w:val="Normale"/>
    <w:link w:val="Titolo4Carattere"/>
    <w:qFormat/>
    <w:rsid w:val="006223EB"/>
    <w:pPr>
      <w:keepNext/>
      <w:spacing w:before="240" w:after="180"/>
      <w:ind w:left="568" w:hanging="284"/>
      <w:outlineLvl w:val="3"/>
    </w:pPr>
    <w:rPr>
      <w:i/>
    </w:rPr>
  </w:style>
  <w:style w:type="paragraph" w:styleId="Titolo5">
    <w:name w:val="heading 5"/>
    <w:basedOn w:val="Normale"/>
    <w:next w:val="Normale"/>
    <w:link w:val="Titolo5Carattere"/>
    <w:qFormat/>
    <w:rsid w:val="006223EB"/>
    <w:pPr>
      <w:keepNext/>
      <w:spacing w:before="180" w:after="60"/>
      <w:ind w:left="568" w:hanging="284"/>
      <w:outlineLvl w:val="4"/>
    </w:pPr>
    <w:rPr>
      <w:u w:val="single"/>
    </w:rPr>
  </w:style>
  <w:style w:type="paragraph" w:styleId="Titolo6">
    <w:name w:val="heading 6"/>
    <w:basedOn w:val="Normale"/>
    <w:next w:val="Normale"/>
    <w:link w:val="Titolo6Carattere"/>
    <w:qFormat/>
    <w:rsid w:val="006223EB"/>
    <w:pPr>
      <w:spacing w:before="240" w:after="60"/>
      <w:ind w:firstLine="0"/>
      <w:outlineLvl w:val="5"/>
    </w:pPr>
    <w:rPr>
      <w:rFonts w:ascii="Times New Roman" w:hAnsi="Times New Roman"/>
      <w:i/>
    </w:rPr>
  </w:style>
  <w:style w:type="paragraph" w:styleId="Titolo7">
    <w:name w:val="heading 7"/>
    <w:basedOn w:val="Normale"/>
    <w:next w:val="Normale"/>
    <w:link w:val="Titolo7Carattere"/>
    <w:qFormat/>
    <w:rsid w:val="006223EB"/>
    <w:pPr>
      <w:spacing w:before="240" w:after="60"/>
      <w:ind w:firstLine="0"/>
      <w:outlineLvl w:val="6"/>
    </w:pPr>
    <w:rPr>
      <w:sz w:val="20"/>
    </w:rPr>
  </w:style>
  <w:style w:type="paragraph" w:styleId="Titolo8">
    <w:name w:val="heading 8"/>
    <w:basedOn w:val="Normale"/>
    <w:next w:val="Normale"/>
    <w:link w:val="Titolo8Carattere"/>
    <w:qFormat/>
    <w:rsid w:val="006223EB"/>
    <w:pPr>
      <w:spacing w:before="240" w:after="60"/>
      <w:ind w:firstLine="0"/>
      <w:outlineLvl w:val="7"/>
    </w:pPr>
    <w:rPr>
      <w:i/>
      <w:sz w:val="20"/>
    </w:rPr>
  </w:style>
  <w:style w:type="paragraph" w:styleId="Titolo9">
    <w:name w:val="heading 9"/>
    <w:basedOn w:val="Normale"/>
    <w:next w:val="Normale"/>
    <w:link w:val="Titolo9Carattere"/>
    <w:qFormat/>
    <w:rsid w:val="006223EB"/>
    <w:pPr>
      <w:spacing w:before="240" w:after="60"/>
      <w:ind w:firstLine="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6223EB"/>
    <w:pPr>
      <w:spacing w:line="240" w:lineRule="auto"/>
      <w:ind w:firstLine="0"/>
      <w:jc w:val="left"/>
    </w:pPr>
    <w:rPr>
      <w:rFonts w:ascii="Times New Roman" w:hAnsi="Times New Roman"/>
      <w:b/>
      <w:sz w:val="20"/>
    </w:rPr>
  </w:style>
  <w:style w:type="paragraph" w:styleId="Intestazione">
    <w:name w:val="header"/>
    <w:basedOn w:val="Normale"/>
    <w:link w:val="IntestazioneCarattere"/>
    <w:rsid w:val="006223EB"/>
    <w:pPr>
      <w:tabs>
        <w:tab w:val="center" w:pos="3969"/>
        <w:tab w:val="right" w:pos="7938"/>
      </w:tabs>
    </w:pPr>
  </w:style>
  <w:style w:type="paragraph" w:customStyle="1" w:styleId="Intestazionedispari">
    <w:name w:val="Intestazione dispari"/>
    <w:basedOn w:val="Normale"/>
    <w:rsid w:val="006223EB"/>
    <w:pPr>
      <w:pBdr>
        <w:bottom w:val="single" w:sz="4" w:space="1" w:color="auto"/>
      </w:pBdr>
      <w:ind w:firstLine="0"/>
      <w:jc w:val="right"/>
    </w:pPr>
    <w:rPr>
      <w:smallCaps/>
      <w:sz w:val="18"/>
    </w:rPr>
  </w:style>
  <w:style w:type="paragraph" w:customStyle="1" w:styleId="Intestazionepari">
    <w:name w:val="Intestazione pari"/>
    <w:basedOn w:val="Normale"/>
    <w:rsid w:val="006223EB"/>
    <w:pPr>
      <w:pBdr>
        <w:bottom w:val="single" w:sz="4" w:space="1" w:color="auto"/>
      </w:pBdr>
      <w:spacing w:line="240" w:lineRule="auto"/>
      <w:ind w:firstLine="0"/>
    </w:pPr>
    <w:rPr>
      <w:smallCaps/>
      <w:sz w:val="18"/>
    </w:rPr>
  </w:style>
  <w:style w:type="character" w:styleId="Numeropagina">
    <w:name w:val="page number"/>
    <w:rsid w:val="006223EB"/>
    <w:rPr>
      <w:rFonts w:ascii="Arial" w:hAnsi="Arial"/>
      <w:sz w:val="22"/>
    </w:rPr>
  </w:style>
  <w:style w:type="paragraph" w:customStyle="1" w:styleId="Occhiello">
    <w:name w:val="Occhiello"/>
    <w:basedOn w:val="Normale"/>
    <w:rsid w:val="006223EB"/>
    <w:pPr>
      <w:spacing w:before="4800"/>
      <w:ind w:firstLine="0"/>
      <w:jc w:val="center"/>
      <w:outlineLvl w:val="0"/>
    </w:pPr>
    <w:rPr>
      <w:b/>
      <w:sz w:val="36"/>
    </w:rPr>
  </w:style>
  <w:style w:type="paragraph" w:styleId="Pidipagina">
    <w:name w:val="footer"/>
    <w:basedOn w:val="Normale"/>
    <w:link w:val="PidipaginaCarattere"/>
    <w:uiPriority w:val="99"/>
    <w:rsid w:val="006223EB"/>
    <w:pPr>
      <w:ind w:firstLine="0"/>
      <w:jc w:val="center"/>
    </w:pPr>
  </w:style>
  <w:style w:type="paragraph" w:customStyle="1" w:styleId="Ridotto">
    <w:name w:val="Ridotto"/>
    <w:basedOn w:val="Normale"/>
    <w:qFormat/>
    <w:rsid w:val="006223EB"/>
    <w:pPr>
      <w:spacing w:line="260" w:lineRule="atLeast"/>
    </w:pPr>
    <w:rPr>
      <w:sz w:val="20"/>
    </w:rPr>
  </w:style>
  <w:style w:type="character" w:styleId="Rimandonotaapidipagina">
    <w:name w:val="footnote reference"/>
    <w:aliases w:val="(Footnote ReferenceI,SUPERS,(Footnote Reference),EN Footnote Reference,Footnote symbol,Footnote,Footnote number,fr,o,Footnotemark,FR,Footnotemark1,Footnotemark2,FR1,Footnotemark3,FR2,Footnotemark4,FR3,Footnotemark5,FR4"/>
    <w:rsid w:val="006223EB"/>
    <w:rPr>
      <w:vertAlign w:val="superscript"/>
    </w:rPr>
  </w:style>
  <w:style w:type="paragraph" w:customStyle="1" w:styleId="Tabellare">
    <w:name w:val="Tabellare"/>
    <w:basedOn w:val="Ridotto"/>
    <w:rsid w:val="006223EB"/>
    <w:pPr>
      <w:keepLines/>
      <w:spacing w:before="60" w:after="60" w:line="240" w:lineRule="auto"/>
      <w:ind w:firstLine="0"/>
      <w:jc w:val="left"/>
    </w:pPr>
  </w:style>
  <w:style w:type="paragraph" w:styleId="Testonotaapidipagina">
    <w:name w:val="footnote text"/>
    <w:aliases w:val="Testo nota a piè di pagina Carattere,Testo nota a piè di pagina Carattere1,Testo nota a piè di pagina Carattere2,Testo nota a piè di pagina Carattere Carattere1,Testo nota a piè di pagina Carattere1 Carattere,stile 1"/>
    <w:basedOn w:val="Normale"/>
    <w:link w:val="TestonotaapidipaginaCarattere3"/>
    <w:rsid w:val="006223EB"/>
    <w:pPr>
      <w:spacing w:line="240" w:lineRule="auto"/>
      <w:ind w:left="284" w:hanging="284"/>
    </w:pPr>
    <w:rPr>
      <w:sz w:val="18"/>
    </w:rPr>
  </w:style>
  <w:style w:type="paragraph" w:customStyle="1" w:styleId="leggitesto">
    <w:name w:val="leggi_testo"/>
    <w:basedOn w:val="Normale"/>
    <w:rsid w:val="00F84BDE"/>
    <w:pPr>
      <w:spacing w:before="60" w:line="240" w:lineRule="auto"/>
    </w:pPr>
    <w:rPr>
      <w:sz w:val="20"/>
    </w:rPr>
  </w:style>
  <w:style w:type="paragraph" w:customStyle="1" w:styleId="legge-note">
    <w:name w:val="legge-note"/>
    <w:basedOn w:val="Normale"/>
    <w:rsid w:val="00F84BDE"/>
    <w:pPr>
      <w:spacing w:line="240" w:lineRule="auto"/>
      <w:ind w:left="284" w:hanging="284"/>
    </w:pPr>
    <w:rPr>
      <w:i/>
      <w:sz w:val="18"/>
    </w:rPr>
  </w:style>
  <w:style w:type="paragraph" w:customStyle="1" w:styleId="leggirubricaarticolo">
    <w:name w:val="leggi_(rubrica articolo)"/>
    <w:basedOn w:val="leggitesto"/>
    <w:next w:val="leggitesto"/>
    <w:rsid w:val="00F84BDE"/>
    <w:pPr>
      <w:keepNext/>
      <w:spacing w:after="240"/>
      <w:ind w:firstLine="0"/>
      <w:jc w:val="center"/>
    </w:pPr>
    <w:rPr>
      <w:i/>
    </w:rPr>
  </w:style>
  <w:style w:type="paragraph" w:customStyle="1" w:styleId="leggiArt">
    <w:name w:val="leggi_Art."/>
    <w:basedOn w:val="leggitesto"/>
    <w:next w:val="leggirubricaarticolo"/>
    <w:rsid w:val="00F84BDE"/>
    <w:pPr>
      <w:keepNext/>
      <w:ind w:firstLine="0"/>
      <w:jc w:val="center"/>
    </w:pPr>
  </w:style>
  <w:style w:type="paragraph" w:customStyle="1" w:styleId="Leggicapo">
    <w:name w:val="Leggi_capo"/>
    <w:basedOn w:val="Normale"/>
    <w:rsid w:val="00F84BDE"/>
    <w:pPr>
      <w:spacing w:before="60" w:after="60" w:line="240" w:lineRule="auto"/>
      <w:ind w:firstLine="0"/>
      <w:jc w:val="center"/>
    </w:pPr>
    <w:rPr>
      <w:b/>
      <w:sz w:val="20"/>
    </w:rPr>
  </w:style>
  <w:style w:type="paragraph" w:customStyle="1" w:styleId="leggititolo">
    <w:name w:val="leggi_titolo"/>
    <w:basedOn w:val="Normale"/>
    <w:link w:val="leggititoloCarattere"/>
    <w:rsid w:val="00F84BDE"/>
    <w:pPr>
      <w:spacing w:after="120" w:line="240" w:lineRule="auto"/>
      <w:ind w:firstLine="0"/>
      <w:jc w:val="center"/>
    </w:pPr>
    <w:rPr>
      <w:b/>
      <w:sz w:val="20"/>
    </w:rPr>
  </w:style>
  <w:style w:type="paragraph" w:customStyle="1" w:styleId="SENCOMMcommissione">
    <w:name w:val="SEN_COMM_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F84BDE"/>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F84BDE"/>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034E07"/>
    <w:rPr>
      <w:caps/>
      <w:lang w:val="it-IT" w:eastAsia="it-IT" w:bidi="ar-SA"/>
    </w:rPr>
  </w:style>
  <w:style w:type="paragraph" w:customStyle="1" w:styleId="SENCOMMintestazione">
    <w:name w:val="SEN_COMM_intestazione"/>
    <w:basedOn w:val="Intestazione"/>
    <w:rsid w:val="00034E07"/>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F84BDE"/>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F84BDE"/>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F84BDE"/>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F84BDE"/>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577870"/>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F84BDE"/>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DC583D"/>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F84BDE"/>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F84BDE"/>
    <w:rPr>
      <w:rFonts w:ascii="Garamond" w:hAnsi="Garamond"/>
      <w:sz w:val="24"/>
      <w:lang w:val="it-IT" w:eastAsia="it-IT" w:bidi="ar-SA"/>
    </w:rPr>
  </w:style>
  <w:style w:type="paragraph" w:customStyle="1" w:styleId="AC-titolo">
    <w:name w:val="AC-titolo"/>
    <w:basedOn w:val="Normale"/>
    <w:rsid w:val="00F84BDE"/>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F84BDE"/>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F84BDE"/>
    <w:pPr>
      <w:spacing w:before="480" w:line="240" w:lineRule="auto"/>
      <w:ind w:firstLine="0"/>
      <w:jc w:val="center"/>
    </w:pPr>
    <w:rPr>
      <w:rFonts w:ascii="Garamond" w:hAnsi="Garamond"/>
      <w:b/>
      <w:sz w:val="28"/>
    </w:rPr>
  </w:style>
  <w:style w:type="paragraph" w:customStyle="1" w:styleId="AStitolo">
    <w:name w:val="AS_titolo"/>
    <w:basedOn w:val="Normale"/>
    <w:rsid w:val="00F84BDE"/>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F84BDE"/>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F84BDE"/>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BA23FD"/>
    <w:rPr>
      <w:rFonts w:ascii="CG Times" w:hAnsi="CG Times"/>
      <w:b/>
      <w:spacing w:val="40"/>
      <w:sz w:val="36"/>
      <w:lang w:val="it-IT" w:eastAsia="it-IT" w:bidi="ar-SA"/>
    </w:rPr>
  </w:style>
  <w:style w:type="paragraph" w:customStyle="1" w:styleId="ASintestazione2">
    <w:name w:val="ASintestazione 2"/>
    <w:basedOn w:val="Normale"/>
    <w:rsid w:val="00F84BDE"/>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F84BDE"/>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F84BDE"/>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BA23FD"/>
    <w:rPr>
      <w:rFonts w:ascii="Book Antiqua" w:hAnsi="Book Antiqua"/>
      <w:spacing w:val="30"/>
      <w:sz w:val="46"/>
      <w:lang w:val="it-IT" w:eastAsia="it-IT" w:bidi="ar-SA"/>
    </w:rPr>
  </w:style>
  <w:style w:type="paragraph" w:styleId="Sommario1">
    <w:name w:val="toc 1"/>
    <w:basedOn w:val="Normale"/>
    <w:next w:val="Sommario2"/>
    <w:rsid w:val="006223EB"/>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uiPriority w:val="39"/>
    <w:rsid w:val="00C02ED3"/>
    <w:pPr>
      <w:keepLines w:val="0"/>
      <w:spacing w:before="120" w:after="0" w:line="300" w:lineRule="exact"/>
      <w:ind w:left="284"/>
      <w:jc w:val="both"/>
      <w:outlineLvl w:val="1"/>
    </w:pPr>
    <w:rPr>
      <w:rFonts w:ascii="Times New Roman" w:hAnsi="Times New Roman"/>
      <w:smallCaps w:val="0"/>
      <w:sz w:val="28"/>
    </w:rPr>
  </w:style>
  <w:style w:type="paragraph" w:styleId="Sommario3">
    <w:name w:val="toc 3"/>
    <w:basedOn w:val="Sommario1"/>
    <w:next w:val="Normale"/>
    <w:uiPriority w:val="39"/>
    <w:rsid w:val="006223EB"/>
    <w:pPr>
      <w:keepNext w:val="0"/>
      <w:keepLines w:val="0"/>
      <w:numPr>
        <w:numId w:val="4"/>
      </w:numPr>
      <w:tabs>
        <w:tab w:val="left" w:pos="567"/>
      </w:tabs>
      <w:spacing w:before="60" w:after="0"/>
      <w:jc w:val="both"/>
      <w:outlineLvl w:val="2"/>
    </w:pPr>
    <w:rPr>
      <w:b w:val="0"/>
      <w:smallCaps w:val="0"/>
      <w:sz w:val="22"/>
    </w:rPr>
  </w:style>
  <w:style w:type="paragraph" w:customStyle="1" w:styleId="CAM-ASS-nseduta">
    <w:name w:val="CAM-ASS-n.seduta"/>
    <w:basedOn w:val="Normale"/>
    <w:rsid w:val="00F84BDE"/>
    <w:pPr>
      <w:spacing w:line="300" w:lineRule="exact"/>
      <w:ind w:firstLine="0"/>
      <w:jc w:val="center"/>
    </w:pPr>
    <w:rPr>
      <w:rFonts w:ascii="Garamond" w:hAnsi="Garamond"/>
      <w:b/>
      <w:sz w:val="28"/>
    </w:rPr>
  </w:style>
  <w:style w:type="paragraph" w:customStyle="1" w:styleId="CAM-ASS-presidenza">
    <w:name w:val="CAM-ASS-presidenza.."/>
    <w:basedOn w:val="Normale"/>
    <w:rsid w:val="00F84BDE"/>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F84BDE"/>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F84BDE"/>
    <w:pPr>
      <w:spacing w:before="360" w:line="300" w:lineRule="exact"/>
      <w:ind w:firstLine="0"/>
      <w:jc w:val="center"/>
    </w:pPr>
    <w:rPr>
      <w:rFonts w:ascii="Garamond" w:hAnsi="Garamond"/>
      <w:caps/>
      <w:spacing w:val="20"/>
      <w:w w:val="66"/>
      <w:sz w:val="48"/>
    </w:rPr>
  </w:style>
  <w:style w:type="paragraph" w:customStyle="1" w:styleId="COMMSENtitolocommissione">
    <w:name w:val="COMM_SEN_titolo 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F84BDE"/>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F84BDE"/>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F84BDE"/>
    <w:rPr>
      <w:spacing w:val="40"/>
      <w:sz w:val="44"/>
    </w:rPr>
  </w:style>
  <w:style w:type="character" w:customStyle="1" w:styleId="ASS-SENSENATODELAREPUBBLICACarattere">
    <w:name w:val="ASS-SEN_SENATO DELA REPUBBLICA Carattere"/>
    <w:link w:val="ASS-SENSENATODELAREPUBBLICA"/>
    <w:rsid w:val="00BA23FD"/>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BA23FD"/>
  </w:style>
  <w:style w:type="paragraph" w:customStyle="1" w:styleId="ASS-SENdata">
    <w:name w:val="ASS-SEN_data"/>
    <w:basedOn w:val="AS-DISEGNODILEGGE"/>
    <w:link w:val="ASS-SENdataCarattere"/>
    <w:rsid w:val="00F84BDE"/>
    <w:rPr>
      <w:sz w:val="32"/>
    </w:rPr>
  </w:style>
  <w:style w:type="character" w:customStyle="1" w:styleId="ASS-SENdataCarattere">
    <w:name w:val="ASS-SEN_data Carattere"/>
    <w:link w:val="ASS-SENdata"/>
    <w:rsid w:val="00BA23FD"/>
    <w:rPr>
      <w:rFonts w:ascii="CG Times" w:hAnsi="CG Times"/>
      <w:b/>
      <w:spacing w:val="40"/>
      <w:sz w:val="32"/>
      <w:lang w:val="it-IT" w:eastAsia="it-IT" w:bidi="ar-SA"/>
    </w:rPr>
  </w:style>
  <w:style w:type="character" w:customStyle="1" w:styleId="DATA-ASS-SENATOCarattere">
    <w:name w:val="DATA-ASS-SENATO Carattere"/>
    <w:basedOn w:val="ASS-SENdataCarattere"/>
    <w:link w:val="DATA-ASS-SENATO"/>
    <w:rsid w:val="00BA23FD"/>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F84BDE"/>
  </w:style>
  <w:style w:type="paragraph" w:customStyle="1" w:styleId="ASS-SENSEDUTA">
    <w:name w:val="ASS-SEN_SEDUTA"/>
    <w:basedOn w:val="ASS-SENSENATODELAREPUBBLICA"/>
    <w:link w:val="ASS-SENSEDUTACarattere"/>
    <w:rsid w:val="00F84BDE"/>
    <w:pPr>
      <w:spacing w:before="360" w:after="600"/>
    </w:pPr>
  </w:style>
  <w:style w:type="character" w:customStyle="1" w:styleId="ASS-SENSEDUTACarattere">
    <w:name w:val="ASS-SEN_SEDUTA Carattere"/>
    <w:basedOn w:val="ASS-SENSENATODELAREPUBBLICACarattere"/>
    <w:link w:val="ASS-SENSEDUTA"/>
    <w:rsid w:val="00BA23FD"/>
    <w:rPr>
      <w:rFonts w:ascii="Book Antiqua" w:hAnsi="Book Antiqua"/>
      <w:spacing w:val="40"/>
      <w:sz w:val="44"/>
      <w:lang w:val="it-IT" w:eastAsia="it-IT" w:bidi="ar-SA"/>
    </w:rPr>
  </w:style>
  <w:style w:type="character" w:customStyle="1" w:styleId="SENCOMM1-2">
    <w:name w:val="SEN_COMM_1^ -2^"/>
    <w:basedOn w:val="Carpredefinitoparagrafo"/>
    <w:rsid w:val="00F84BDE"/>
  </w:style>
  <w:style w:type="paragraph" w:customStyle="1" w:styleId="CAMCOMMCommissione">
    <w:name w:val="CAM_COMM_(Commissione)"/>
    <w:basedOn w:val="Normale"/>
    <w:rsid w:val="00F84BDE"/>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F84BDE"/>
  </w:style>
  <w:style w:type="paragraph" w:customStyle="1" w:styleId="CAMCOMMintestazione">
    <w:name w:val="CAM_COMM_intestazione"/>
    <w:basedOn w:val="Intestazione"/>
    <w:rsid w:val="00F84BDE"/>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F84BDE"/>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F84BDE"/>
    <w:rPr>
      <w:rFonts w:ascii="Impact" w:hAnsi="Impact"/>
      <w:b w:val="0"/>
      <w:sz w:val="42"/>
    </w:rPr>
  </w:style>
  <w:style w:type="paragraph" w:customStyle="1" w:styleId="SommarioC">
    <w:name w:val="SommarioC"/>
    <w:basedOn w:val="SommarioA"/>
    <w:rsid w:val="00F84BDE"/>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F84BDE"/>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6223EB"/>
    <w:pPr>
      <w:numPr>
        <w:numId w:val="3"/>
      </w:numPr>
    </w:pPr>
  </w:style>
  <w:style w:type="paragraph" w:customStyle="1" w:styleId="-PAGINA-">
    <w:name w:val="- PAGINA -"/>
    <w:rsid w:val="006223EB"/>
  </w:style>
  <w:style w:type="paragraph" w:customStyle="1" w:styleId="Autore">
    <w:name w:val="Autore"/>
    <w:rsid w:val="006223EB"/>
  </w:style>
  <w:style w:type="paragraph" w:customStyle="1" w:styleId="Autoreultimosalvataggio">
    <w:name w:val="Autore ultimo salvataggio"/>
    <w:rsid w:val="006223EB"/>
  </w:style>
  <w:style w:type="paragraph" w:customStyle="1" w:styleId="Autorenpaginadata">
    <w:name w:val="Autore  n. pagina  data"/>
    <w:rsid w:val="006223EB"/>
  </w:style>
  <w:style w:type="paragraph" w:styleId="Sommario4">
    <w:name w:val="toc 4"/>
    <w:basedOn w:val="Sommario1"/>
    <w:next w:val="Normale"/>
    <w:rsid w:val="006223EB"/>
    <w:pPr>
      <w:keepNext w:val="0"/>
      <w:keepLines w:val="0"/>
      <w:numPr>
        <w:numId w:val="5"/>
      </w:numPr>
      <w:tabs>
        <w:tab w:val="left" w:pos="851"/>
      </w:tabs>
      <w:spacing w:before="0" w:after="0"/>
      <w:outlineLvl w:val="3"/>
    </w:pPr>
    <w:rPr>
      <w:b w:val="0"/>
      <w:i/>
      <w:smallCaps w:val="0"/>
      <w:sz w:val="22"/>
    </w:rPr>
  </w:style>
  <w:style w:type="paragraph" w:styleId="Sommario7">
    <w:name w:val="toc 7"/>
    <w:basedOn w:val="Normale"/>
    <w:next w:val="Normale"/>
    <w:autoRedefine/>
    <w:rsid w:val="006223EB"/>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6223EB"/>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F84BDE"/>
  </w:style>
  <w:style w:type="paragraph" w:customStyle="1" w:styleId="Dataultimastampa">
    <w:name w:val="Data ultima stampa"/>
    <w:rsid w:val="00F84BDE"/>
  </w:style>
  <w:style w:type="paragraph" w:customStyle="1" w:styleId="Nomefile">
    <w:name w:val="Nome file"/>
    <w:rsid w:val="006223EB"/>
  </w:style>
  <w:style w:type="paragraph" w:customStyle="1" w:styleId="Nomefileepercorso">
    <w:name w:val="Nome file e percorso"/>
    <w:rsid w:val="006223EB"/>
  </w:style>
  <w:style w:type="paragraph" w:customStyle="1" w:styleId="PaginaXdiY">
    <w:name w:val="Pagina X di Y"/>
    <w:rsid w:val="006223EB"/>
  </w:style>
  <w:style w:type="paragraph" w:customStyle="1" w:styleId="Riservatopaginadata">
    <w:name w:val="Riservato  pagina #  data"/>
    <w:rsid w:val="006223EB"/>
  </w:style>
  <w:style w:type="paragraph" w:styleId="Sommario5">
    <w:name w:val="toc 5"/>
    <w:basedOn w:val="Sommario1"/>
    <w:next w:val="Normale"/>
    <w:autoRedefine/>
    <w:rsid w:val="006223EB"/>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6223EB"/>
    <w:pPr>
      <w:ind w:left="1100"/>
      <w:jc w:val="left"/>
    </w:pPr>
    <w:rPr>
      <w:rFonts w:ascii="Times New Roman" w:hAnsi="Times New Roman"/>
      <w:sz w:val="18"/>
    </w:rPr>
  </w:style>
  <w:style w:type="paragraph" w:styleId="Sommario8">
    <w:name w:val="toc 8"/>
    <w:basedOn w:val="Sommario1"/>
    <w:next w:val="Normale"/>
    <w:autoRedefine/>
    <w:rsid w:val="006223EB"/>
    <w:pPr>
      <w:spacing w:line="300" w:lineRule="exact"/>
      <w:outlineLvl w:val="7"/>
    </w:pPr>
  </w:style>
  <w:style w:type="paragraph" w:styleId="Sommario9">
    <w:name w:val="toc 9"/>
    <w:basedOn w:val="Sommario1"/>
    <w:next w:val="Normale"/>
    <w:rsid w:val="006223EB"/>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F84BDE"/>
    <w:pPr>
      <w:keepNext/>
      <w:spacing w:line="240" w:lineRule="auto"/>
      <w:ind w:firstLine="0"/>
      <w:jc w:val="center"/>
    </w:pPr>
    <w:rPr>
      <w:b/>
      <w:smallCaps/>
      <w:kern w:val="28"/>
      <w:sz w:val="40"/>
    </w:rPr>
  </w:style>
  <w:style w:type="paragraph" w:styleId="Mappadocumento">
    <w:name w:val="Document Map"/>
    <w:basedOn w:val="Normale"/>
    <w:link w:val="MappadocumentoCarattere"/>
    <w:rsid w:val="006223EB"/>
    <w:pPr>
      <w:shd w:val="clear" w:color="auto" w:fill="000080"/>
    </w:pPr>
    <w:rPr>
      <w:rFonts w:ascii="Tahoma" w:hAnsi="Tahoma"/>
    </w:rPr>
  </w:style>
  <w:style w:type="paragraph" w:customStyle="1" w:styleId="Etichettadocumento">
    <w:name w:val="Etichetta documento"/>
    <w:basedOn w:val="Normale"/>
    <w:rsid w:val="00F84BDE"/>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link w:val="IntestazionemessaggioCarattere"/>
    <w:rsid w:val="006223EB"/>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F84BDE"/>
    <w:rPr>
      <w:rFonts w:ascii="Arial Black" w:hAnsi="Arial Black"/>
      <w:sz w:val="18"/>
    </w:rPr>
  </w:style>
  <w:style w:type="paragraph" w:customStyle="1" w:styleId="Indirizzomittente1">
    <w:name w:val="Indirizzo mittente 1"/>
    <w:basedOn w:val="Normale"/>
    <w:rsid w:val="006223EB"/>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F84BDE"/>
  </w:style>
  <w:style w:type="paragraph" w:styleId="Rientrocorpodeltesto">
    <w:name w:val="Body Text Indent"/>
    <w:basedOn w:val="Normale"/>
    <w:link w:val="RientrocorpodeltestoCarattere"/>
    <w:rsid w:val="00F84BDE"/>
    <w:pPr>
      <w:spacing w:line="240" w:lineRule="auto"/>
    </w:pPr>
  </w:style>
  <w:style w:type="character" w:styleId="Collegamentoipertestuale">
    <w:name w:val="Hyperlink"/>
    <w:rsid w:val="006223EB"/>
    <w:rPr>
      <w:rFonts w:ascii="Arial" w:hAnsi="Arial"/>
      <w:color w:val="0000FF"/>
      <w:sz w:val="22"/>
      <w:u w:val="single"/>
    </w:rPr>
  </w:style>
  <w:style w:type="paragraph" w:styleId="Corpotesto">
    <w:name w:val="Body Text"/>
    <w:basedOn w:val="Normale"/>
    <w:link w:val="CorpotestoCarattere"/>
    <w:rsid w:val="00F84BDE"/>
    <w:pPr>
      <w:spacing w:after="120"/>
    </w:pPr>
  </w:style>
  <w:style w:type="paragraph" w:customStyle="1" w:styleId="noteIntestazione">
    <w:name w:val="note Intestazione"/>
    <w:basedOn w:val="Intestazione"/>
    <w:rsid w:val="006223EB"/>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6223EB"/>
    <w:pPr>
      <w:spacing w:line="300" w:lineRule="atLeast"/>
      <w:ind w:firstLine="284"/>
      <w:jc w:val="both"/>
    </w:pPr>
    <w:rPr>
      <w:rFonts w:ascii="Arial" w:hAnsi="Arial"/>
      <w:sz w:val="22"/>
    </w:rPr>
  </w:style>
  <w:style w:type="paragraph" w:customStyle="1" w:styleId="OCCHIELLO2">
    <w:name w:val="OCCHIELLO2"/>
    <w:basedOn w:val="Normale"/>
    <w:next w:val="Normale"/>
    <w:rsid w:val="006223EB"/>
    <w:pPr>
      <w:spacing w:before="5520"/>
      <w:jc w:val="center"/>
      <w:outlineLvl w:val="8"/>
    </w:pPr>
    <w:rPr>
      <w:b/>
      <w:sz w:val="32"/>
    </w:rPr>
  </w:style>
  <w:style w:type="paragraph" w:customStyle="1" w:styleId="SommarioD">
    <w:name w:val="SommarioD"/>
    <w:basedOn w:val="SommarioA"/>
    <w:rsid w:val="00F84BDE"/>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F84BDE"/>
    <w:pPr>
      <w:spacing w:after="60" w:line="300" w:lineRule="exact"/>
      <w:jc w:val="left"/>
    </w:pPr>
    <w:rPr>
      <w:rFonts w:ascii="Garamond" w:hAnsi="Garamond"/>
      <w:sz w:val="24"/>
    </w:rPr>
  </w:style>
  <w:style w:type="paragraph" w:customStyle="1" w:styleId="AS-diniziativa">
    <w:name w:val="AS- d'iniziativa"/>
    <w:basedOn w:val="ASnormale"/>
    <w:rsid w:val="00F84BDE"/>
    <w:pPr>
      <w:spacing w:before="480"/>
      <w:ind w:firstLine="0"/>
      <w:jc w:val="center"/>
    </w:pPr>
    <w:rPr>
      <w:b/>
    </w:rPr>
  </w:style>
  <w:style w:type="paragraph" w:customStyle="1" w:styleId="ACintestazione2">
    <w:name w:val="ACintestazione2"/>
    <w:basedOn w:val="Intestazione"/>
    <w:rsid w:val="00F84BDE"/>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F84BDE"/>
    <w:pPr>
      <w:ind w:firstLine="0"/>
      <w:jc w:val="center"/>
    </w:pPr>
    <w:rPr>
      <w:b/>
    </w:rPr>
  </w:style>
  <w:style w:type="paragraph" w:customStyle="1" w:styleId="ASS-SENnormale">
    <w:name w:val="ASS-SEN_normale"/>
    <w:basedOn w:val="Normale"/>
    <w:rsid w:val="00F84BDE"/>
    <w:pPr>
      <w:spacing w:after="60" w:line="300" w:lineRule="exact"/>
      <w:ind w:firstLine="525"/>
    </w:pPr>
    <w:rPr>
      <w:rFonts w:ascii="Garamond" w:hAnsi="Garamond"/>
      <w:sz w:val="24"/>
    </w:rPr>
  </w:style>
  <w:style w:type="paragraph" w:customStyle="1" w:styleId="AC-Normale">
    <w:name w:val="AC-Normale"/>
    <w:basedOn w:val="Normale"/>
    <w:rsid w:val="00F84BDE"/>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F84BDE"/>
    <w:pPr>
      <w:spacing w:after="60" w:line="300" w:lineRule="exact"/>
      <w:ind w:firstLine="301"/>
    </w:pPr>
    <w:rPr>
      <w:rFonts w:ascii="Garamond" w:hAnsi="Garamond"/>
      <w:sz w:val="24"/>
    </w:rPr>
  </w:style>
  <w:style w:type="paragraph" w:customStyle="1" w:styleId="SENCOMMcorpodeltesto">
    <w:name w:val="SEN_COMM_corpo del testo"/>
    <w:basedOn w:val="Normale"/>
    <w:rsid w:val="00F84BDE"/>
    <w:pPr>
      <w:spacing w:after="120" w:line="240" w:lineRule="auto"/>
      <w:ind w:firstLine="567"/>
    </w:pPr>
    <w:rPr>
      <w:rFonts w:ascii="Garamond" w:hAnsi="Garamond"/>
      <w:sz w:val="24"/>
    </w:rPr>
  </w:style>
  <w:style w:type="paragraph" w:customStyle="1" w:styleId="COMMSENcorpodeltesto">
    <w:name w:val="COMM_SEN_corpo del testo"/>
    <w:basedOn w:val="Normale"/>
    <w:rsid w:val="00F84BDE"/>
    <w:pPr>
      <w:spacing w:after="120" w:line="240" w:lineRule="auto"/>
      <w:ind w:firstLine="567"/>
    </w:pPr>
    <w:rPr>
      <w:rFonts w:ascii="Times New Roman" w:hAnsi="Times New Roman"/>
    </w:rPr>
  </w:style>
  <w:style w:type="paragraph" w:customStyle="1" w:styleId="MAIUSCGRCENTR">
    <w:name w:val="MAIUSC/GR/CENTR"/>
    <w:basedOn w:val="SENCOMMcorpodeltesto"/>
    <w:rsid w:val="00F84BDE"/>
    <w:pPr>
      <w:ind w:firstLine="0"/>
      <w:jc w:val="center"/>
    </w:pPr>
    <w:rPr>
      <w:b/>
      <w:caps/>
    </w:rPr>
  </w:style>
  <w:style w:type="paragraph" w:customStyle="1" w:styleId="SommarioB">
    <w:name w:val="SommarioB"/>
    <w:basedOn w:val="SommarioA"/>
    <w:rsid w:val="00F84BDE"/>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F84BDE"/>
    <w:pPr>
      <w:spacing w:line="300" w:lineRule="exact"/>
      <w:ind w:firstLine="567"/>
      <w:jc w:val="left"/>
    </w:pPr>
    <w:rPr>
      <w:rFonts w:ascii="Garamond" w:hAnsi="Garamond"/>
      <w:sz w:val="24"/>
    </w:rPr>
  </w:style>
  <w:style w:type="paragraph" w:customStyle="1" w:styleId="CAM-ASS-testo">
    <w:name w:val="CAM-ASS-testo"/>
    <w:basedOn w:val="Normale"/>
    <w:rsid w:val="00F84BDE"/>
    <w:pPr>
      <w:spacing w:line="300" w:lineRule="exact"/>
      <w:ind w:firstLine="567"/>
    </w:pPr>
    <w:rPr>
      <w:rFonts w:ascii="Garamond" w:hAnsi="Garamond"/>
      <w:sz w:val="24"/>
    </w:rPr>
  </w:style>
  <w:style w:type="paragraph" w:customStyle="1" w:styleId="CAMCOMMcorpodeltesto">
    <w:name w:val="CAM_COMM_corpo del testo"/>
    <w:basedOn w:val="Normale"/>
    <w:rsid w:val="00F84BDE"/>
    <w:pPr>
      <w:spacing w:line="240" w:lineRule="auto"/>
    </w:pPr>
    <w:rPr>
      <w:rFonts w:ascii="Times New Roman" w:hAnsi="Times New Roman"/>
    </w:rPr>
  </w:style>
  <w:style w:type="paragraph" w:customStyle="1" w:styleId="CAMCAMMaffaricostituzionali">
    <w:name w:val="CAM_CAMM_(affari costituzionali)"/>
    <w:basedOn w:val="Normale"/>
    <w:next w:val="Normale"/>
    <w:rsid w:val="00F84BDE"/>
    <w:pPr>
      <w:spacing w:before="120" w:after="120" w:line="240" w:lineRule="auto"/>
      <w:ind w:firstLine="0"/>
      <w:jc w:val="center"/>
    </w:pPr>
    <w:rPr>
      <w:rFonts w:ascii="Times New Roman" w:hAnsi="Times New Roman"/>
      <w:b/>
    </w:rPr>
  </w:style>
  <w:style w:type="paragraph" w:customStyle="1" w:styleId="ToCompany">
    <w:name w:val="ToCompany"/>
    <w:basedOn w:val="Normale"/>
    <w:rsid w:val="006223EB"/>
    <w:pPr>
      <w:spacing w:line="240" w:lineRule="auto"/>
      <w:ind w:firstLine="0"/>
      <w:jc w:val="left"/>
    </w:pPr>
    <w:rPr>
      <w:sz w:val="28"/>
    </w:rPr>
  </w:style>
  <w:style w:type="paragraph" w:customStyle="1" w:styleId="SENCOMMtesto">
    <w:name w:val="SEN_COMM_testo"/>
    <w:basedOn w:val="Normale"/>
    <w:rsid w:val="00F84BDE"/>
    <w:pPr>
      <w:spacing w:before="120" w:after="120" w:line="300" w:lineRule="exact"/>
    </w:pPr>
    <w:rPr>
      <w:rFonts w:ascii="Times New Roman" w:hAnsi="Times New Roman"/>
    </w:rPr>
  </w:style>
  <w:style w:type="paragraph" w:customStyle="1" w:styleId="CAMCAMMCommissione">
    <w:name w:val="CAM_CAMM_(Commissione)"/>
    <w:basedOn w:val="Normale"/>
    <w:rsid w:val="00F84BDE"/>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F84BDE"/>
    <w:pPr>
      <w:spacing w:after="120"/>
      <w:ind w:firstLine="0"/>
    </w:pPr>
    <w:rPr>
      <w:rFonts w:ascii="Times New Roman" w:hAnsi="Times New Roman"/>
      <w:i/>
    </w:rPr>
  </w:style>
  <w:style w:type="paragraph" w:styleId="Rientrocorpodeltesto2">
    <w:name w:val="Body Text Indent 2"/>
    <w:basedOn w:val="Normale"/>
    <w:link w:val="Rientrocorpodeltesto2Carattere"/>
    <w:rsid w:val="00F84BDE"/>
    <w:pPr>
      <w:spacing w:line="240" w:lineRule="auto"/>
    </w:pPr>
  </w:style>
  <w:style w:type="paragraph" w:customStyle="1" w:styleId="CopertinaServizio">
    <w:name w:val="Copertina/Servizio"/>
    <w:basedOn w:val="Normale"/>
    <w:rsid w:val="006223EB"/>
    <w:pPr>
      <w:keepNext/>
      <w:spacing w:line="240" w:lineRule="auto"/>
      <w:ind w:firstLine="0"/>
      <w:jc w:val="center"/>
    </w:pPr>
    <w:rPr>
      <w:b/>
      <w:smallCaps/>
      <w:kern w:val="28"/>
      <w:sz w:val="40"/>
    </w:rPr>
  </w:style>
  <w:style w:type="paragraph" w:customStyle="1" w:styleId="CopertinaCollana">
    <w:name w:val="Copertina/Collana"/>
    <w:basedOn w:val="Normale"/>
    <w:rsid w:val="006223EB"/>
    <w:pPr>
      <w:ind w:firstLine="0"/>
      <w:jc w:val="center"/>
    </w:pPr>
    <w:rPr>
      <w:smallCaps/>
      <w:spacing w:val="20"/>
      <w:sz w:val="36"/>
    </w:rPr>
  </w:style>
  <w:style w:type="paragraph" w:customStyle="1" w:styleId="CopertinaTitolo">
    <w:name w:val="Copertina/Titolo"/>
    <w:basedOn w:val="Normale"/>
    <w:rsid w:val="006223EB"/>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6223EB"/>
    <w:pPr>
      <w:ind w:firstLine="0"/>
      <w:jc w:val="center"/>
    </w:pPr>
    <w:rPr>
      <w:sz w:val="28"/>
    </w:rPr>
  </w:style>
  <w:style w:type="paragraph" w:customStyle="1" w:styleId="CopertinaAtto">
    <w:name w:val="Copertina/Atto"/>
    <w:basedOn w:val="Normale"/>
    <w:rsid w:val="006223EB"/>
    <w:pPr>
      <w:spacing w:before="120"/>
      <w:ind w:left="142" w:right="140" w:firstLine="0"/>
      <w:jc w:val="center"/>
    </w:pPr>
    <w:rPr>
      <w:spacing w:val="20"/>
      <w:sz w:val="32"/>
    </w:rPr>
  </w:style>
  <w:style w:type="paragraph" w:customStyle="1" w:styleId="CopertinaParte">
    <w:name w:val="Copertina/Parte"/>
    <w:basedOn w:val="Normale"/>
    <w:rsid w:val="006223EB"/>
    <w:pPr>
      <w:ind w:right="140"/>
      <w:jc w:val="center"/>
    </w:pPr>
    <w:rPr>
      <w:spacing w:val="20"/>
    </w:rPr>
  </w:style>
  <w:style w:type="paragraph" w:customStyle="1" w:styleId="CopertinaLegislatura">
    <w:name w:val="Copertina/Legislatura"/>
    <w:basedOn w:val="Normale"/>
    <w:rsid w:val="006223EB"/>
    <w:pPr>
      <w:spacing w:before="240"/>
      <w:ind w:firstLine="0"/>
      <w:jc w:val="center"/>
    </w:pPr>
    <w:rPr>
      <w:smallCaps/>
      <w:spacing w:val="20"/>
      <w:sz w:val="28"/>
    </w:rPr>
  </w:style>
  <w:style w:type="paragraph" w:customStyle="1" w:styleId="CopertinaData">
    <w:name w:val="Copertina/Data"/>
    <w:basedOn w:val="Normale"/>
    <w:rsid w:val="006223EB"/>
    <w:pPr>
      <w:spacing w:before="240" w:after="360"/>
      <w:ind w:right="142" w:firstLine="0"/>
      <w:jc w:val="center"/>
    </w:pPr>
    <w:rPr>
      <w:i/>
      <w:spacing w:val="20"/>
      <w:sz w:val="24"/>
    </w:rPr>
  </w:style>
  <w:style w:type="paragraph" w:customStyle="1" w:styleId="CopertinaCameraDeputati">
    <w:name w:val="Copertina/Camera Deputati"/>
    <w:basedOn w:val="Normale"/>
    <w:rsid w:val="006223EB"/>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6223EB"/>
    <w:pPr>
      <w:ind w:left="0" w:firstLine="0"/>
      <w:jc w:val="center"/>
    </w:pPr>
  </w:style>
  <w:style w:type="paragraph" w:customStyle="1" w:styleId="To">
    <w:name w:val="To"/>
    <w:basedOn w:val="Normale"/>
    <w:rsid w:val="006223EB"/>
    <w:pPr>
      <w:spacing w:line="240" w:lineRule="auto"/>
      <w:ind w:firstLine="0"/>
      <w:jc w:val="left"/>
    </w:pPr>
    <w:rPr>
      <w:sz w:val="36"/>
    </w:rPr>
  </w:style>
  <w:style w:type="paragraph" w:customStyle="1" w:styleId="ToFax">
    <w:name w:val="ToFax"/>
    <w:basedOn w:val="Normale"/>
    <w:rsid w:val="006223EB"/>
    <w:pPr>
      <w:spacing w:line="240" w:lineRule="auto"/>
      <w:ind w:firstLine="0"/>
      <w:jc w:val="left"/>
    </w:pPr>
    <w:rPr>
      <w:sz w:val="28"/>
    </w:rPr>
  </w:style>
  <w:style w:type="paragraph" w:customStyle="1" w:styleId="FromCompany">
    <w:name w:val="FromCompany"/>
    <w:basedOn w:val="Normale"/>
    <w:rsid w:val="006223EB"/>
    <w:pPr>
      <w:spacing w:line="240" w:lineRule="auto"/>
      <w:ind w:firstLine="0"/>
      <w:jc w:val="left"/>
    </w:pPr>
    <w:rPr>
      <w:sz w:val="28"/>
    </w:rPr>
  </w:style>
  <w:style w:type="paragraph" w:customStyle="1" w:styleId="FromPhone">
    <w:name w:val="FromPhone"/>
    <w:basedOn w:val="Normale"/>
    <w:rsid w:val="006223EB"/>
    <w:pPr>
      <w:spacing w:line="240" w:lineRule="auto"/>
      <w:ind w:firstLine="0"/>
      <w:jc w:val="left"/>
    </w:pPr>
    <w:rPr>
      <w:sz w:val="28"/>
    </w:rPr>
  </w:style>
  <w:style w:type="paragraph" w:customStyle="1" w:styleId="FromFax">
    <w:name w:val="FromFax"/>
    <w:basedOn w:val="Normale"/>
    <w:rsid w:val="006223EB"/>
    <w:pPr>
      <w:spacing w:line="240" w:lineRule="auto"/>
      <w:ind w:firstLine="0"/>
      <w:jc w:val="left"/>
    </w:pPr>
    <w:rPr>
      <w:sz w:val="28"/>
    </w:rPr>
  </w:style>
  <w:style w:type="paragraph" w:customStyle="1" w:styleId="ToPhone">
    <w:name w:val="ToPhone"/>
    <w:basedOn w:val="ToCompany"/>
    <w:rsid w:val="006223EB"/>
  </w:style>
  <w:style w:type="paragraph" w:customStyle="1" w:styleId="AAA-COST-Indiceautomatico">
    <w:name w:val="AAA-COST.-Indice automatico"/>
    <w:rsid w:val="00F84BDE"/>
    <w:rPr>
      <w:noProof/>
      <w:sz w:val="3276"/>
    </w:rPr>
  </w:style>
  <w:style w:type="paragraph" w:customStyle="1" w:styleId="AAA-COMITATO-Indiceautomatico">
    <w:name w:val="AAA-COMITATO-Indice automatico"/>
    <w:rsid w:val="00F84BDE"/>
    <w:rPr>
      <w:noProof/>
      <w:sz w:val="3276"/>
    </w:rPr>
  </w:style>
  <w:style w:type="paragraph" w:customStyle="1" w:styleId="AAA-NORMATIVA-INDICEAUTOMATICO">
    <w:name w:val="AAA-NORMATIVA-INDICE AUTOMATICO"/>
    <w:rsid w:val="00F84BDE"/>
    <w:pPr>
      <w:spacing w:line="300" w:lineRule="atLeast"/>
      <w:ind w:firstLine="284"/>
      <w:jc w:val="both"/>
    </w:pPr>
    <w:rPr>
      <w:rFonts w:ascii="Arial" w:hAnsi="Arial"/>
      <w:sz w:val="22"/>
    </w:rPr>
  </w:style>
  <w:style w:type="paragraph" w:customStyle="1" w:styleId="AAA-SCHEDE-INDICEAUTOMATICO">
    <w:name w:val="AAA-SCHEDE-INDICE AUTOMATICO"/>
    <w:rsid w:val="00F84BDE"/>
    <w:pPr>
      <w:spacing w:line="300" w:lineRule="atLeast"/>
      <w:ind w:firstLine="284"/>
      <w:jc w:val="both"/>
    </w:pPr>
    <w:rPr>
      <w:rFonts w:ascii="Arial" w:hAnsi="Arial"/>
      <w:sz w:val="22"/>
    </w:rPr>
  </w:style>
  <w:style w:type="paragraph" w:customStyle="1" w:styleId="AAA-NORMATIVA-Indiceautomatico0">
    <w:name w:val="AAA-NORMATIVA-Indice automatico"/>
    <w:rsid w:val="00F84BDE"/>
    <w:rPr>
      <w:noProof/>
      <w:sz w:val="3276"/>
    </w:rPr>
  </w:style>
  <w:style w:type="paragraph" w:customStyle="1" w:styleId="AAA-SCHEDE-Indiceautomatico0">
    <w:name w:val="AAA-SCHEDE-Indice automatico"/>
    <w:rsid w:val="00F84BDE"/>
    <w:rPr>
      <w:noProof/>
      <w:sz w:val="3276"/>
    </w:rPr>
  </w:style>
  <w:style w:type="paragraph" w:customStyle="1" w:styleId="AAA-NORMATIVA-Indicecon2occh">
    <w:name w:val="AAA-NORMATIVA-Indice con 2° occh"/>
    <w:rsid w:val="00F84BDE"/>
    <w:pPr>
      <w:spacing w:line="300" w:lineRule="atLeast"/>
      <w:ind w:firstLine="284"/>
      <w:jc w:val="both"/>
    </w:pPr>
    <w:rPr>
      <w:rFonts w:ascii="Arial" w:hAnsi="Arial"/>
      <w:sz w:val="22"/>
    </w:rPr>
  </w:style>
  <w:style w:type="paragraph" w:customStyle="1" w:styleId="AAA-STRINGA-ATTI">
    <w:name w:val="AAA-STRINGA-ATTI"/>
    <w:rsid w:val="00F84BDE"/>
    <w:pPr>
      <w:spacing w:line="300" w:lineRule="atLeast"/>
      <w:ind w:firstLine="284"/>
      <w:jc w:val="both"/>
    </w:pPr>
    <w:rPr>
      <w:rFonts w:ascii="Arial" w:hAnsi="Arial"/>
      <w:sz w:val="22"/>
    </w:rPr>
  </w:style>
  <w:style w:type="paragraph" w:customStyle="1" w:styleId="AAA-STRINGA-OCCHIELLO">
    <w:name w:val="AAA-STRINGA-OCCHIELLO"/>
    <w:rsid w:val="00F84BDE"/>
    <w:pPr>
      <w:spacing w:line="300" w:lineRule="atLeast"/>
      <w:ind w:firstLine="284"/>
      <w:jc w:val="both"/>
    </w:pPr>
    <w:rPr>
      <w:rFonts w:ascii="Arial" w:hAnsi="Arial"/>
      <w:sz w:val="22"/>
    </w:rPr>
  </w:style>
  <w:style w:type="paragraph" w:customStyle="1" w:styleId="AAA-STRINGA-OCCHIELLO2">
    <w:name w:val="AAA-STRINGA-OCCHIELLO 2"/>
    <w:rsid w:val="00F84BDE"/>
    <w:pPr>
      <w:spacing w:line="300" w:lineRule="atLeast"/>
      <w:ind w:firstLine="284"/>
      <w:jc w:val="both"/>
    </w:pPr>
    <w:rPr>
      <w:rFonts w:ascii="Arial" w:hAnsi="Arial"/>
      <w:sz w:val="22"/>
    </w:rPr>
  </w:style>
  <w:style w:type="paragraph" w:customStyle="1" w:styleId="AAA-STRINGA-PARERIRESI">
    <w:name w:val="AAA-STRINGA-PARERI RESI.."/>
    <w:rsid w:val="00F84BDE"/>
    <w:pPr>
      <w:spacing w:line="300" w:lineRule="atLeast"/>
      <w:ind w:firstLine="284"/>
      <w:jc w:val="both"/>
    </w:pPr>
    <w:rPr>
      <w:rFonts w:ascii="Arial" w:hAnsi="Arial"/>
      <w:sz w:val="22"/>
    </w:rPr>
  </w:style>
  <w:style w:type="paragraph" w:customStyle="1" w:styleId="AAA-STRINGA-COMMISSIONECONSULTI">
    <w:name w:val="AAA-STRINGA-COMMISSIONE CONSULTI"/>
    <w:rsid w:val="00F84BDE"/>
    <w:pPr>
      <w:spacing w:line="300" w:lineRule="atLeast"/>
      <w:ind w:firstLine="284"/>
      <w:jc w:val="both"/>
    </w:pPr>
    <w:rPr>
      <w:rFonts w:ascii="Arial" w:hAnsi="Arial"/>
      <w:sz w:val="22"/>
    </w:rPr>
  </w:style>
  <w:style w:type="paragraph" w:customStyle="1" w:styleId="AAA-STRINGA-SEDUTADEL">
    <w:name w:val="AAA-STRINGA-SEDUTA DEL..."/>
    <w:rsid w:val="00F84BDE"/>
    <w:pPr>
      <w:widowControl w:val="0"/>
      <w:tabs>
        <w:tab w:val="right" w:pos="7938"/>
      </w:tabs>
      <w:spacing w:line="300" w:lineRule="atLeast"/>
      <w:ind w:left="851" w:right="851"/>
      <w:jc w:val="both"/>
      <w:outlineLvl w:val="4"/>
    </w:pPr>
    <w:rPr>
      <w:rFonts w:ascii="Arial" w:hAnsi="Arial"/>
      <w:noProof/>
      <w:sz w:val="22"/>
    </w:rPr>
  </w:style>
  <w:style w:type="paragraph" w:customStyle="1" w:styleId="AAA-ATTI-Indice">
    <w:name w:val="AAA-ATTI-Indice"/>
    <w:rsid w:val="00F84BDE"/>
    <w:pPr>
      <w:spacing w:line="300" w:lineRule="atLeast"/>
      <w:ind w:firstLine="284"/>
      <w:jc w:val="both"/>
    </w:pPr>
    <w:rPr>
      <w:rFonts w:ascii="Arial" w:hAnsi="Arial"/>
      <w:sz w:val="22"/>
    </w:rPr>
  </w:style>
  <w:style w:type="paragraph" w:customStyle="1" w:styleId="AAA-DOSSIER-Indiceautomaticoco">
    <w:name w:val="AAA-DOSSIER-Indice automatico co"/>
    <w:rsid w:val="00F84BDE"/>
    <w:pPr>
      <w:spacing w:line="300" w:lineRule="atLeast"/>
      <w:ind w:firstLine="284"/>
      <w:jc w:val="both"/>
    </w:pPr>
    <w:rPr>
      <w:rFonts w:ascii="Arial" w:hAnsi="Arial"/>
      <w:sz w:val="22"/>
    </w:rPr>
  </w:style>
  <w:style w:type="paragraph" w:customStyle="1" w:styleId="elencopuntato1liv">
    <w:name w:val="elencopuntato1°liv"/>
    <w:basedOn w:val="Normale"/>
    <w:rsid w:val="00F84BDE"/>
    <w:pPr>
      <w:numPr>
        <w:numId w:val="2"/>
      </w:numPr>
    </w:pPr>
  </w:style>
  <w:style w:type="paragraph" w:customStyle="1" w:styleId="Elencopuntato2livello">
    <w:name w:val="Elenco puntato 2° livello"/>
    <w:basedOn w:val="Normale"/>
    <w:rsid w:val="00F84BDE"/>
    <w:pPr>
      <w:ind w:firstLine="0"/>
    </w:pPr>
    <w:rPr>
      <w:i/>
    </w:rPr>
  </w:style>
  <w:style w:type="paragraph" w:customStyle="1" w:styleId="Elencopuntato1livello">
    <w:name w:val="Elenco puntato1°livello"/>
    <w:basedOn w:val="Normale"/>
    <w:next w:val="Normale"/>
    <w:rsid w:val="00F84BDE"/>
    <w:pPr>
      <w:numPr>
        <w:numId w:val="1"/>
      </w:numPr>
    </w:pPr>
    <w:rPr>
      <w:b/>
      <w:i/>
    </w:rPr>
  </w:style>
  <w:style w:type="paragraph" w:customStyle="1" w:styleId="aaa-omissis">
    <w:name w:val="aaa-omissis"/>
    <w:basedOn w:val="Normale"/>
    <w:rsid w:val="00F84BDE"/>
    <w:pPr>
      <w:spacing w:before="320" w:after="320"/>
      <w:ind w:firstLine="0"/>
      <w:jc w:val="center"/>
    </w:pPr>
    <w:rPr>
      <w:i/>
      <w:sz w:val="20"/>
    </w:rPr>
  </w:style>
  <w:style w:type="paragraph" w:customStyle="1" w:styleId="NOWEB">
    <w:name w:val="NOWEB"/>
    <w:basedOn w:val="Normale"/>
    <w:rsid w:val="00F84BDE"/>
    <w:rPr>
      <w:b/>
      <w:vanish/>
      <w:color w:val="FF0000"/>
      <w:szCs w:val="22"/>
      <w:u w:val="single"/>
    </w:rPr>
  </w:style>
  <w:style w:type="paragraph" w:customStyle="1" w:styleId="SIWEB">
    <w:name w:val="SIWEB"/>
    <w:basedOn w:val="Normale"/>
    <w:rsid w:val="00F84BDE"/>
    <w:pPr>
      <w:ind w:right="-285"/>
    </w:pPr>
    <w:rPr>
      <w:b/>
      <w:vanish/>
      <w:color w:val="339966"/>
      <w:szCs w:val="22"/>
      <w:effect w:val="antsBlack"/>
    </w:rPr>
  </w:style>
  <w:style w:type="table" w:styleId="Grigliatabella">
    <w:name w:val="Table Grid"/>
    <w:basedOn w:val="Tabellanormale"/>
    <w:rsid w:val="004220EF"/>
    <w:pPr>
      <w:spacing w:line="300" w:lineRule="atLeast"/>
      <w:ind w:firstLine="284"/>
      <w:jc w:val="both"/>
    </w:pPr>
    <w:tblPr/>
  </w:style>
  <w:style w:type="character" w:styleId="Collegamentovisitato">
    <w:name w:val="FollowedHyperlink"/>
    <w:rsid w:val="00F84BDE"/>
    <w:rPr>
      <w:color w:val="800080"/>
      <w:u w:val="single"/>
    </w:rPr>
  </w:style>
  <w:style w:type="paragraph" w:styleId="Iniziomodulo-z">
    <w:name w:val="HTML Top of Form"/>
    <w:basedOn w:val="Normale"/>
    <w:next w:val="Normale"/>
    <w:link w:val="Iniziomodulo-zCaratter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link w:val="Finemodulo-zCaratter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F84BDE"/>
    <w:pPr>
      <w:spacing w:after="120" w:line="240" w:lineRule="exact"/>
      <w:jc w:val="center"/>
    </w:pPr>
    <w:rPr>
      <w:rFonts w:ascii="Garamond" w:hAnsi="Garamond"/>
      <w:b/>
      <w:bCs/>
    </w:rPr>
  </w:style>
  <w:style w:type="character" w:styleId="Enfasigrassetto">
    <w:name w:val="Strong"/>
    <w:qFormat/>
    <w:rsid w:val="00F84BDE"/>
    <w:rPr>
      <w:b/>
      <w:bCs/>
    </w:rPr>
  </w:style>
  <w:style w:type="paragraph" w:customStyle="1" w:styleId="bgricerca">
    <w:name w:val="bgricerca"/>
    <w:basedOn w:val="Normale"/>
    <w:rsid w:val="00F84BDE"/>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F84BDE"/>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F84BDE"/>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F84BDE"/>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F84BDE"/>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F84BDE"/>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F84BDE"/>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rsid w:val="00F84BDE"/>
    <w:pPr>
      <w:spacing w:after="120" w:line="240" w:lineRule="exact"/>
    </w:pPr>
    <w:rPr>
      <w:rFonts w:ascii="Garamond" w:hAnsi="Garamond" w:cs="Garamond"/>
      <w:sz w:val="24"/>
      <w:szCs w:val="24"/>
    </w:rPr>
  </w:style>
  <w:style w:type="character" w:customStyle="1" w:styleId="Collegamentoipertestuale1">
    <w:name w:val="Collegamento ipertestuale1"/>
    <w:rsid w:val="00F84BDE"/>
    <w:rPr>
      <w:strike w:val="0"/>
      <w:dstrike w:val="0"/>
      <w:color w:val="0000FF"/>
      <w:u w:val="none"/>
      <w:effect w:val="none"/>
      <w:shd w:val="clear" w:color="auto" w:fill="auto"/>
    </w:rPr>
  </w:style>
  <w:style w:type="paragraph" w:customStyle="1" w:styleId="Titolo12">
    <w:name w:val="Titolo 12"/>
    <w:basedOn w:val="Normale"/>
    <w:rsid w:val="00F84BDE"/>
    <w:pPr>
      <w:spacing w:before="100" w:beforeAutospacing="1" w:after="240" w:line="240" w:lineRule="auto"/>
      <w:ind w:firstLine="0"/>
      <w:jc w:val="center"/>
      <w:outlineLvl w:val="1"/>
    </w:pPr>
    <w:rPr>
      <w:rFonts w:ascii="Verdana" w:hAnsi="Verdana" w:cs="Garamond"/>
      <w:b/>
      <w:bCs/>
      <w:color w:val="000000"/>
      <w:kern w:val="36"/>
      <w:szCs w:val="22"/>
    </w:rPr>
  </w:style>
  <w:style w:type="character" w:customStyle="1" w:styleId="Collegamentoipertestuale2">
    <w:name w:val="Collegamento ipertestuale2"/>
    <w:rsid w:val="00F84BDE"/>
    <w:rPr>
      <w:strike w:val="0"/>
      <w:dstrike w:val="0"/>
      <w:color w:val="0000FF"/>
      <w:u w:val="none"/>
      <w:effect w:val="none"/>
      <w:shd w:val="clear" w:color="auto" w:fill="auto"/>
    </w:rPr>
  </w:style>
  <w:style w:type="paragraph" w:customStyle="1" w:styleId="DATASenComm">
    <w:name w:val="DATASenComm"/>
    <w:basedOn w:val="Normale"/>
    <w:link w:val="DATASenCommCarattere"/>
    <w:rsid w:val="00034E07"/>
    <w:pPr>
      <w:jc w:val="center"/>
    </w:pPr>
    <w:rPr>
      <w:rFonts w:ascii="Garamond" w:hAnsi="Garamond"/>
      <w:sz w:val="24"/>
      <w:szCs w:val="24"/>
    </w:rPr>
  </w:style>
  <w:style w:type="character" w:customStyle="1" w:styleId="DATASenCommCarattere">
    <w:name w:val="DATASenComm Carattere"/>
    <w:link w:val="DATASenComm"/>
    <w:rsid w:val="00034E07"/>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1D1CAC"/>
    <w:pPr>
      <w:ind w:firstLine="0"/>
    </w:pPr>
    <w:rPr>
      <w:rFonts w:ascii="Times" w:hAnsi="Times"/>
      <w:sz w:val="32"/>
      <w:szCs w:val="32"/>
    </w:rPr>
  </w:style>
  <w:style w:type="character" w:customStyle="1" w:styleId="XV-ASS-SENsedutaCarattere">
    <w:name w:val="XV-ASS-SEN_seduta Carattere"/>
    <w:link w:val="XV-ASS-SENseduta"/>
    <w:rsid w:val="008B471B"/>
    <w:rPr>
      <w:rFonts w:ascii="Times" w:hAnsi="Times"/>
      <w:sz w:val="32"/>
      <w:szCs w:val="32"/>
      <w:lang w:val="it-IT" w:eastAsia="it-IT" w:bidi="ar-SA"/>
    </w:rPr>
  </w:style>
  <w:style w:type="paragraph" w:customStyle="1" w:styleId="ASS-SENXVLegislatura">
    <w:name w:val="ASS-SEN_XV Legislatura"/>
    <w:basedOn w:val="Normale"/>
    <w:rsid w:val="00BA23FD"/>
    <w:pPr>
      <w:spacing w:line="240" w:lineRule="auto"/>
      <w:ind w:firstLine="0"/>
      <w:jc w:val="right"/>
    </w:pPr>
    <w:rPr>
      <w:rFonts w:ascii="CG Times" w:hAnsi="CG Times"/>
      <w:sz w:val="24"/>
      <w:szCs w:val="24"/>
    </w:rPr>
  </w:style>
  <w:style w:type="character" w:styleId="AcronimoHTML">
    <w:name w:val="HTML Acronym"/>
    <w:basedOn w:val="Carpredefinitoparagrafo"/>
    <w:rsid w:val="00C53DBC"/>
  </w:style>
  <w:style w:type="character" w:customStyle="1" w:styleId="DATA-ASS-SEN">
    <w:name w:val="DATA-ASS-SEN"/>
    <w:basedOn w:val="Carpredefinitoparagrafo"/>
    <w:rsid w:val="00BA23FD"/>
  </w:style>
  <w:style w:type="paragraph" w:customStyle="1" w:styleId="ASS-SENNumero">
    <w:name w:val="ASS-SEN_Numero"/>
    <w:link w:val="ASS-SENNumeroCarattere"/>
    <w:rsid w:val="00BA23FD"/>
    <w:rPr>
      <w:rFonts w:ascii="CG Times" w:hAnsi="CG Times"/>
      <w:sz w:val="32"/>
    </w:rPr>
  </w:style>
  <w:style w:type="character" w:customStyle="1" w:styleId="ASS-SENNumeroCarattere">
    <w:name w:val="ASS-SEN_Numero Carattere"/>
    <w:link w:val="ASS-SENNumero"/>
    <w:rsid w:val="001D1CAC"/>
    <w:rPr>
      <w:rFonts w:ascii="CG Times" w:hAnsi="CG Times"/>
      <w:sz w:val="32"/>
      <w:lang w:val="it-IT" w:eastAsia="it-IT" w:bidi="ar-SA"/>
    </w:rPr>
  </w:style>
  <w:style w:type="paragraph" w:customStyle="1" w:styleId="XV-ASS-SENRESOCONTO">
    <w:name w:val="XV-ASS-SEN_RESOCONTO"/>
    <w:basedOn w:val="AS-SENATODELLAREPUBBLICA"/>
    <w:rsid w:val="00A870E6"/>
    <w:pPr>
      <w:spacing w:before="120"/>
      <w:ind w:right="-68"/>
      <w:jc w:val="left"/>
    </w:pPr>
    <w:rPr>
      <w:rFonts w:ascii="CG Times" w:hAnsi="CG Times"/>
      <w:spacing w:val="0"/>
      <w:sz w:val="36"/>
      <w:szCs w:val="36"/>
    </w:rPr>
  </w:style>
  <w:style w:type="paragraph" w:customStyle="1" w:styleId="XV-ASS-SENASSEMBLEA">
    <w:name w:val="XV-ASS-SEN_ASSEMBLEA"/>
    <w:rsid w:val="00A870E6"/>
    <w:pPr>
      <w:spacing w:before="240"/>
      <w:ind w:right="-68"/>
    </w:pPr>
    <w:rPr>
      <w:rFonts w:ascii="CG Times" w:hAnsi="CG Times"/>
      <w:b/>
      <w:sz w:val="36"/>
      <w:szCs w:val="36"/>
    </w:rPr>
  </w:style>
  <w:style w:type="paragraph" w:customStyle="1" w:styleId="XV-ASS-SENdata">
    <w:name w:val="XV-ASS-SEN_data"/>
    <w:basedOn w:val="Normale"/>
    <w:link w:val="XV-ASS-SENdataCarattere"/>
    <w:rsid w:val="001D1CAC"/>
    <w:pPr>
      <w:ind w:firstLine="0"/>
    </w:pPr>
    <w:rPr>
      <w:rFonts w:ascii="Times" w:hAnsi="Times"/>
      <w:sz w:val="32"/>
    </w:rPr>
  </w:style>
  <w:style w:type="character" w:customStyle="1" w:styleId="XV-ASS-SENdataCarattere">
    <w:name w:val="XV-ASS-SEN_data Carattere"/>
    <w:link w:val="XV-ASS-SENdata"/>
    <w:rsid w:val="001D1CAC"/>
    <w:rPr>
      <w:rFonts w:ascii="Times" w:hAnsi="Times"/>
      <w:sz w:val="32"/>
      <w:lang w:val="it-IT" w:eastAsia="it-IT" w:bidi="ar-SA"/>
    </w:rPr>
  </w:style>
  <w:style w:type="paragraph" w:customStyle="1" w:styleId="ASS-SENXIVLegislatura">
    <w:name w:val="ASS-SEN_XIV Legislatura"/>
    <w:basedOn w:val="AS-XIVLEGISLATURA"/>
    <w:rsid w:val="00F84BDE"/>
    <w:pPr>
      <w:spacing w:before="240"/>
    </w:pPr>
  </w:style>
  <w:style w:type="character" w:customStyle="1" w:styleId="DATA-ASS-SEN-XV">
    <w:name w:val="DATA-ASS-SEN-XV"/>
    <w:basedOn w:val="Carpredefinitoparagrafo"/>
    <w:rsid w:val="00BA23FD"/>
  </w:style>
  <w:style w:type="character" w:customStyle="1" w:styleId="XV-ASS-SENgiorno">
    <w:name w:val="XV-ASS-SEN_giorno"/>
    <w:rsid w:val="001D11FB"/>
    <w:rPr>
      <w:rFonts w:ascii="Times" w:hAnsi="Times"/>
      <w:sz w:val="32"/>
      <w:szCs w:val="32"/>
    </w:rPr>
  </w:style>
  <w:style w:type="paragraph" w:customStyle="1" w:styleId="XV-ASS-SENPresidenza">
    <w:name w:val="XV-ASS-SEN_Presidenza"/>
    <w:basedOn w:val="ASS-SENdata"/>
    <w:rsid w:val="00A870E6"/>
    <w:pPr>
      <w:spacing w:line="240" w:lineRule="auto"/>
      <w:jc w:val="left"/>
    </w:pPr>
    <w:rPr>
      <w:b w:val="0"/>
      <w:spacing w:val="0"/>
      <w:sz w:val="28"/>
      <w:szCs w:val="28"/>
    </w:rPr>
  </w:style>
  <w:style w:type="paragraph" w:customStyle="1" w:styleId="XV-ASS-SENAntimer">
    <w:name w:val="XV-ASS-SEN_Antimer"/>
    <w:basedOn w:val="Normale"/>
    <w:link w:val="XV-ASS-SENAntimerCarattere"/>
    <w:rsid w:val="000B3065"/>
    <w:pPr>
      <w:ind w:firstLine="0"/>
    </w:pPr>
    <w:rPr>
      <w:rFonts w:ascii="Times" w:hAnsi="Times"/>
      <w:sz w:val="32"/>
      <w:szCs w:val="32"/>
    </w:rPr>
  </w:style>
  <w:style w:type="character" w:customStyle="1" w:styleId="XV-ASS-SENAntimerCarattere">
    <w:name w:val="XV-ASS-SEN_Antimer Carattere"/>
    <w:link w:val="XV-ASS-SENAntimer"/>
    <w:rsid w:val="000B3065"/>
    <w:rPr>
      <w:rFonts w:ascii="Times" w:hAnsi="Times"/>
      <w:sz w:val="32"/>
      <w:szCs w:val="32"/>
      <w:lang w:val="it-IT" w:eastAsia="it-IT" w:bidi="ar-SA"/>
    </w:rPr>
  </w:style>
  <w:style w:type="paragraph" w:customStyle="1" w:styleId="XV-CopertinaServizioStudi">
    <w:name w:val="XV-Copertina/ServizioStudi"/>
    <w:basedOn w:val="Normale"/>
    <w:rsid w:val="00462D37"/>
    <w:pPr>
      <w:ind w:firstLine="0"/>
      <w:jc w:val="center"/>
    </w:pPr>
    <w:rPr>
      <w:spacing w:val="60"/>
      <w:sz w:val="40"/>
      <w:szCs w:val="40"/>
    </w:rPr>
  </w:style>
  <w:style w:type="paragraph" w:customStyle="1" w:styleId="XV-CopertinaCollana">
    <w:name w:val="XV-Copertina/Collana"/>
    <w:basedOn w:val="Normale"/>
    <w:rsid w:val="003F4C86"/>
    <w:pPr>
      <w:spacing w:line="240" w:lineRule="auto"/>
      <w:ind w:firstLine="0"/>
      <w:jc w:val="center"/>
    </w:pPr>
    <w:rPr>
      <w:spacing w:val="60"/>
      <w:sz w:val="36"/>
      <w:szCs w:val="36"/>
    </w:rPr>
  </w:style>
  <w:style w:type="paragraph" w:customStyle="1" w:styleId="XV-CopertinaServizio">
    <w:name w:val="XV-Copertina/Servizio"/>
    <w:basedOn w:val="XV-CopertinaServizioStudi"/>
    <w:rsid w:val="00727368"/>
    <w:pPr>
      <w:spacing w:line="240" w:lineRule="auto"/>
    </w:pPr>
  </w:style>
  <w:style w:type="paragraph" w:customStyle="1" w:styleId="XV-Legislatura">
    <w:name w:val="XV-Legislatura"/>
    <w:basedOn w:val="CopertinaServizio"/>
    <w:rsid w:val="0011220B"/>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0B2690"/>
    <w:rPr>
      <w:rFonts w:cs="Arial"/>
      <w:b w:val="0"/>
      <w:smallCaps w:val="0"/>
      <w:spacing w:val="20"/>
      <w:szCs w:val="40"/>
    </w:rPr>
  </w:style>
  <w:style w:type="paragraph" w:customStyle="1" w:styleId="XV-CopertinaTitolo">
    <w:name w:val="XV-Copertina/Titolo"/>
    <w:basedOn w:val="Normale"/>
    <w:rsid w:val="00C74C3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054773"/>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5B6F13"/>
    <w:pPr>
      <w:ind w:firstLine="0"/>
      <w:jc w:val="center"/>
    </w:pPr>
    <w:rPr>
      <w:spacing w:val="20"/>
      <w:sz w:val="28"/>
      <w:szCs w:val="28"/>
    </w:rPr>
  </w:style>
  <w:style w:type="paragraph" w:customStyle="1" w:styleId="XV-Copertinaparteedizione">
    <w:name w:val="XV-Copertina/parteedizione"/>
    <w:basedOn w:val="Titolo8"/>
    <w:rsid w:val="00867692"/>
    <w:pPr>
      <w:keepNext/>
      <w:spacing w:before="120" w:after="120"/>
      <w:jc w:val="center"/>
    </w:pPr>
    <w:rPr>
      <w:rFonts w:cs="Arial"/>
      <w:i w:val="0"/>
      <w:spacing w:val="20"/>
      <w:sz w:val="26"/>
      <w:szCs w:val="26"/>
    </w:rPr>
  </w:style>
  <w:style w:type="paragraph" w:customStyle="1" w:styleId="XV-Copertinanumero">
    <w:name w:val="XV-Copertina/numero"/>
    <w:basedOn w:val="Normale"/>
    <w:rsid w:val="00867692"/>
    <w:pPr>
      <w:ind w:firstLine="0"/>
      <w:jc w:val="center"/>
    </w:pPr>
    <w:rPr>
      <w:rFonts w:cs="Arial"/>
      <w:sz w:val="32"/>
      <w:szCs w:val="32"/>
    </w:rPr>
  </w:style>
  <w:style w:type="paragraph" w:customStyle="1" w:styleId="XV-Copertinatitolo0">
    <w:name w:val="XV-Copertina/titolo"/>
    <w:basedOn w:val="Normale"/>
    <w:rsid w:val="00462D37"/>
    <w:pPr>
      <w:ind w:firstLine="0"/>
      <w:jc w:val="center"/>
    </w:pPr>
    <w:rPr>
      <w:spacing w:val="20"/>
      <w:sz w:val="44"/>
      <w:szCs w:val="44"/>
    </w:rPr>
  </w:style>
  <w:style w:type="paragraph" w:customStyle="1" w:styleId="ASS-SENNumeroseduta">
    <w:name w:val="ASS-SEN_Numero seduta"/>
    <w:basedOn w:val="Normale"/>
    <w:link w:val="ASS-SENNumerosedutaCarattere"/>
    <w:rsid w:val="001D11FB"/>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1D11FB"/>
    <w:rPr>
      <w:rFonts w:ascii="CG Times" w:hAnsi="CG Times"/>
      <w:noProof/>
      <w:sz w:val="32"/>
      <w:lang w:val="it-IT" w:eastAsia="it-IT" w:bidi="ar-SA"/>
    </w:rPr>
  </w:style>
  <w:style w:type="paragraph" w:customStyle="1" w:styleId="STILE-LINEA">
    <w:name w:val="STILE-LINEA"/>
    <w:basedOn w:val="Normale"/>
    <w:rsid w:val="00144612"/>
    <w:pPr>
      <w:ind w:firstLine="0"/>
      <w:jc w:val="center"/>
    </w:pPr>
  </w:style>
  <w:style w:type="character" w:customStyle="1" w:styleId="CAM-ASS-sedutadiCarattere">
    <w:name w:val="CAM-ASS-seduta di.. Carattere"/>
    <w:link w:val="CAM-ASS-sedutadi"/>
    <w:rsid w:val="002218F2"/>
    <w:rPr>
      <w:rFonts w:ascii="Garamond" w:hAnsi="Garamond"/>
      <w:caps/>
      <w:spacing w:val="20"/>
      <w:w w:val="66"/>
      <w:sz w:val="48"/>
      <w:lang w:val="it-IT" w:eastAsia="it-IT" w:bidi="ar-SA"/>
    </w:rPr>
  </w:style>
  <w:style w:type="paragraph" w:customStyle="1" w:styleId="XV-Copertinacamera">
    <w:name w:val="XV-Copertina/camera"/>
    <w:basedOn w:val="Normale"/>
    <w:rsid w:val="00B63542"/>
    <w:pPr>
      <w:ind w:firstLine="0"/>
      <w:jc w:val="center"/>
    </w:pPr>
    <w:rPr>
      <w:sz w:val="40"/>
      <w:szCs w:val="40"/>
    </w:rPr>
  </w:style>
  <w:style w:type="paragraph" w:customStyle="1" w:styleId="XV-ASS-SENnumero">
    <w:name w:val="XV-ASS-SEN_numero"/>
    <w:link w:val="XV-ASS-SENnumeroCarattere"/>
    <w:rsid w:val="00031506"/>
    <w:rPr>
      <w:rFonts w:ascii="CG Times" w:hAnsi="CG Times"/>
      <w:sz w:val="32"/>
    </w:rPr>
  </w:style>
  <w:style w:type="character" w:customStyle="1" w:styleId="XV-ASS-SENnumeroCarattere">
    <w:name w:val="XV-ASS-SEN_numero Carattere"/>
    <w:link w:val="XV-ASS-SENnumero"/>
    <w:rsid w:val="00031506"/>
    <w:rPr>
      <w:rFonts w:ascii="CG Times" w:hAnsi="CG Times"/>
      <w:sz w:val="32"/>
      <w:lang w:val="it-IT" w:eastAsia="it-IT" w:bidi="ar-SA"/>
    </w:rPr>
  </w:style>
  <w:style w:type="character" w:customStyle="1" w:styleId="XV-ASS-SENdata-Carattere">
    <w:name w:val="XV-ASS-SEN_data-Carattere"/>
    <w:rsid w:val="00BF3E50"/>
  </w:style>
  <w:style w:type="character" w:customStyle="1" w:styleId="XV-ASS-SENsedutaCar">
    <w:name w:val="XV-ASS-SEN_seduta Car"/>
    <w:basedOn w:val="XV-ASS-SENsedutaCarattere"/>
    <w:rsid w:val="00E00A30"/>
    <w:rPr>
      <w:rFonts w:ascii="Times" w:hAnsi="Times"/>
      <w:sz w:val="32"/>
      <w:szCs w:val="32"/>
      <w:lang w:val="it-IT" w:eastAsia="it-IT" w:bidi="ar-SA"/>
    </w:rPr>
  </w:style>
  <w:style w:type="character" w:customStyle="1" w:styleId="XV-ASS-SENseduta-Car">
    <w:name w:val="XV-ASS-SEN_seduta-Car"/>
    <w:rsid w:val="00DF53D3"/>
    <w:rPr>
      <w:sz w:val="36"/>
      <w:szCs w:val="36"/>
    </w:rPr>
  </w:style>
  <w:style w:type="character" w:customStyle="1" w:styleId="leggititoloCarattere">
    <w:name w:val="leggi_titolo Carattere"/>
    <w:link w:val="leggititolo"/>
    <w:rsid w:val="000000F8"/>
    <w:rPr>
      <w:rFonts w:ascii="Arial" w:hAnsi="Arial"/>
      <w:b/>
      <w:lang w:val="it-IT" w:eastAsia="it-IT" w:bidi="ar-SA"/>
    </w:rPr>
  </w:style>
  <w:style w:type="paragraph" w:styleId="Testofumetto">
    <w:name w:val="Balloon Text"/>
    <w:basedOn w:val="Normale"/>
    <w:link w:val="TestofumettoCarattere"/>
    <w:rsid w:val="008F3A6D"/>
    <w:rPr>
      <w:rFonts w:ascii="Tahoma" w:hAnsi="Tahoma" w:cs="Tahoma"/>
      <w:sz w:val="16"/>
      <w:szCs w:val="16"/>
    </w:rPr>
  </w:style>
  <w:style w:type="character" w:styleId="Rimandocommento">
    <w:name w:val="annotation reference"/>
    <w:rsid w:val="005633C0"/>
    <w:rPr>
      <w:sz w:val="16"/>
      <w:szCs w:val="16"/>
    </w:rPr>
  </w:style>
  <w:style w:type="paragraph" w:styleId="Testocommento">
    <w:name w:val="annotation text"/>
    <w:basedOn w:val="Normale"/>
    <w:link w:val="TestocommentoCarattere"/>
    <w:rsid w:val="005633C0"/>
    <w:rPr>
      <w:sz w:val="20"/>
    </w:rPr>
  </w:style>
  <w:style w:type="paragraph" w:styleId="Soggettocommento">
    <w:name w:val="annotation subject"/>
    <w:basedOn w:val="Testocommento"/>
    <w:next w:val="Testocommento"/>
    <w:link w:val="SoggettocommentoCarattere"/>
    <w:rsid w:val="005633C0"/>
    <w:rPr>
      <w:b/>
      <w:bCs/>
    </w:rPr>
  </w:style>
  <w:style w:type="character" w:customStyle="1" w:styleId="TestonotaapidipaginaCarattere3">
    <w:name w:val="Testo nota a piè di pagina Carattere3"/>
    <w:aliases w:val="Testo nota a piè di pagina Carattere Carattere,Testo nota a piè di pagina Carattere1 Carattere1,Testo nota a piè di pagina Carattere2 Carattere,Testo nota a piè di pagina Carattere Carattere1 Carattere"/>
    <w:link w:val="Testonotaapidipagina"/>
    <w:rsid w:val="006F4135"/>
    <w:rPr>
      <w:rFonts w:ascii="Arial" w:hAnsi="Arial"/>
      <w:sz w:val="18"/>
      <w:lang w:val="it-IT" w:eastAsia="it-IT" w:bidi="ar-SA"/>
    </w:rPr>
  </w:style>
  <w:style w:type="character" w:customStyle="1" w:styleId="Titolo1Carattere1">
    <w:name w:val="Titolo 1 Carattere1"/>
    <w:link w:val="Titolo1"/>
    <w:rsid w:val="00107446"/>
    <w:rPr>
      <w:rFonts w:ascii="Arial" w:hAnsi="Arial"/>
      <w:b/>
      <w:smallCaps/>
      <w:kern w:val="28"/>
      <w:sz w:val="26"/>
      <w:lang w:val="it-IT" w:eastAsia="it-IT" w:bidi="ar-SA"/>
    </w:rPr>
  </w:style>
  <w:style w:type="character" w:styleId="Enfasicorsivo">
    <w:name w:val="Emphasis"/>
    <w:uiPriority w:val="20"/>
    <w:qFormat/>
    <w:rsid w:val="004A24D7"/>
    <w:rPr>
      <w:i/>
      <w:iCs/>
    </w:rPr>
  </w:style>
  <w:style w:type="paragraph" w:customStyle="1" w:styleId="Testo">
    <w:name w:val="Testo"/>
    <w:aliases w:val="note a piè di pagina"/>
    <w:basedOn w:val="Normale"/>
    <w:rsid w:val="004A24D7"/>
    <w:pPr>
      <w:numPr>
        <w:numId w:val="6"/>
      </w:numPr>
      <w:outlineLvl w:val="0"/>
    </w:pPr>
  </w:style>
  <w:style w:type="character" w:customStyle="1" w:styleId="StileGrassetto">
    <w:name w:val="Stile Grassetto"/>
    <w:rsid w:val="00480024"/>
    <w:rPr>
      <w:rFonts w:ascii="Arial" w:hAnsi="Arial"/>
      <w:b/>
      <w:bCs/>
      <w:sz w:val="22"/>
    </w:rPr>
  </w:style>
  <w:style w:type="paragraph" w:customStyle="1" w:styleId="Normale1">
    <w:name w:val="Normale1"/>
    <w:link w:val="Normale1Carattere1"/>
    <w:rsid w:val="00AB0849"/>
    <w:pPr>
      <w:spacing w:after="120" w:line="360" w:lineRule="atLeast"/>
      <w:ind w:firstLine="284"/>
      <w:jc w:val="both"/>
    </w:pPr>
    <w:rPr>
      <w:rFonts w:ascii="Arial" w:hAnsi="Arial"/>
      <w:sz w:val="24"/>
    </w:rPr>
  </w:style>
  <w:style w:type="character" w:customStyle="1" w:styleId="Normale1Carattere1">
    <w:name w:val="Normale1 Carattere1"/>
    <w:link w:val="Normale1"/>
    <w:rsid w:val="00AB0849"/>
    <w:rPr>
      <w:rFonts w:ascii="Arial" w:hAnsi="Arial"/>
      <w:sz w:val="24"/>
      <w:lang w:val="it-IT" w:eastAsia="it-IT" w:bidi="ar-SA"/>
    </w:rPr>
  </w:style>
  <w:style w:type="paragraph" w:customStyle="1" w:styleId="provvr0">
    <w:name w:val="provv_r0"/>
    <w:basedOn w:val="Normale"/>
    <w:rsid w:val="000B0EDC"/>
    <w:pPr>
      <w:spacing w:before="100" w:beforeAutospacing="1" w:after="100" w:afterAutospacing="1" w:line="240" w:lineRule="auto"/>
      <w:ind w:firstLine="0"/>
      <w:jc w:val="left"/>
    </w:pPr>
    <w:rPr>
      <w:rFonts w:ascii="Times New Roman" w:hAnsi="Times New Roman"/>
      <w:sz w:val="24"/>
      <w:szCs w:val="24"/>
    </w:rPr>
  </w:style>
  <w:style w:type="character" w:customStyle="1" w:styleId="provvnumcomma">
    <w:name w:val="provv_numcomma"/>
    <w:basedOn w:val="Carpredefinitoparagrafo"/>
    <w:rsid w:val="000B0EDC"/>
  </w:style>
  <w:style w:type="character" w:customStyle="1" w:styleId="linkneltesto">
    <w:name w:val="link_nel_testo"/>
    <w:basedOn w:val="Carpredefinitoparagrafo"/>
    <w:rsid w:val="000B0EDC"/>
  </w:style>
  <w:style w:type="paragraph" w:customStyle="1" w:styleId="CarattereCarattereCarattereCarattereCarattere1Carattere">
    <w:name w:val="Carattere Carattere Carattere Carattere Carattere1 Carattere"/>
    <w:rsid w:val="0024162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customStyle="1" w:styleId="CarattereCarattere1Carattere">
    <w:name w:val="Carattere Carattere1 Carattere"/>
    <w:rsid w:val="009C143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character" w:customStyle="1" w:styleId="Titolo1Carattere">
    <w:name w:val="Titolo 1 Carattere"/>
    <w:rsid w:val="0066584F"/>
    <w:rPr>
      <w:rFonts w:ascii="Arial" w:hAnsi="Arial"/>
      <w:b/>
      <w:smallCaps/>
      <w:kern w:val="28"/>
      <w:sz w:val="26"/>
      <w:lang w:val="it-IT" w:eastAsia="it-IT" w:bidi="ar-SA"/>
    </w:rPr>
  </w:style>
  <w:style w:type="character" w:customStyle="1" w:styleId="Titolo3Carattere">
    <w:name w:val="Titolo 3 Carattere"/>
    <w:link w:val="Titolo3"/>
    <w:rsid w:val="00011373"/>
    <w:rPr>
      <w:rFonts w:ascii="Arial" w:hAnsi="Arial"/>
      <w:b/>
      <w:i/>
      <w:sz w:val="22"/>
      <w:lang w:val="it-IT" w:eastAsia="it-IT" w:bidi="ar-SA"/>
    </w:rPr>
  </w:style>
  <w:style w:type="paragraph" w:customStyle="1" w:styleId="puntielenco">
    <w:name w:val="punti elenco"/>
    <w:basedOn w:val="Normale"/>
    <w:rsid w:val="00ED61BC"/>
    <w:pPr>
      <w:numPr>
        <w:numId w:val="7"/>
      </w:numPr>
    </w:pPr>
  </w:style>
  <w:style w:type="character" w:customStyle="1" w:styleId="titolopdl">
    <w:name w:val="titolopdl"/>
    <w:basedOn w:val="Carpredefinitoparagrafo"/>
    <w:rsid w:val="00BB6EA7"/>
  </w:style>
  <w:style w:type="paragraph" w:customStyle="1" w:styleId="Collegamento">
    <w:name w:val="Collegamento"/>
    <w:basedOn w:val="IndirizzoHTML"/>
    <w:rsid w:val="00F95F26"/>
    <w:pPr>
      <w:spacing w:before="60" w:after="60"/>
      <w:ind w:firstLine="0"/>
      <w:contextualSpacing/>
      <w:jc w:val="center"/>
    </w:pPr>
    <w:rPr>
      <w:b/>
      <w:i w:val="0"/>
      <w:color w:val="0000FF"/>
      <w:szCs w:val="22"/>
    </w:rPr>
  </w:style>
  <w:style w:type="paragraph" w:customStyle="1" w:styleId="StileCentratoPrimariga0cm">
    <w:name w:val="Stile Centrato Prima riga: 0 cm"/>
    <w:basedOn w:val="Normale"/>
    <w:rsid w:val="00F95F26"/>
    <w:pPr>
      <w:spacing w:before="60" w:after="60"/>
      <w:ind w:firstLine="0"/>
      <w:contextualSpacing/>
      <w:jc w:val="center"/>
    </w:pPr>
  </w:style>
  <w:style w:type="paragraph" w:styleId="IndirizzoHTML">
    <w:name w:val="HTML Address"/>
    <w:basedOn w:val="Normale"/>
    <w:link w:val="IndirizzoHTMLCarattere"/>
    <w:rsid w:val="00F95F26"/>
    <w:rPr>
      <w:i/>
      <w:iCs/>
    </w:rPr>
  </w:style>
  <w:style w:type="character" w:customStyle="1" w:styleId="IndirizzoHTMLCarattere">
    <w:name w:val="Indirizzo HTML Carattere"/>
    <w:link w:val="IndirizzoHTML"/>
    <w:rsid w:val="00F95F26"/>
    <w:rPr>
      <w:rFonts w:ascii="Arial" w:hAnsi="Arial"/>
      <w:i/>
      <w:iCs/>
      <w:sz w:val="22"/>
    </w:rPr>
  </w:style>
  <w:style w:type="paragraph" w:styleId="Sottotitolo">
    <w:name w:val="Subtitle"/>
    <w:basedOn w:val="Normale"/>
    <w:next w:val="Normale"/>
    <w:link w:val="SottotitoloCarattere"/>
    <w:qFormat/>
    <w:rsid w:val="006E4713"/>
    <w:pPr>
      <w:spacing w:after="60"/>
      <w:jc w:val="center"/>
      <w:outlineLvl w:val="1"/>
    </w:pPr>
    <w:rPr>
      <w:rFonts w:ascii="Cambria" w:hAnsi="Cambria"/>
      <w:sz w:val="24"/>
      <w:szCs w:val="24"/>
    </w:rPr>
  </w:style>
  <w:style w:type="character" w:customStyle="1" w:styleId="SottotitoloCarattere">
    <w:name w:val="Sottotitolo Carattere"/>
    <w:link w:val="Sottotitolo"/>
    <w:rsid w:val="006E4713"/>
    <w:rPr>
      <w:rFonts w:ascii="Cambria" w:eastAsia="Times New Roman" w:hAnsi="Cambria" w:cs="Times New Roman"/>
      <w:sz w:val="24"/>
      <w:szCs w:val="24"/>
    </w:rPr>
  </w:style>
  <w:style w:type="character" w:customStyle="1" w:styleId="PidipaginaCarattere">
    <w:name w:val="Piè di pagina Carattere"/>
    <w:link w:val="Pidipagina"/>
    <w:uiPriority w:val="99"/>
    <w:rsid w:val="00E92A51"/>
    <w:rPr>
      <w:rFonts w:ascii="Arial" w:hAnsi="Arial"/>
      <w:sz w:val="22"/>
    </w:rPr>
  </w:style>
  <w:style w:type="character" w:customStyle="1" w:styleId="IntestazioneCarattere">
    <w:name w:val="Intestazione Carattere"/>
    <w:link w:val="Intestazione"/>
    <w:rsid w:val="00332C22"/>
    <w:rPr>
      <w:rFonts w:ascii="Arial" w:hAnsi="Arial"/>
      <w:sz w:val="22"/>
    </w:rPr>
  </w:style>
  <w:style w:type="paragraph" w:styleId="Paragrafoelenco">
    <w:name w:val="List Paragraph"/>
    <w:basedOn w:val="Normale"/>
    <w:uiPriority w:val="34"/>
    <w:qFormat/>
    <w:rsid w:val="00FA06F9"/>
    <w:pPr>
      <w:spacing w:before="60" w:after="60"/>
      <w:ind w:left="720"/>
      <w:contextualSpacing/>
    </w:pPr>
  </w:style>
  <w:style w:type="character" w:customStyle="1" w:styleId="Titolo2Carattere">
    <w:name w:val="Titolo 2 Carattere"/>
    <w:link w:val="Titolo2"/>
    <w:rsid w:val="000B33A8"/>
    <w:rPr>
      <w:rFonts w:ascii="Arial" w:hAnsi="Arial"/>
      <w:b/>
      <w:sz w:val="24"/>
    </w:rPr>
  </w:style>
  <w:style w:type="character" w:customStyle="1" w:styleId="Titolo4Carattere">
    <w:name w:val="Titolo 4 Carattere"/>
    <w:link w:val="Titolo4"/>
    <w:rsid w:val="000B33A8"/>
    <w:rPr>
      <w:rFonts w:ascii="Arial" w:hAnsi="Arial"/>
      <w:i/>
      <w:sz w:val="22"/>
    </w:rPr>
  </w:style>
  <w:style w:type="character" w:customStyle="1" w:styleId="Titolo5Carattere">
    <w:name w:val="Titolo 5 Carattere"/>
    <w:link w:val="Titolo5"/>
    <w:rsid w:val="000B33A8"/>
    <w:rPr>
      <w:rFonts w:ascii="Arial" w:hAnsi="Arial"/>
      <w:sz w:val="22"/>
      <w:u w:val="single"/>
    </w:rPr>
  </w:style>
  <w:style w:type="character" w:customStyle="1" w:styleId="Titolo6Carattere">
    <w:name w:val="Titolo 6 Carattere"/>
    <w:link w:val="Titolo6"/>
    <w:rsid w:val="000B33A8"/>
    <w:rPr>
      <w:i/>
      <w:sz w:val="22"/>
    </w:rPr>
  </w:style>
  <w:style w:type="character" w:customStyle="1" w:styleId="Titolo7Carattere">
    <w:name w:val="Titolo 7 Carattere"/>
    <w:link w:val="Titolo7"/>
    <w:rsid w:val="000B33A8"/>
    <w:rPr>
      <w:rFonts w:ascii="Arial" w:hAnsi="Arial"/>
    </w:rPr>
  </w:style>
  <w:style w:type="character" w:customStyle="1" w:styleId="Titolo8Carattere">
    <w:name w:val="Titolo 8 Carattere"/>
    <w:link w:val="Titolo8"/>
    <w:rsid w:val="000B33A8"/>
    <w:rPr>
      <w:rFonts w:ascii="Arial" w:hAnsi="Arial"/>
      <w:i/>
    </w:rPr>
  </w:style>
  <w:style w:type="character" w:customStyle="1" w:styleId="Titolo9Carattere">
    <w:name w:val="Titolo 9 Carattere"/>
    <w:link w:val="Titolo9"/>
    <w:rsid w:val="000B33A8"/>
    <w:rPr>
      <w:rFonts w:ascii="Arial" w:hAnsi="Arial"/>
      <w:b/>
      <w:i/>
      <w:sz w:val="18"/>
    </w:rPr>
  </w:style>
  <w:style w:type="character" w:customStyle="1" w:styleId="MappadocumentoCarattere">
    <w:name w:val="Mappa documento Carattere"/>
    <w:link w:val="Mappadocumento"/>
    <w:rsid w:val="000B33A8"/>
    <w:rPr>
      <w:rFonts w:ascii="Tahoma" w:hAnsi="Tahoma"/>
      <w:sz w:val="22"/>
      <w:shd w:val="clear" w:color="auto" w:fill="000080"/>
    </w:rPr>
  </w:style>
  <w:style w:type="character" w:customStyle="1" w:styleId="IntestazionemessaggioCarattere">
    <w:name w:val="Intestazione messaggio Carattere"/>
    <w:link w:val="Intestazionemessaggio"/>
    <w:rsid w:val="000B33A8"/>
    <w:rPr>
      <w:rFonts w:ascii="Arial" w:hAnsi="Arial"/>
      <w:spacing w:val="-5"/>
      <w:sz w:val="22"/>
    </w:rPr>
  </w:style>
  <w:style w:type="character" w:customStyle="1" w:styleId="RientrocorpodeltestoCarattere">
    <w:name w:val="Rientro corpo del testo Carattere"/>
    <w:link w:val="Rientrocorpodeltesto"/>
    <w:rsid w:val="000B33A8"/>
    <w:rPr>
      <w:rFonts w:ascii="Arial" w:hAnsi="Arial"/>
      <w:sz w:val="22"/>
    </w:rPr>
  </w:style>
  <w:style w:type="character" w:customStyle="1" w:styleId="CorpotestoCarattere">
    <w:name w:val="Corpo testo Carattere"/>
    <w:link w:val="Corpotesto"/>
    <w:rsid w:val="000B33A8"/>
    <w:rPr>
      <w:rFonts w:ascii="Arial" w:hAnsi="Arial"/>
      <w:sz w:val="22"/>
    </w:rPr>
  </w:style>
  <w:style w:type="character" w:customStyle="1" w:styleId="Rientrocorpodeltesto2Carattere">
    <w:name w:val="Rientro corpo del testo 2 Carattere"/>
    <w:link w:val="Rientrocorpodeltesto2"/>
    <w:rsid w:val="000B33A8"/>
    <w:rPr>
      <w:rFonts w:ascii="Arial" w:hAnsi="Arial"/>
      <w:sz w:val="22"/>
    </w:rPr>
  </w:style>
  <w:style w:type="character" w:customStyle="1" w:styleId="Iniziomodulo-zCarattere">
    <w:name w:val="Inizio modulo -z Carattere"/>
    <w:link w:val="Iniziomodulo-z"/>
    <w:rsid w:val="000B33A8"/>
    <w:rPr>
      <w:rFonts w:ascii="Arial" w:hAnsi="Arial" w:cs="Arial"/>
      <w:vanish/>
      <w:sz w:val="16"/>
      <w:szCs w:val="16"/>
    </w:rPr>
  </w:style>
  <w:style w:type="character" w:customStyle="1" w:styleId="Finemodulo-zCarattere">
    <w:name w:val="Fine modulo -z Carattere"/>
    <w:link w:val="Finemodulo-z"/>
    <w:rsid w:val="000B33A8"/>
    <w:rPr>
      <w:rFonts w:ascii="Arial" w:hAnsi="Arial" w:cs="Arial"/>
      <w:vanish/>
      <w:sz w:val="16"/>
      <w:szCs w:val="16"/>
    </w:rPr>
  </w:style>
  <w:style w:type="character" w:customStyle="1" w:styleId="titolo2articolo0">
    <w:name w:val="titolo 2(articolo)"/>
    <w:rsid w:val="000B33A8"/>
  </w:style>
  <w:style w:type="paragraph" w:customStyle="1" w:styleId="NOWEB01">
    <w:name w:val="NOWEB01"/>
    <w:basedOn w:val="NOWEB"/>
    <w:rsid w:val="000B33A8"/>
    <w:pPr>
      <w:spacing w:before="60" w:after="60"/>
      <w:ind w:firstLine="0"/>
      <w:contextualSpacing/>
      <w:jc w:val="center"/>
    </w:pPr>
    <w:rPr>
      <w:effect w:val="antsRed"/>
      <w:lang w:val="es-ES"/>
    </w:rPr>
  </w:style>
  <w:style w:type="paragraph" w:customStyle="1" w:styleId="NOWEB02">
    <w:name w:val="NOWEB02"/>
    <w:basedOn w:val="NOWEB"/>
    <w:rsid w:val="000B33A8"/>
    <w:pPr>
      <w:spacing w:before="60" w:after="60"/>
      <w:ind w:firstLine="0"/>
      <w:contextualSpacing/>
      <w:jc w:val="center"/>
    </w:pPr>
    <w:rPr>
      <w:effect w:val="antsRed"/>
      <w:lang w:val="es-ES"/>
    </w:rPr>
  </w:style>
  <w:style w:type="paragraph" w:customStyle="1" w:styleId="NOWEB03">
    <w:name w:val="NOWEB03"/>
    <w:basedOn w:val="NOWEB"/>
    <w:rsid w:val="000B33A8"/>
    <w:pPr>
      <w:spacing w:before="60" w:after="60"/>
      <w:ind w:firstLine="0"/>
      <w:contextualSpacing/>
      <w:jc w:val="center"/>
    </w:pPr>
    <w:rPr>
      <w:effect w:val="antsRed"/>
      <w:lang w:val="es-ES"/>
    </w:rPr>
  </w:style>
  <w:style w:type="paragraph" w:customStyle="1" w:styleId="NOWEB04">
    <w:name w:val="NOWEB04"/>
    <w:basedOn w:val="NOWEB"/>
    <w:rsid w:val="000B33A8"/>
    <w:pPr>
      <w:spacing w:before="60" w:after="60"/>
      <w:ind w:firstLine="0"/>
      <w:contextualSpacing/>
      <w:jc w:val="center"/>
    </w:pPr>
    <w:rPr>
      <w:effect w:val="antsRed"/>
      <w:lang w:val="es-ES"/>
    </w:rPr>
  </w:style>
  <w:style w:type="paragraph" w:customStyle="1" w:styleId="NOWEB05">
    <w:name w:val="NOWEB05"/>
    <w:basedOn w:val="NOWEB"/>
    <w:rsid w:val="000B33A8"/>
    <w:pPr>
      <w:spacing w:before="60" w:after="60"/>
      <w:ind w:firstLine="0"/>
      <w:contextualSpacing/>
      <w:jc w:val="center"/>
    </w:pPr>
    <w:rPr>
      <w:effect w:val="antsRed"/>
      <w:lang w:val="es-ES"/>
    </w:rPr>
  </w:style>
  <w:style w:type="paragraph" w:customStyle="1" w:styleId="NOWEB06">
    <w:name w:val="NOWEB06"/>
    <w:basedOn w:val="NOWEB"/>
    <w:rsid w:val="000B33A8"/>
    <w:pPr>
      <w:spacing w:before="60" w:after="60"/>
      <w:ind w:firstLine="0"/>
      <w:contextualSpacing/>
      <w:jc w:val="center"/>
    </w:pPr>
    <w:rPr>
      <w:effect w:val="antsRed"/>
      <w:lang w:val="es-ES"/>
    </w:rPr>
  </w:style>
  <w:style w:type="paragraph" w:customStyle="1" w:styleId="NOWEB07">
    <w:name w:val="NOWEB07"/>
    <w:basedOn w:val="NOWEB"/>
    <w:rsid w:val="000B33A8"/>
    <w:pPr>
      <w:spacing w:before="60" w:after="60"/>
      <w:ind w:firstLine="0"/>
      <w:contextualSpacing/>
      <w:jc w:val="center"/>
    </w:pPr>
    <w:rPr>
      <w:effect w:val="antsRed"/>
      <w:lang w:val="es-ES"/>
    </w:rPr>
  </w:style>
  <w:style w:type="paragraph" w:customStyle="1" w:styleId="NOWEB08">
    <w:name w:val="NOWEB08"/>
    <w:basedOn w:val="NOWEB"/>
    <w:rsid w:val="000B33A8"/>
    <w:pPr>
      <w:spacing w:before="60" w:after="60"/>
      <w:ind w:firstLine="0"/>
      <w:contextualSpacing/>
      <w:jc w:val="center"/>
    </w:pPr>
    <w:rPr>
      <w:effect w:val="antsRed"/>
      <w:lang w:val="es-ES"/>
    </w:rPr>
  </w:style>
  <w:style w:type="paragraph" w:customStyle="1" w:styleId="SIWEB01">
    <w:name w:val="SIWEB01"/>
    <w:basedOn w:val="SIWEB"/>
    <w:rsid w:val="000B33A8"/>
    <w:pPr>
      <w:spacing w:before="60" w:after="60"/>
      <w:ind w:right="0" w:firstLine="0"/>
      <w:contextualSpacing/>
      <w:jc w:val="center"/>
    </w:pPr>
    <w:rPr>
      <w:lang w:val="es-ES"/>
    </w:rPr>
  </w:style>
  <w:style w:type="paragraph" w:customStyle="1" w:styleId="SIWEB02">
    <w:name w:val="SIWEB02"/>
    <w:basedOn w:val="SIWEB"/>
    <w:rsid w:val="000B33A8"/>
    <w:pPr>
      <w:spacing w:before="60" w:after="60"/>
      <w:ind w:right="0" w:firstLine="0"/>
      <w:contextualSpacing/>
      <w:jc w:val="center"/>
    </w:pPr>
    <w:rPr>
      <w:lang w:val="es-ES"/>
    </w:rPr>
  </w:style>
  <w:style w:type="paragraph" w:customStyle="1" w:styleId="SIWEB03">
    <w:name w:val="SIWEB03"/>
    <w:basedOn w:val="SIWEB"/>
    <w:rsid w:val="000B33A8"/>
    <w:pPr>
      <w:spacing w:before="60" w:after="60"/>
      <w:ind w:right="0" w:firstLine="0"/>
      <w:contextualSpacing/>
      <w:jc w:val="center"/>
    </w:pPr>
    <w:rPr>
      <w:lang w:val="es-ES"/>
    </w:rPr>
  </w:style>
  <w:style w:type="paragraph" w:customStyle="1" w:styleId="SIWEB04">
    <w:name w:val="SIWEB04"/>
    <w:basedOn w:val="SIWEB"/>
    <w:rsid w:val="000B33A8"/>
    <w:pPr>
      <w:spacing w:before="60" w:after="60"/>
      <w:ind w:right="0" w:firstLine="0"/>
      <w:contextualSpacing/>
      <w:jc w:val="center"/>
    </w:pPr>
    <w:rPr>
      <w:lang w:val="es-ES"/>
    </w:rPr>
  </w:style>
  <w:style w:type="paragraph" w:customStyle="1" w:styleId="SIWEB05">
    <w:name w:val="SIWEB05"/>
    <w:basedOn w:val="SIWEB"/>
    <w:rsid w:val="000B33A8"/>
    <w:pPr>
      <w:spacing w:before="60" w:after="60"/>
      <w:ind w:right="0" w:firstLine="0"/>
      <w:contextualSpacing/>
      <w:jc w:val="center"/>
    </w:pPr>
    <w:rPr>
      <w:lang w:val="es-ES"/>
    </w:rPr>
  </w:style>
  <w:style w:type="paragraph" w:customStyle="1" w:styleId="SIWEB06">
    <w:name w:val="SIWEB06"/>
    <w:basedOn w:val="SIWEB"/>
    <w:rsid w:val="000B33A8"/>
    <w:pPr>
      <w:spacing w:before="60" w:after="60"/>
      <w:ind w:right="0" w:firstLine="0"/>
      <w:contextualSpacing/>
      <w:jc w:val="center"/>
    </w:pPr>
    <w:rPr>
      <w:lang w:val="es-ES"/>
    </w:rPr>
  </w:style>
  <w:style w:type="paragraph" w:customStyle="1" w:styleId="SIWEB07">
    <w:name w:val="SIWEB07"/>
    <w:basedOn w:val="SIWEB"/>
    <w:rsid w:val="000B33A8"/>
    <w:pPr>
      <w:spacing w:before="60" w:after="60"/>
      <w:ind w:right="0" w:firstLine="0"/>
      <w:contextualSpacing/>
      <w:jc w:val="center"/>
    </w:pPr>
    <w:rPr>
      <w:lang w:val="es-ES"/>
    </w:rPr>
  </w:style>
  <w:style w:type="paragraph" w:customStyle="1" w:styleId="SIWEB08">
    <w:name w:val="SIWEB08"/>
    <w:basedOn w:val="SIWEB"/>
    <w:rsid w:val="000B33A8"/>
    <w:pPr>
      <w:spacing w:before="60" w:after="60"/>
      <w:ind w:right="0" w:firstLine="0"/>
      <w:contextualSpacing/>
      <w:jc w:val="center"/>
    </w:pPr>
    <w:rPr>
      <w:lang w:val="es-ES"/>
    </w:rPr>
  </w:style>
  <w:style w:type="paragraph" w:customStyle="1" w:styleId="SOMMARIO-NOINTERNET11">
    <w:name w:val="SOMMARIO - NOINTERNET11"/>
    <w:rsid w:val="000B33A8"/>
    <w:pPr>
      <w:spacing w:line="300" w:lineRule="atLeast"/>
      <w:ind w:firstLine="284"/>
      <w:jc w:val="both"/>
    </w:pPr>
    <w:rPr>
      <w:rFonts w:ascii="Arial" w:hAnsi="Arial"/>
      <w:sz w:val="22"/>
    </w:rPr>
  </w:style>
  <w:style w:type="character" w:customStyle="1" w:styleId="CAMCOMMX-XIII">
    <w:name w:val="CAM_COMM_X - XIII"/>
    <w:rsid w:val="000B33A8"/>
  </w:style>
  <w:style w:type="character" w:customStyle="1" w:styleId="CAMCOMMX-XIII0">
    <w:name w:val="CAM_COMM_X-XIII"/>
    <w:rsid w:val="000B33A8"/>
  </w:style>
  <w:style w:type="character" w:customStyle="1" w:styleId="CAMCOMMRIUO1">
    <w:name w:val="CAM_COMM_RIU_O1"/>
    <w:rsid w:val="000B33A8"/>
  </w:style>
  <w:style w:type="character" w:customStyle="1" w:styleId="CAMCOMMRIU02">
    <w:name w:val="CAM_COMM_RIU_02"/>
    <w:rsid w:val="000B33A8"/>
  </w:style>
  <w:style w:type="character" w:customStyle="1" w:styleId="commcamdata">
    <w:name w:val="comm_cam_data"/>
    <w:rsid w:val="000B33A8"/>
    <w:rPr>
      <w:rFonts w:ascii="Times New Roman" w:hAnsi="Times New Roman"/>
      <w:i/>
      <w:iCs/>
      <w:sz w:val="24"/>
      <w:szCs w:val="24"/>
    </w:rPr>
  </w:style>
  <w:style w:type="paragraph" w:customStyle="1" w:styleId="Senatodata">
    <w:name w:val="Senato data"/>
    <w:basedOn w:val="SENCOMMdata"/>
    <w:rsid w:val="000B33A8"/>
    <w:pPr>
      <w:contextualSpacing/>
    </w:pPr>
    <w:rPr>
      <w:sz w:val="22"/>
      <w:szCs w:val="22"/>
    </w:rPr>
  </w:style>
  <w:style w:type="paragraph" w:customStyle="1" w:styleId="Tabellamio">
    <w:name w:val="Tabella mio"/>
    <w:basedOn w:val="Ridotto"/>
    <w:rsid w:val="000B33A8"/>
    <w:pPr>
      <w:spacing w:before="60" w:after="60" w:line="240" w:lineRule="auto"/>
      <w:ind w:left="57" w:right="57" w:firstLine="0"/>
      <w:contextualSpacing/>
    </w:pPr>
    <w:rPr>
      <w:rFonts w:cs="Arial"/>
      <w:sz w:val="10"/>
    </w:rPr>
  </w:style>
  <w:style w:type="paragraph" w:customStyle="1" w:styleId="Tabellaremio">
    <w:name w:val="Tabellare mio"/>
    <w:basedOn w:val="Normale"/>
    <w:rsid w:val="000B33A8"/>
    <w:pPr>
      <w:spacing w:before="60" w:after="60" w:line="240" w:lineRule="auto"/>
      <w:ind w:left="57" w:right="57"/>
      <w:contextualSpacing/>
    </w:pPr>
    <w:rPr>
      <w:rFonts w:cs="Arial"/>
      <w:sz w:val="20"/>
    </w:rPr>
  </w:style>
  <w:style w:type="paragraph" w:customStyle="1" w:styleId="Titolo2-nosomm">
    <w:name w:val="Titolo 2 - no somm"/>
    <w:basedOn w:val="Normale"/>
    <w:next w:val="Normale"/>
    <w:rsid w:val="000B33A8"/>
    <w:pPr>
      <w:widowControl w:val="0"/>
      <w:spacing w:before="480" w:after="240"/>
      <w:contextualSpacing/>
    </w:pPr>
    <w:rPr>
      <w:b/>
      <w:sz w:val="24"/>
      <w:szCs w:val="24"/>
    </w:rPr>
  </w:style>
  <w:style w:type="paragraph" w:customStyle="1" w:styleId="Titolo2articolo-sommario5">
    <w:name w:val="Titolo 2(articolo - sommario 5)"/>
    <w:basedOn w:val="Titolo2"/>
    <w:rsid w:val="000B33A8"/>
    <w:pPr>
      <w:ind w:left="0" w:firstLine="0"/>
      <w:contextualSpacing/>
      <w:jc w:val="left"/>
      <w:outlineLvl w:val="4"/>
    </w:pPr>
    <w:rPr>
      <w:szCs w:val="24"/>
    </w:rPr>
  </w:style>
  <w:style w:type="paragraph" w:customStyle="1" w:styleId="Sommario5bis">
    <w:name w:val="Sommario 5bis"/>
    <w:basedOn w:val="Sommario5"/>
    <w:rsid w:val="000B33A8"/>
    <w:pPr>
      <w:numPr>
        <w:numId w:val="17"/>
      </w:numPr>
      <w:contextualSpacing/>
    </w:pPr>
    <w:rPr>
      <w:szCs w:val="22"/>
    </w:rPr>
  </w:style>
  <w:style w:type="paragraph" w:customStyle="1" w:styleId="1">
    <w:name w:val="1"/>
    <w:rsid w:val="000B33A8"/>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character" w:customStyle="1" w:styleId="TestofumettoCarattere">
    <w:name w:val="Testo fumetto Carattere"/>
    <w:link w:val="Testofumetto"/>
    <w:rsid w:val="000B33A8"/>
    <w:rPr>
      <w:rFonts w:ascii="Tahoma" w:hAnsi="Tahoma" w:cs="Tahoma"/>
      <w:sz w:val="16"/>
      <w:szCs w:val="16"/>
    </w:rPr>
  </w:style>
  <w:style w:type="paragraph" w:customStyle="1" w:styleId="CopertinaServizio2">
    <w:name w:val="Copertina/Servizio2"/>
    <w:basedOn w:val="Titolo2"/>
    <w:rsid w:val="000B33A8"/>
    <w:pPr>
      <w:spacing w:before="120" w:line="240" w:lineRule="auto"/>
      <w:contextualSpacing/>
      <w:jc w:val="center"/>
    </w:pPr>
    <w:rPr>
      <w:smallCaps/>
      <w:spacing w:val="20"/>
      <w:sz w:val="30"/>
    </w:rPr>
  </w:style>
  <w:style w:type="paragraph" w:customStyle="1" w:styleId="CopertinaServizio3">
    <w:name w:val="Copertina/Servizio3"/>
    <w:basedOn w:val="Normale"/>
    <w:rsid w:val="000B33A8"/>
    <w:pPr>
      <w:spacing w:before="60" w:after="60"/>
      <w:contextualSpacing/>
      <w:jc w:val="center"/>
    </w:pPr>
    <w:rPr>
      <w:b/>
      <w:smallCaps/>
      <w:spacing w:val="20"/>
      <w:sz w:val="28"/>
    </w:rPr>
  </w:style>
  <w:style w:type="paragraph" w:customStyle="1" w:styleId="CopertinaServizio4">
    <w:name w:val="Copertina/Servizio4"/>
    <w:basedOn w:val="Normale"/>
    <w:rsid w:val="000B33A8"/>
    <w:pPr>
      <w:spacing w:before="60" w:after="60"/>
      <w:contextualSpacing/>
      <w:jc w:val="center"/>
    </w:pPr>
    <w:rPr>
      <w:b/>
      <w:smallCaps/>
      <w:spacing w:val="20"/>
      <w:sz w:val="24"/>
    </w:rPr>
  </w:style>
  <w:style w:type="paragraph" w:customStyle="1" w:styleId="CopertinaSottotitolo">
    <w:name w:val="Copertina/Sottotitolo"/>
    <w:basedOn w:val="CopertinaAtto"/>
    <w:rsid w:val="000B33A8"/>
    <w:pPr>
      <w:spacing w:after="60"/>
      <w:contextualSpacing/>
    </w:pPr>
    <w:rPr>
      <w:i/>
      <w:sz w:val="26"/>
    </w:rPr>
  </w:style>
  <w:style w:type="paragraph" w:customStyle="1" w:styleId="COSTITUZIONALITA-indiceautomat">
    <w:name w:val="COSTITUZIONALITA'-indice automat"/>
    <w:rsid w:val="000B33A8"/>
    <w:pPr>
      <w:spacing w:line="300" w:lineRule="atLeast"/>
      <w:ind w:firstLine="284"/>
      <w:jc w:val="both"/>
    </w:pPr>
    <w:rPr>
      <w:rFonts w:ascii="Arial" w:hAnsi="Arial"/>
      <w:sz w:val="22"/>
    </w:rPr>
  </w:style>
  <w:style w:type="paragraph" w:customStyle="1" w:styleId="Data1">
    <w:name w:val="Data1"/>
    <w:basedOn w:val="Normale"/>
    <w:rsid w:val="000B33A8"/>
    <w:pPr>
      <w:spacing w:before="360" w:after="60" w:line="240" w:lineRule="auto"/>
      <w:ind w:firstLine="0"/>
      <w:contextualSpacing/>
      <w:jc w:val="left"/>
    </w:pPr>
    <w:rPr>
      <w:sz w:val="28"/>
    </w:rPr>
  </w:style>
  <w:style w:type="paragraph" w:customStyle="1" w:styleId="From">
    <w:name w:val="From"/>
    <w:basedOn w:val="Normale"/>
    <w:rsid w:val="000B33A8"/>
    <w:pPr>
      <w:spacing w:before="360" w:after="60" w:line="240" w:lineRule="auto"/>
      <w:ind w:firstLine="0"/>
      <w:contextualSpacing/>
      <w:jc w:val="left"/>
    </w:pPr>
    <w:rPr>
      <w:sz w:val="36"/>
    </w:rPr>
  </w:style>
  <w:style w:type="paragraph" w:customStyle="1" w:styleId="index">
    <w:name w:val="index"/>
    <w:rsid w:val="000B33A8"/>
    <w:pPr>
      <w:spacing w:line="300" w:lineRule="atLeast"/>
      <w:ind w:firstLine="284"/>
      <w:jc w:val="both"/>
    </w:pPr>
    <w:rPr>
      <w:rFonts w:ascii="Arial" w:hAnsi="Arial"/>
      <w:sz w:val="22"/>
    </w:rPr>
  </w:style>
  <w:style w:type="paragraph" w:customStyle="1" w:styleId="indice1">
    <w:name w:val="indice1"/>
    <w:basedOn w:val="Normale"/>
    <w:rsid w:val="000B33A8"/>
    <w:pPr>
      <w:tabs>
        <w:tab w:val="left" w:leader="dot" w:pos="7371"/>
        <w:tab w:val="center" w:pos="7938"/>
        <w:tab w:val="right" w:pos="8505"/>
      </w:tabs>
      <w:spacing w:before="240" w:after="240" w:line="240" w:lineRule="auto"/>
      <w:ind w:left="567" w:firstLine="0"/>
      <w:contextualSpacing/>
      <w:jc w:val="left"/>
    </w:pPr>
    <w:rPr>
      <w:rFonts w:ascii="CG Times" w:hAnsi="CG Times"/>
      <w:noProof/>
      <w:sz w:val="24"/>
    </w:rPr>
  </w:style>
  <w:style w:type="paragraph" w:customStyle="1" w:styleId="indice2">
    <w:name w:val="indice2"/>
    <w:basedOn w:val="indice1"/>
    <w:rsid w:val="000B33A8"/>
    <w:pPr>
      <w:spacing w:after="0"/>
      <w:ind w:left="851"/>
    </w:pPr>
  </w:style>
  <w:style w:type="paragraph" w:customStyle="1" w:styleId="indice3">
    <w:name w:val="indice3"/>
    <w:basedOn w:val="indice2"/>
    <w:rsid w:val="000B33A8"/>
    <w:pPr>
      <w:spacing w:before="120"/>
      <w:ind w:left="1276" w:right="-568" w:hanging="426"/>
      <w:jc w:val="both"/>
    </w:pPr>
  </w:style>
  <w:style w:type="paragraph" w:customStyle="1" w:styleId="intestazioneComitatolegislazione">
    <w:name w:val="intestazione Comitato legislazione"/>
    <w:basedOn w:val="Intestazione"/>
    <w:rsid w:val="000B33A8"/>
    <w:pPr>
      <w:pBdr>
        <w:bottom w:val="single" w:sz="6" w:space="1" w:color="auto"/>
      </w:pBdr>
      <w:tabs>
        <w:tab w:val="clear" w:pos="3969"/>
      </w:tabs>
      <w:spacing w:before="60" w:after="60"/>
      <w:ind w:right="56" w:firstLine="0"/>
      <w:contextualSpacing/>
      <w:jc w:val="center"/>
    </w:pPr>
    <w:rPr>
      <w:i/>
    </w:rPr>
  </w:style>
  <w:style w:type="paragraph" w:customStyle="1" w:styleId="intestazionedispari0">
    <w:name w:val="intestazione dispari"/>
    <w:basedOn w:val="Normale"/>
    <w:rsid w:val="000B33A8"/>
    <w:pPr>
      <w:pBdr>
        <w:bottom w:val="single" w:sz="4" w:space="1" w:color="auto"/>
      </w:pBdr>
      <w:spacing w:before="60" w:after="60"/>
      <w:ind w:firstLine="0"/>
      <w:contextualSpacing/>
      <w:jc w:val="right"/>
    </w:pPr>
    <w:rPr>
      <w:smallCaps/>
      <w:sz w:val="18"/>
    </w:rPr>
  </w:style>
  <w:style w:type="paragraph" w:customStyle="1" w:styleId="NumeroattoComitatoLegislazione">
    <w:name w:val="Numero atto (Comitato Legislazione)"/>
    <w:basedOn w:val="Normale"/>
    <w:rsid w:val="000B33A8"/>
    <w:pPr>
      <w:spacing w:before="180" w:after="60"/>
      <w:ind w:left="284" w:right="284" w:firstLine="0"/>
      <w:contextualSpacing/>
      <w:jc w:val="center"/>
    </w:pPr>
    <w:rPr>
      <w:i/>
      <w:sz w:val="28"/>
    </w:rPr>
  </w:style>
  <w:style w:type="paragraph" w:customStyle="1" w:styleId="Pages">
    <w:name w:val="Pages"/>
    <w:basedOn w:val="Normale"/>
    <w:rsid w:val="000B33A8"/>
    <w:pPr>
      <w:spacing w:before="60" w:after="60" w:line="240" w:lineRule="auto"/>
      <w:ind w:firstLine="0"/>
      <w:contextualSpacing/>
      <w:jc w:val="left"/>
    </w:pPr>
    <w:rPr>
      <w:sz w:val="28"/>
    </w:rPr>
  </w:style>
  <w:style w:type="paragraph" w:customStyle="1" w:styleId="PDL-IndiceautomaticoSCHEDE">
    <w:name w:val="PDL - Indice automatico SCHEDE"/>
    <w:rsid w:val="000B33A8"/>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0B33A8"/>
    <w:pPr>
      <w:spacing w:before="60"/>
      <w:contextualSpacing/>
    </w:pPr>
  </w:style>
  <w:style w:type="paragraph" w:customStyle="1" w:styleId="SCHEDE-indiceautomatico">
    <w:name w:val="SCHEDE - indice automatico"/>
    <w:rsid w:val="000B33A8"/>
    <w:rPr>
      <w:noProof/>
      <w:sz w:val="3276"/>
    </w:rPr>
  </w:style>
  <w:style w:type="paragraph" w:customStyle="1" w:styleId="SCHEDE-ARTICOLO">
    <w:name w:val="SCHEDE-ARTICOLO"/>
    <w:basedOn w:val="Normale"/>
    <w:rsid w:val="000B33A8"/>
    <w:pPr>
      <w:spacing w:before="60" w:after="60"/>
      <w:ind w:firstLine="0"/>
      <w:contextualSpacing/>
      <w:jc w:val="center"/>
      <w:outlineLvl w:val="2"/>
    </w:pPr>
    <w:rPr>
      <w:b/>
    </w:rPr>
  </w:style>
  <w:style w:type="paragraph" w:customStyle="1" w:styleId="Ultimointestazionemessaggio">
    <w:name w:val="Ultimo intestazione messaggio"/>
    <w:basedOn w:val="Intestazionemessaggio"/>
    <w:next w:val="Normale"/>
    <w:rsid w:val="000B33A8"/>
    <w:pPr>
      <w:pBdr>
        <w:bottom w:val="single" w:sz="6" w:space="19" w:color="auto"/>
        <w:between w:val="single" w:sz="6" w:space="19" w:color="auto"/>
      </w:pBdr>
      <w:tabs>
        <w:tab w:val="left" w:pos="1267"/>
        <w:tab w:val="left" w:pos="2938"/>
      </w:tabs>
      <w:spacing w:before="120" w:after="120"/>
      <w:ind w:left="0" w:firstLine="0"/>
      <w:contextualSpacing/>
    </w:pPr>
  </w:style>
  <w:style w:type="character" w:customStyle="1" w:styleId="CAM-ASS-SEDUTADI-carattere">
    <w:name w:val="CAM-ASS-SEDUTA DI-carattere"/>
    <w:rsid w:val="000B33A8"/>
    <w:rPr>
      <w:rFonts w:ascii="Garamond" w:hAnsi="Garamond"/>
      <w:caps w:val="0"/>
      <w:spacing w:val="20"/>
      <w:w w:val="66"/>
      <w:sz w:val="48"/>
      <w:lang w:val="it-IT" w:eastAsia="it-IT" w:bidi="ar-SA"/>
    </w:rPr>
  </w:style>
  <w:style w:type="paragraph" w:customStyle="1" w:styleId="XVIcopertinaAC">
    <w:name w:val="XVI_copertina_AC"/>
    <w:basedOn w:val="Normale"/>
    <w:rsid w:val="000B33A8"/>
    <w:pPr>
      <w:spacing w:before="60" w:after="60" w:line="240" w:lineRule="auto"/>
      <w:ind w:firstLine="0"/>
      <w:contextualSpacing/>
      <w:jc w:val="center"/>
    </w:pPr>
    <w:rPr>
      <w:rFonts w:cs="Arial"/>
      <w:b/>
      <w:color w:val="FFFFFF"/>
      <w:sz w:val="26"/>
      <w:szCs w:val="26"/>
      <w:lang w:eastAsia="en-US"/>
    </w:rPr>
  </w:style>
  <w:style w:type="paragraph" w:customStyle="1" w:styleId="XVICopertinatitolo">
    <w:name w:val="XVI_Copertina_titolo"/>
    <w:basedOn w:val="XV-CopertinaTitolo"/>
    <w:rsid w:val="000B33A8"/>
    <w:pPr>
      <w:spacing w:before="0" w:after="60"/>
      <w:contextualSpacing/>
    </w:pPr>
    <w:rPr>
      <w:b/>
      <w:color w:val="FFFFFF"/>
      <w:spacing w:val="10"/>
      <w:sz w:val="26"/>
      <w:szCs w:val="26"/>
    </w:rPr>
  </w:style>
  <w:style w:type="paragraph" w:customStyle="1" w:styleId="Titolo1sintesi0">
    <w:name w:val="Titolo 1_sintesi"/>
    <w:basedOn w:val="Titolo1"/>
    <w:next w:val="ACsintesi"/>
    <w:rsid w:val="000B33A8"/>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0B33A8"/>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0B33A8"/>
    <w:pPr>
      <w:keepNext/>
      <w:keepLines/>
      <w:spacing w:before="60" w:after="60" w:line="240" w:lineRule="atLeast"/>
      <w:ind w:firstLine="0"/>
      <w:contextualSpacing/>
    </w:pPr>
    <w:rPr>
      <w:sz w:val="18"/>
      <w:szCs w:val="18"/>
    </w:rPr>
  </w:style>
  <w:style w:type="paragraph" w:customStyle="1" w:styleId="Titolo2sintesi">
    <w:name w:val="Titolo 2_sintesi"/>
    <w:basedOn w:val="Titolo2"/>
    <w:next w:val="Normalesintesi"/>
    <w:rsid w:val="000B33A8"/>
    <w:pPr>
      <w:spacing w:before="0" w:after="120" w:line="240" w:lineRule="atLeast"/>
      <w:ind w:left="0" w:firstLine="0"/>
      <w:contextualSpacing/>
      <w:jc w:val="left"/>
    </w:pPr>
    <w:rPr>
      <w:rFonts w:cs="Arial"/>
      <w:bCs/>
      <w:iCs/>
      <w:color w:val="000066"/>
      <w:szCs w:val="22"/>
    </w:rPr>
  </w:style>
  <w:style w:type="paragraph" w:customStyle="1" w:styleId="Titolo3sintesi">
    <w:name w:val="Titolo 3_sintesi"/>
    <w:basedOn w:val="Titolo3"/>
    <w:next w:val="Normalesintesi"/>
    <w:rsid w:val="000B33A8"/>
    <w:pPr>
      <w:spacing w:before="60" w:after="60" w:line="240" w:lineRule="atLeast"/>
      <w:ind w:left="284" w:firstLine="0"/>
      <w:contextualSpacing/>
      <w:jc w:val="left"/>
    </w:pPr>
    <w:rPr>
      <w:rFonts w:cs="Arial"/>
      <w:bCs/>
      <w:color w:val="000066"/>
      <w:sz w:val="20"/>
    </w:rPr>
  </w:style>
  <w:style w:type="paragraph" w:customStyle="1" w:styleId="Sottotitolosintesi">
    <w:name w:val="Sottotitolo_sintesi"/>
    <w:basedOn w:val="Normale"/>
    <w:rsid w:val="000B33A8"/>
    <w:pPr>
      <w:spacing w:before="60" w:after="60" w:line="240" w:lineRule="atLeast"/>
      <w:ind w:firstLine="0"/>
      <w:contextualSpacing/>
      <w:jc w:val="center"/>
    </w:pPr>
    <w:rPr>
      <w:b/>
      <w:color w:val="000066"/>
      <w:sz w:val="24"/>
      <w:szCs w:val="24"/>
    </w:rPr>
  </w:style>
  <w:style w:type="paragraph" w:customStyle="1" w:styleId="Normalesintesitab">
    <w:name w:val="Normale_sintesi_tab"/>
    <w:basedOn w:val="Normale"/>
    <w:rsid w:val="000B33A8"/>
    <w:pPr>
      <w:spacing w:before="60" w:after="60" w:line="240" w:lineRule="atLeast"/>
      <w:ind w:firstLine="0"/>
      <w:contextualSpacing/>
    </w:pPr>
    <w:rPr>
      <w:b/>
      <w:i/>
      <w:color w:val="000066"/>
      <w:sz w:val="18"/>
      <w:szCs w:val="24"/>
    </w:rPr>
  </w:style>
  <w:style w:type="paragraph" w:customStyle="1" w:styleId="Normalesintesitab1">
    <w:name w:val="Normale_sintesi_tab_1"/>
    <w:basedOn w:val="Normalesintesitab"/>
    <w:rsid w:val="000B33A8"/>
    <w:pPr>
      <w:spacing w:line="240" w:lineRule="auto"/>
      <w:ind w:left="284"/>
      <w:jc w:val="left"/>
    </w:pPr>
    <w:rPr>
      <w:b w:val="0"/>
      <w:szCs w:val="18"/>
    </w:rPr>
  </w:style>
  <w:style w:type="paragraph" w:customStyle="1" w:styleId="StileNormalesintesi">
    <w:name w:val="Stile Normale_sintesi +"/>
    <w:basedOn w:val="Normalesintesi"/>
    <w:rsid w:val="000B33A8"/>
    <w:rPr>
      <w:bCs/>
      <w:iCs/>
      <w:color w:val="000080"/>
    </w:rPr>
  </w:style>
  <w:style w:type="paragraph" w:customStyle="1" w:styleId="Normalesintesipi">
    <w:name w:val="Normale_sintesi_piè"/>
    <w:basedOn w:val="Normale"/>
    <w:rsid w:val="000B33A8"/>
    <w:pPr>
      <w:pBdr>
        <w:top w:val="single" w:sz="4" w:space="1" w:color="000066"/>
        <w:bottom w:val="single" w:sz="4" w:space="1" w:color="000066"/>
      </w:pBdr>
      <w:tabs>
        <w:tab w:val="center" w:pos="5103"/>
        <w:tab w:val="right" w:pos="10206"/>
      </w:tabs>
      <w:spacing w:before="60" w:after="60" w:line="160" w:lineRule="atLeast"/>
      <w:ind w:firstLine="0"/>
      <w:contextualSpacing/>
    </w:pPr>
    <w:rPr>
      <w:rFonts w:cs="Arial"/>
      <w:i/>
      <w:sz w:val="16"/>
      <w:szCs w:val="16"/>
    </w:rPr>
  </w:style>
  <w:style w:type="paragraph" w:customStyle="1" w:styleId="Normalesintesipi1">
    <w:name w:val="Normale_sintesi_piè1"/>
    <w:basedOn w:val="Normale"/>
    <w:rsid w:val="000B33A8"/>
    <w:pPr>
      <w:pBdr>
        <w:top w:val="single" w:sz="4" w:space="1" w:color="000066"/>
        <w:bottom w:val="single" w:sz="4" w:space="1" w:color="000066"/>
      </w:pBdr>
      <w:tabs>
        <w:tab w:val="center" w:pos="5103"/>
        <w:tab w:val="right" w:pos="10206"/>
      </w:tabs>
      <w:spacing w:before="60" w:after="60" w:line="240" w:lineRule="atLeast"/>
      <w:ind w:firstLine="0"/>
      <w:contextualSpacing/>
    </w:pPr>
    <w:rPr>
      <w:rFonts w:cs="Arial"/>
      <w:b/>
      <w:smallCaps/>
      <w:color w:val="000066"/>
      <w:sz w:val="18"/>
      <w:szCs w:val="18"/>
    </w:rPr>
  </w:style>
  <w:style w:type="paragraph" w:customStyle="1" w:styleId="Normalestileint">
    <w:name w:val="Normale_stile_int"/>
    <w:basedOn w:val="Normale"/>
    <w:rsid w:val="000B33A8"/>
    <w:pPr>
      <w:tabs>
        <w:tab w:val="right" w:pos="9972"/>
      </w:tabs>
      <w:spacing w:before="60" w:after="60" w:line="240" w:lineRule="atLeast"/>
      <w:ind w:firstLine="0"/>
      <w:contextualSpacing/>
      <w:jc w:val="left"/>
    </w:pPr>
    <w:rPr>
      <w:rFonts w:cs="Arial"/>
      <w:b/>
      <w:color w:val="FFFFFF"/>
      <w:sz w:val="20"/>
    </w:rPr>
  </w:style>
  <w:style w:type="paragraph" w:customStyle="1" w:styleId="Normalestilepi2">
    <w:name w:val="Normale_stile_piè2"/>
    <w:basedOn w:val="Normale"/>
    <w:rsid w:val="000B33A8"/>
    <w:pPr>
      <w:pBdr>
        <w:top w:val="single" w:sz="4" w:space="1" w:color="000066"/>
        <w:bottom w:val="single" w:sz="4" w:space="1" w:color="000066"/>
      </w:pBdr>
      <w:tabs>
        <w:tab w:val="center" w:pos="5103"/>
        <w:tab w:val="right" w:pos="10206"/>
      </w:tabs>
      <w:spacing w:before="60" w:after="60" w:line="240" w:lineRule="atLeast"/>
      <w:ind w:firstLine="0"/>
      <w:contextualSpacing/>
    </w:pPr>
    <w:rPr>
      <w:rFonts w:cs="Arial"/>
      <w:color w:val="000066"/>
      <w:sz w:val="18"/>
      <w:szCs w:val="18"/>
    </w:rPr>
  </w:style>
  <w:style w:type="paragraph" w:customStyle="1" w:styleId="Schedearticolato">
    <w:name w:val="Schede_articolato"/>
    <w:basedOn w:val="Normale"/>
    <w:next w:val="Normale"/>
    <w:rsid w:val="000B33A8"/>
    <w:pPr>
      <w:spacing w:before="60" w:after="60" w:line="240" w:lineRule="auto"/>
      <w:contextualSpacing/>
    </w:pPr>
    <w:rPr>
      <w:sz w:val="20"/>
    </w:rPr>
  </w:style>
  <w:style w:type="paragraph" w:styleId="Titolo">
    <w:name w:val="Title"/>
    <w:basedOn w:val="Normale"/>
    <w:next w:val="Normale"/>
    <w:link w:val="TitoloCarattere"/>
    <w:rsid w:val="000B33A8"/>
    <w:pPr>
      <w:spacing w:before="240" w:after="60"/>
      <w:contextualSpacing/>
      <w:jc w:val="center"/>
      <w:outlineLvl w:val="0"/>
    </w:pPr>
    <w:rPr>
      <w:rFonts w:ascii="Cambria" w:hAnsi="Cambria"/>
      <w:b/>
      <w:bCs/>
      <w:kern w:val="28"/>
      <w:sz w:val="32"/>
      <w:szCs w:val="32"/>
    </w:rPr>
  </w:style>
  <w:style w:type="character" w:customStyle="1" w:styleId="TitoloCarattere">
    <w:name w:val="Titolo Carattere"/>
    <w:link w:val="Titolo"/>
    <w:rsid w:val="000B33A8"/>
    <w:rPr>
      <w:rFonts w:ascii="Cambria" w:hAnsi="Cambria"/>
      <w:b/>
      <w:bCs/>
      <w:kern w:val="28"/>
      <w:sz w:val="32"/>
      <w:szCs w:val="32"/>
    </w:rPr>
  </w:style>
  <w:style w:type="character" w:customStyle="1" w:styleId="TestocommentoCarattere">
    <w:name w:val="Testo commento Carattere"/>
    <w:link w:val="Testocommento"/>
    <w:rsid w:val="000B33A8"/>
    <w:rPr>
      <w:rFonts w:ascii="Arial" w:hAnsi="Arial"/>
    </w:rPr>
  </w:style>
  <w:style w:type="character" w:customStyle="1" w:styleId="SoggettocommentoCarattere">
    <w:name w:val="Soggetto commento Carattere"/>
    <w:link w:val="Soggettocommento"/>
    <w:rsid w:val="000B33A8"/>
    <w:rPr>
      <w:rFonts w:ascii="Arial" w:hAnsi="Arial"/>
      <w:b/>
      <w:bCs/>
    </w:rPr>
  </w:style>
  <w:style w:type="paragraph" w:customStyle="1" w:styleId="rilievo">
    <w:name w:val="rilievo"/>
    <w:basedOn w:val="Normale"/>
    <w:link w:val="rilievoCarattere"/>
    <w:uiPriority w:val="99"/>
    <w:rsid w:val="000B33A8"/>
    <w:pPr>
      <w:widowControl w:val="0"/>
      <w:numPr>
        <w:numId w:val="25"/>
      </w:numPr>
      <w:suppressAutoHyphens/>
      <w:spacing w:line="240" w:lineRule="auto"/>
    </w:pPr>
    <w:rPr>
      <w:rFonts w:ascii="Times New Roman" w:hAnsi="Times New Roman"/>
      <w:sz w:val="24"/>
      <w:szCs w:val="24"/>
      <w:lang w:eastAsia="ar-SA"/>
    </w:rPr>
  </w:style>
  <w:style w:type="character" w:customStyle="1" w:styleId="rilievoCarattere">
    <w:name w:val="rilievo Carattere"/>
    <w:link w:val="rilievo"/>
    <w:uiPriority w:val="99"/>
    <w:locked/>
    <w:rsid w:val="000B33A8"/>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57816"/>
    <w:pPr>
      <w:spacing w:line="300" w:lineRule="atLeast"/>
      <w:ind w:firstLine="284"/>
      <w:jc w:val="both"/>
    </w:pPr>
    <w:rPr>
      <w:rFonts w:ascii="Arial" w:hAnsi="Arial"/>
      <w:sz w:val="22"/>
    </w:rPr>
  </w:style>
  <w:style w:type="paragraph" w:styleId="Titolo1">
    <w:name w:val="heading 1"/>
    <w:basedOn w:val="Normale"/>
    <w:next w:val="Normale"/>
    <w:link w:val="Titolo1Carattere1"/>
    <w:qFormat/>
    <w:rsid w:val="006223EB"/>
    <w:pPr>
      <w:keepNext/>
      <w:spacing w:before="480" w:after="480"/>
      <w:ind w:firstLine="0"/>
      <w:jc w:val="center"/>
      <w:outlineLvl w:val="0"/>
    </w:pPr>
    <w:rPr>
      <w:b/>
      <w:smallCaps/>
      <w:kern w:val="28"/>
      <w:sz w:val="26"/>
    </w:rPr>
  </w:style>
  <w:style w:type="paragraph" w:styleId="Titolo2">
    <w:name w:val="heading 2"/>
    <w:basedOn w:val="Normale"/>
    <w:next w:val="Normale"/>
    <w:link w:val="Titolo2Carattere"/>
    <w:qFormat/>
    <w:rsid w:val="006223EB"/>
    <w:pPr>
      <w:keepNext/>
      <w:spacing w:before="480" w:after="240"/>
      <w:ind w:left="284" w:hanging="284"/>
      <w:outlineLvl w:val="1"/>
    </w:pPr>
    <w:rPr>
      <w:b/>
      <w:sz w:val="24"/>
    </w:rPr>
  </w:style>
  <w:style w:type="paragraph" w:styleId="Titolo3">
    <w:name w:val="heading 3"/>
    <w:basedOn w:val="Normale"/>
    <w:next w:val="Normale"/>
    <w:link w:val="Titolo3Carattere"/>
    <w:qFormat/>
    <w:rsid w:val="006223EB"/>
    <w:pPr>
      <w:keepNext/>
      <w:spacing w:before="240" w:after="180"/>
      <w:ind w:left="568" w:hanging="284"/>
      <w:outlineLvl w:val="2"/>
    </w:pPr>
    <w:rPr>
      <w:b/>
      <w:i/>
    </w:rPr>
  </w:style>
  <w:style w:type="paragraph" w:styleId="Titolo4">
    <w:name w:val="heading 4"/>
    <w:basedOn w:val="Normale"/>
    <w:next w:val="Normale"/>
    <w:link w:val="Titolo4Carattere"/>
    <w:qFormat/>
    <w:rsid w:val="006223EB"/>
    <w:pPr>
      <w:keepNext/>
      <w:spacing w:before="240" w:after="180"/>
      <w:ind w:left="568" w:hanging="284"/>
      <w:outlineLvl w:val="3"/>
    </w:pPr>
    <w:rPr>
      <w:i/>
    </w:rPr>
  </w:style>
  <w:style w:type="paragraph" w:styleId="Titolo5">
    <w:name w:val="heading 5"/>
    <w:basedOn w:val="Normale"/>
    <w:next w:val="Normale"/>
    <w:link w:val="Titolo5Carattere"/>
    <w:qFormat/>
    <w:rsid w:val="006223EB"/>
    <w:pPr>
      <w:keepNext/>
      <w:spacing w:before="180" w:after="60"/>
      <w:ind w:left="568" w:hanging="284"/>
      <w:outlineLvl w:val="4"/>
    </w:pPr>
    <w:rPr>
      <w:u w:val="single"/>
    </w:rPr>
  </w:style>
  <w:style w:type="paragraph" w:styleId="Titolo6">
    <w:name w:val="heading 6"/>
    <w:basedOn w:val="Normale"/>
    <w:next w:val="Normale"/>
    <w:link w:val="Titolo6Carattere"/>
    <w:qFormat/>
    <w:rsid w:val="006223EB"/>
    <w:pPr>
      <w:spacing w:before="240" w:after="60"/>
      <w:ind w:firstLine="0"/>
      <w:outlineLvl w:val="5"/>
    </w:pPr>
    <w:rPr>
      <w:rFonts w:ascii="Times New Roman" w:hAnsi="Times New Roman"/>
      <w:i/>
    </w:rPr>
  </w:style>
  <w:style w:type="paragraph" w:styleId="Titolo7">
    <w:name w:val="heading 7"/>
    <w:basedOn w:val="Normale"/>
    <w:next w:val="Normale"/>
    <w:link w:val="Titolo7Carattere"/>
    <w:qFormat/>
    <w:rsid w:val="006223EB"/>
    <w:pPr>
      <w:spacing w:before="240" w:after="60"/>
      <w:ind w:firstLine="0"/>
      <w:outlineLvl w:val="6"/>
    </w:pPr>
    <w:rPr>
      <w:sz w:val="20"/>
    </w:rPr>
  </w:style>
  <w:style w:type="paragraph" w:styleId="Titolo8">
    <w:name w:val="heading 8"/>
    <w:basedOn w:val="Normale"/>
    <w:next w:val="Normale"/>
    <w:link w:val="Titolo8Carattere"/>
    <w:qFormat/>
    <w:rsid w:val="006223EB"/>
    <w:pPr>
      <w:spacing w:before="240" w:after="60"/>
      <w:ind w:firstLine="0"/>
      <w:outlineLvl w:val="7"/>
    </w:pPr>
    <w:rPr>
      <w:i/>
      <w:sz w:val="20"/>
    </w:rPr>
  </w:style>
  <w:style w:type="paragraph" w:styleId="Titolo9">
    <w:name w:val="heading 9"/>
    <w:basedOn w:val="Normale"/>
    <w:next w:val="Normale"/>
    <w:link w:val="Titolo9Carattere"/>
    <w:qFormat/>
    <w:rsid w:val="006223EB"/>
    <w:pPr>
      <w:spacing w:before="240" w:after="60"/>
      <w:ind w:firstLine="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6223EB"/>
    <w:pPr>
      <w:spacing w:line="240" w:lineRule="auto"/>
      <w:ind w:firstLine="0"/>
      <w:jc w:val="left"/>
    </w:pPr>
    <w:rPr>
      <w:rFonts w:ascii="Times New Roman" w:hAnsi="Times New Roman"/>
      <w:b/>
      <w:sz w:val="20"/>
    </w:rPr>
  </w:style>
  <w:style w:type="paragraph" w:styleId="Intestazione">
    <w:name w:val="header"/>
    <w:basedOn w:val="Normale"/>
    <w:link w:val="IntestazioneCarattere"/>
    <w:rsid w:val="006223EB"/>
    <w:pPr>
      <w:tabs>
        <w:tab w:val="center" w:pos="3969"/>
        <w:tab w:val="right" w:pos="7938"/>
      </w:tabs>
    </w:pPr>
  </w:style>
  <w:style w:type="paragraph" w:customStyle="1" w:styleId="Intestazionedispari">
    <w:name w:val="Intestazione dispari"/>
    <w:basedOn w:val="Normale"/>
    <w:rsid w:val="006223EB"/>
    <w:pPr>
      <w:pBdr>
        <w:bottom w:val="single" w:sz="4" w:space="1" w:color="auto"/>
      </w:pBdr>
      <w:ind w:firstLine="0"/>
      <w:jc w:val="right"/>
    </w:pPr>
    <w:rPr>
      <w:smallCaps/>
      <w:sz w:val="18"/>
    </w:rPr>
  </w:style>
  <w:style w:type="paragraph" w:customStyle="1" w:styleId="Intestazionepari">
    <w:name w:val="Intestazione pari"/>
    <w:basedOn w:val="Normale"/>
    <w:rsid w:val="006223EB"/>
    <w:pPr>
      <w:pBdr>
        <w:bottom w:val="single" w:sz="4" w:space="1" w:color="auto"/>
      </w:pBdr>
      <w:spacing w:line="240" w:lineRule="auto"/>
      <w:ind w:firstLine="0"/>
    </w:pPr>
    <w:rPr>
      <w:smallCaps/>
      <w:sz w:val="18"/>
    </w:rPr>
  </w:style>
  <w:style w:type="character" w:styleId="Numeropagina">
    <w:name w:val="page number"/>
    <w:rsid w:val="006223EB"/>
    <w:rPr>
      <w:rFonts w:ascii="Arial" w:hAnsi="Arial"/>
      <w:sz w:val="22"/>
    </w:rPr>
  </w:style>
  <w:style w:type="paragraph" w:customStyle="1" w:styleId="Occhiello">
    <w:name w:val="Occhiello"/>
    <w:basedOn w:val="Normale"/>
    <w:rsid w:val="006223EB"/>
    <w:pPr>
      <w:spacing w:before="4800"/>
      <w:ind w:firstLine="0"/>
      <w:jc w:val="center"/>
      <w:outlineLvl w:val="0"/>
    </w:pPr>
    <w:rPr>
      <w:b/>
      <w:sz w:val="36"/>
    </w:rPr>
  </w:style>
  <w:style w:type="paragraph" w:styleId="Pidipagina">
    <w:name w:val="footer"/>
    <w:basedOn w:val="Normale"/>
    <w:link w:val="PidipaginaCarattere"/>
    <w:uiPriority w:val="99"/>
    <w:rsid w:val="006223EB"/>
    <w:pPr>
      <w:ind w:firstLine="0"/>
      <w:jc w:val="center"/>
    </w:pPr>
  </w:style>
  <w:style w:type="paragraph" w:customStyle="1" w:styleId="Ridotto">
    <w:name w:val="Ridotto"/>
    <w:basedOn w:val="Normale"/>
    <w:qFormat/>
    <w:rsid w:val="006223EB"/>
    <w:pPr>
      <w:spacing w:line="260" w:lineRule="atLeast"/>
    </w:pPr>
    <w:rPr>
      <w:sz w:val="20"/>
    </w:rPr>
  </w:style>
  <w:style w:type="character" w:styleId="Rimandonotaapidipagina">
    <w:name w:val="footnote reference"/>
    <w:aliases w:val="(Footnote ReferenceI,SUPERS,(Footnote Reference),EN Footnote Reference,Footnote symbol,Footnote,Footnote number,fr,o,Footnotemark,FR,Footnotemark1,Footnotemark2,FR1,Footnotemark3,FR2,Footnotemark4,FR3,Footnotemark5,FR4"/>
    <w:rsid w:val="006223EB"/>
    <w:rPr>
      <w:vertAlign w:val="superscript"/>
    </w:rPr>
  </w:style>
  <w:style w:type="paragraph" w:customStyle="1" w:styleId="Tabellare">
    <w:name w:val="Tabellare"/>
    <w:basedOn w:val="Ridotto"/>
    <w:rsid w:val="006223EB"/>
    <w:pPr>
      <w:keepLines/>
      <w:spacing w:before="60" w:after="60" w:line="240" w:lineRule="auto"/>
      <w:ind w:firstLine="0"/>
      <w:jc w:val="left"/>
    </w:pPr>
  </w:style>
  <w:style w:type="paragraph" w:styleId="Testonotaapidipagina">
    <w:name w:val="footnote text"/>
    <w:aliases w:val="Testo nota a piè di pagina Carattere,Testo nota a piè di pagina Carattere1,Testo nota a piè di pagina Carattere2,Testo nota a piè di pagina Carattere Carattere1,Testo nota a piè di pagina Carattere1 Carattere,stile 1"/>
    <w:basedOn w:val="Normale"/>
    <w:link w:val="TestonotaapidipaginaCarattere3"/>
    <w:rsid w:val="006223EB"/>
    <w:pPr>
      <w:spacing w:line="240" w:lineRule="auto"/>
      <w:ind w:left="284" w:hanging="284"/>
    </w:pPr>
    <w:rPr>
      <w:sz w:val="18"/>
    </w:rPr>
  </w:style>
  <w:style w:type="paragraph" w:customStyle="1" w:styleId="leggitesto">
    <w:name w:val="leggi_testo"/>
    <w:basedOn w:val="Normale"/>
    <w:rsid w:val="00F84BDE"/>
    <w:pPr>
      <w:spacing w:before="60" w:line="240" w:lineRule="auto"/>
    </w:pPr>
    <w:rPr>
      <w:sz w:val="20"/>
    </w:rPr>
  </w:style>
  <w:style w:type="paragraph" w:customStyle="1" w:styleId="legge-note">
    <w:name w:val="legge-note"/>
    <w:basedOn w:val="Normale"/>
    <w:rsid w:val="00F84BDE"/>
    <w:pPr>
      <w:spacing w:line="240" w:lineRule="auto"/>
      <w:ind w:left="284" w:hanging="284"/>
    </w:pPr>
    <w:rPr>
      <w:i/>
      <w:sz w:val="18"/>
    </w:rPr>
  </w:style>
  <w:style w:type="paragraph" w:customStyle="1" w:styleId="leggirubricaarticolo">
    <w:name w:val="leggi_(rubrica articolo)"/>
    <w:basedOn w:val="leggitesto"/>
    <w:next w:val="leggitesto"/>
    <w:rsid w:val="00F84BDE"/>
    <w:pPr>
      <w:keepNext/>
      <w:spacing w:after="240"/>
      <w:ind w:firstLine="0"/>
      <w:jc w:val="center"/>
    </w:pPr>
    <w:rPr>
      <w:i/>
    </w:rPr>
  </w:style>
  <w:style w:type="paragraph" w:customStyle="1" w:styleId="leggiArt">
    <w:name w:val="leggi_Art."/>
    <w:basedOn w:val="leggitesto"/>
    <w:next w:val="leggirubricaarticolo"/>
    <w:rsid w:val="00F84BDE"/>
    <w:pPr>
      <w:keepNext/>
      <w:ind w:firstLine="0"/>
      <w:jc w:val="center"/>
    </w:pPr>
  </w:style>
  <w:style w:type="paragraph" w:customStyle="1" w:styleId="Leggicapo">
    <w:name w:val="Leggi_capo"/>
    <w:basedOn w:val="Normale"/>
    <w:rsid w:val="00F84BDE"/>
    <w:pPr>
      <w:spacing w:before="60" w:after="60" w:line="240" w:lineRule="auto"/>
      <w:ind w:firstLine="0"/>
      <w:jc w:val="center"/>
    </w:pPr>
    <w:rPr>
      <w:b/>
      <w:sz w:val="20"/>
    </w:rPr>
  </w:style>
  <w:style w:type="paragraph" w:customStyle="1" w:styleId="leggititolo">
    <w:name w:val="leggi_titolo"/>
    <w:basedOn w:val="Normale"/>
    <w:link w:val="leggititoloCarattere"/>
    <w:rsid w:val="00F84BDE"/>
    <w:pPr>
      <w:spacing w:after="120" w:line="240" w:lineRule="auto"/>
      <w:ind w:firstLine="0"/>
      <w:jc w:val="center"/>
    </w:pPr>
    <w:rPr>
      <w:b/>
      <w:sz w:val="20"/>
    </w:rPr>
  </w:style>
  <w:style w:type="paragraph" w:customStyle="1" w:styleId="SENCOMMcommissione">
    <w:name w:val="SEN_COMM_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F84BDE"/>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F84BDE"/>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034E07"/>
    <w:rPr>
      <w:caps/>
      <w:lang w:val="it-IT" w:eastAsia="it-IT" w:bidi="ar-SA"/>
    </w:rPr>
  </w:style>
  <w:style w:type="paragraph" w:customStyle="1" w:styleId="SENCOMMintestazione">
    <w:name w:val="SEN_COMM_intestazione"/>
    <w:basedOn w:val="Intestazione"/>
    <w:rsid w:val="00034E07"/>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F84BDE"/>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F84BDE"/>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F84BDE"/>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F84BDE"/>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577870"/>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F84BDE"/>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DC583D"/>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F84BDE"/>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F84BDE"/>
    <w:rPr>
      <w:rFonts w:ascii="Garamond" w:hAnsi="Garamond"/>
      <w:sz w:val="24"/>
      <w:lang w:val="it-IT" w:eastAsia="it-IT" w:bidi="ar-SA"/>
    </w:rPr>
  </w:style>
  <w:style w:type="paragraph" w:customStyle="1" w:styleId="AC-titolo">
    <w:name w:val="AC-titolo"/>
    <w:basedOn w:val="Normale"/>
    <w:rsid w:val="00F84BDE"/>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F84BDE"/>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F84BDE"/>
    <w:pPr>
      <w:spacing w:before="480" w:line="240" w:lineRule="auto"/>
      <w:ind w:firstLine="0"/>
      <w:jc w:val="center"/>
    </w:pPr>
    <w:rPr>
      <w:rFonts w:ascii="Garamond" w:hAnsi="Garamond"/>
      <w:b/>
      <w:sz w:val="28"/>
    </w:rPr>
  </w:style>
  <w:style w:type="paragraph" w:customStyle="1" w:styleId="AStitolo">
    <w:name w:val="AS_titolo"/>
    <w:basedOn w:val="Normale"/>
    <w:rsid w:val="00F84BDE"/>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F84BDE"/>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F84BDE"/>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BA23FD"/>
    <w:rPr>
      <w:rFonts w:ascii="CG Times" w:hAnsi="CG Times"/>
      <w:b/>
      <w:spacing w:val="40"/>
      <w:sz w:val="36"/>
      <w:lang w:val="it-IT" w:eastAsia="it-IT" w:bidi="ar-SA"/>
    </w:rPr>
  </w:style>
  <w:style w:type="paragraph" w:customStyle="1" w:styleId="ASintestazione2">
    <w:name w:val="ASintestazione 2"/>
    <w:basedOn w:val="Normale"/>
    <w:rsid w:val="00F84BDE"/>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F84BDE"/>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F84BDE"/>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BA23FD"/>
    <w:rPr>
      <w:rFonts w:ascii="Book Antiqua" w:hAnsi="Book Antiqua"/>
      <w:spacing w:val="30"/>
      <w:sz w:val="46"/>
      <w:lang w:val="it-IT" w:eastAsia="it-IT" w:bidi="ar-SA"/>
    </w:rPr>
  </w:style>
  <w:style w:type="paragraph" w:styleId="Sommario1">
    <w:name w:val="toc 1"/>
    <w:basedOn w:val="Normale"/>
    <w:next w:val="Sommario2"/>
    <w:rsid w:val="006223EB"/>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uiPriority w:val="39"/>
    <w:rsid w:val="00C02ED3"/>
    <w:pPr>
      <w:keepLines w:val="0"/>
      <w:spacing w:before="120" w:after="0" w:line="300" w:lineRule="exact"/>
      <w:ind w:left="284"/>
      <w:jc w:val="both"/>
      <w:outlineLvl w:val="1"/>
    </w:pPr>
    <w:rPr>
      <w:rFonts w:ascii="Times New Roman" w:hAnsi="Times New Roman"/>
      <w:smallCaps w:val="0"/>
      <w:sz w:val="28"/>
    </w:rPr>
  </w:style>
  <w:style w:type="paragraph" w:styleId="Sommario3">
    <w:name w:val="toc 3"/>
    <w:basedOn w:val="Sommario1"/>
    <w:next w:val="Normale"/>
    <w:uiPriority w:val="39"/>
    <w:rsid w:val="006223EB"/>
    <w:pPr>
      <w:keepNext w:val="0"/>
      <w:keepLines w:val="0"/>
      <w:numPr>
        <w:numId w:val="4"/>
      </w:numPr>
      <w:tabs>
        <w:tab w:val="left" w:pos="567"/>
      </w:tabs>
      <w:spacing w:before="60" w:after="0"/>
      <w:jc w:val="both"/>
      <w:outlineLvl w:val="2"/>
    </w:pPr>
    <w:rPr>
      <w:b w:val="0"/>
      <w:smallCaps w:val="0"/>
      <w:sz w:val="22"/>
    </w:rPr>
  </w:style>
  <w:style w:type="paragraph" w:customStyle="1" w:styleId="CAM-ASS-nseduta">
    <w:name w:val="CAM-ASS-n.seduta"/>
    <w:basedOn w:val="Normale"/>
    <w:rsid w:val="00F84BDE"/>
    <w:pPr>
      <w:spacing w:line="300" w:lineRule="exact"/>
      <w:ind w:firstLine="0"/>
      <w:jc w:val="center"/>
    </w:pPr>
    <w:rPr>
      <w:rFonts w:ascii="Garamond" w:hAnsi="Garamond"/>
      <w:b/>
      <w:sz w:val="28"/>
    </w:rPr>
  </w:style>
  <w:style w:type="paragraph" w:customStyle="1" w:styleId="CAM-ASS-presidenza">
    <w:name w:val="CAM-ASS-presidenza.."/>
    <w:basedOn w:val="Normale"/>
    <w:rsid w:val="00F84BDE"/>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F84BDE"/>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F84BDE"/>
    <w:pPr>
      <w:spacing w:before="360" w:line="300" w:lineRule="exact"/>
      <w:ind w:firstLine="0"/>
      <w:jc w:val="center"/>
    </w:pPr>
    <w:rPr>
      <w:rFonts w:ascii="Garamond" w:hAnsi="Garamond"/>
      <w:caps/>
      <w:spacing w:val="20"/>
      <w:w w:val="66"/>
      <w:sz w:val="48"/>
    </w:rPr>
  </w:style>
  <w:style w:type="paragraph" w:customStyle="1" w:styleId="COMMSENtitolocommissione">
    <w:name w:val="COMM_SEN_titolo 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F84BDE"/>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F84BDE"/>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F84BDE"/>
    <w:rPr>
      <w:spacing w:val="40"/>
      <w:sz w:val="44"/>
    </w:rPr>
  </w:style>
  <w:style w:type="character" w:customStyle="1" w:styleId="ASS-SENSENATODELAREPUBBLICACarattere">
    <w:name w:val="ASS-SEN_SENATO DELA REPUBBLICA Carattere"/>
    <w:link w:val="ASS-SENSENATODELAREPUBBLICA"/>
    <w:rsid w:val="00BA23FD"/>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BA23FD"/>
  </w:style>
  <w:style w:type="paragraph" w:customStyle="1" w:styleId="ASS-SENdata">
    <w:name w:val="ASS-SEN_data"/>
    <w:basedOn w:val="AS-DISEGNODILEGGE"/>
    <w:link w:val="ASS-SENdataCarattere"/>
    <w:rsid w:val="00F84BDE"/>
    <w:rPr>
      <w:sz w:val="32"/>
    </w:rPr>
  </w:style>
  <w:style w:type="character" w:customStyle="1" w:styleId="ASS-SENdataCarattere">
    <w:name w:val="ASS-SEN_data Carattere"/>
    <w:link w:val="ASS-SENdata"/>
    <w:rsid w:val="00BA23FD"/>
    <w:rPr>
      <w:rFonts w:ascii="CG Times" w:hAnsi="CG Times"/>
      <w:b/>
      <w:spacing w:val="40"/>
      <w:sz w:val="32"/>
      <w:lang w:val="it-IT" w:eastAsia="it-IT" w:bidi="ar-SA"/>
    </w:rPr>
  </w:style>
  <w:style w:type="character" w:customStyle="1" w:styleId="DATA-ASS-SENATOCarattere">
    <w:name w:val="DATA-ASS-SENATO Carattere"/>
    <w:basedOn w:val="ASS-SENdataCarattere"/>
    <w:link w:val="DATA-ASS-SENATO"/>
    <w:rsid w:val="00BA23FD"/>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F84BDE"/>
  </w:style>
  <w:style w:type="paragraph" w:customStyle="1" w:styleId="ASS-SENSEDUTA">
    <w:name w:val="ASS-SEN_SEDUTA"/>
    <w:basedOn w:val="ASS-SENSENATODELAREPUBBLICA"/>
    <w:link w:val="ASS-SENSEDUTACarattere"/>
    <w:rsid w:val="00F84BDE"/>
    <w:pPr>
      <w:spacing w:before="360" w:after="600"/>
    </w:pPr>
  </w:style>
  <w:style w:type="character" w:customStyle="1" w:styleId="ASS-SENSEDUTACarattere">
    <w:name w:val="ASS-SEN_SEDUTA Carattere"/>
    <w:basedOn w:val="ASS-SENSENATODELAREPUBBLICACarattere"/>
    <w:link w:val="ASS-SENSEDUTA"/>
    <w:rsid w:val="00BA23FD"/>
    <w:rPr>
      <w:rFonts w:ascii="Book Antiqua" w:hAnsi="Book Antiqua"/>
      <w:spacing w:val="40"/>
      <w:sz w:val="44"/>
      <w:lang w:val="it-IT" w:eastAsia="it-IT" w:bidi="ar-SA"/>
    </w:rPr>
  </w:style>
  <w:style w:type="character" w:customStyle="1" w:styleId="SENCOMM1-2">
    <w:name w:val="SEN_COMM_1^ -2^"/>
    <w:basedOn w:val="Carpredefinitoparagrafo"/>
    <w:rsid w:val="00F84BDE"/>
  </w:style>
  <w:style w:type="paragraph" w:customStyle="1" w:styleId="CAMCOMMCommissione">
    <w:name w:val="CAM_COMM_(Commissione)"/>
    <w:basedOn w:val="Normale"/>
    <w:rsid w:val="00F84BDE"/>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F84BDE"/>
  </w:style>
  <w:style w:type="paragraph" w:customStyle="1" w:styleId="CAMCOMMintestazione">
    <w:name w:val="CAM_COMM_intestazione"/>
    <w:basedOn w:val="Intestazione"/>
    <w:rsid w:val="00F84BDE"/>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F84BDE"/>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F84BDE"/>
    <w:rPr>
      <w:rFonts w:ascii="Impact" w:hAnsi="Impact"/>
      <w:b w:val="0"/>
      <w:sz w:val="42"/>
    </w:rPr>
  </w:style>
  <w:style w:type="paragraph" w:customStyle="1" w:styleId="SommarioC">
    <w:name w:val="SommarioC"/>
    <w:basedOn w:val="SommarioA"/>
    <w:rsid w:val="00F84BDE"/>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F84BDE"/>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6223EB"/>
    <w:pPr>
      <w:numPr>
        <w:numId w:val="3"/>
      </w:numPr>
    </w:pPr>
  </w:style>
  <w:style w:type="paragraph" w:customStyle="1" w:styleId="-PAGINA-">
    <w:name w:val="- PAGINA -"/>
    <w:rsid w:val="006223EB"/>
  </w:style>
  <w:style w:type="paragraph" w:customStyle="1" w:styleId="Autore">
    <w:name w:val="Autore"/>
    <w:rsid w:val="006223EB"/>
  </w:style>
  <w:style w:type="paragraph" w:customStyle="1" w:styleId="Autoreultimosalvataggio">
    <w:name w:val="Autore ultimo salvataggio"/>
    <w:rsid w:val="006223EB"/>
  </w:style>
  <w:style w:type="paragraph" w:customStyle="1" w:styleId="Autorenpaginadata">
    <w:name w:val="Autore  n. pagina  data"/>
    <w:rsid w:val="006223EB"/>
  </w:style>
  <w:style w:type="paragraph" w:styleId="Sommario4">
    <w:name w:val="toc 4"/>
    <w:basedOn w:val="Sommario1"/>
    <w:next w:val="Normale"/>
    <w:rsid w:val="006223EB"/>
    <w:pPr>
      <w:keepNext w:val="0"/>
      <w:keepLines w:val="0"/>
      <w:numPr>
        <w:numId w:val="5"/>
      </w:numPr>
      <w:tabs>
        <w:tab w:val="left" w:pos="851"/>
      </w:tabs>
      <w:spacing w:before="0" w:after="0"/>
      <w:outlineLvl w:val="3"/>
    </w:pPr>
    <w:rPr>
      <w:b w:val="0"/>
      <w:i/>
      <w:smallCaps w:val="0"/>
      <w:sz w:val="22"/>
    </w:rPr>
  </w:style>
  <w:style w:type="paragraph" w:styleId="Sommario7">
    <w:name w:val="toc 7"/>
    <w:basedOn w:val="Normale"/>
    <w:next w:val="Normale"/>
    <w:autoRedefine/>
    <w:rsid w:val="006223EB"/>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6223EB"/>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F84BDE"/>
  </w:style>
  <w:style w:type="paragraph" w:customStyle="1" w:styleId="Dataultimastampa">
    <w:name w:val="Data ultima stampa"/>
    <w:rsid w:val="00F84BDE"/>
  </w:style>
  <w:style w:type="paragraph" w:customStyle="1" w:styleId="Nomefile">
    <w:name w:val="Nome file"/>
    <w:rsid w:val="006223EB"/>
  </w:style>
  <w:style w:type="paragraph" w:customStyle="1" w:styleId="Nomefileepercorso">
    <w:name w:val="Nome file e percorso"/>
    <w:rsid w:val="006223EB"/>
  </w:style>
  <w:style w:type="paragraph" w:customStyle="1" w:styleId="PaginaXdiY">
    <w:name w:val="Pagina X di Y"/>
    <w:rsid w:val="006223EB"/>
  </w:style>
  <w:style w:type="paragraph" w:customStyle="1" w:styleId="Riservatopaginadata">
    <w:name w:val="Riservato  pagina #  data"/>
    <w:rsid w:val="006223EB"/>
  </w:style>
  <w:style w:type="paragraph" w:styleId="Sommario5">
    <w:name w:val="toc 5"/>
    <w:basedOn w:val="Sommario1"/>
    <w:next w:val="Normale"/>
    <w:autoRedefine/>
    <w:rsid w:val="006223EB"/>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6223EB"/>
    <w:pPr>
      <w:ind w:left="1100"/>
      <w:jc w:val="left"/>
    </w:pPr>
    <w:rPr>
      <w:rFonts w:ascii="Times New Roman" w:hAnsi="Times New Roman"/>
      <w:sz w:val="18"/>
    </w:rPr>
  </w:style>
  <w:style w:type="paragraph" w:styleId="Sommario8">
    <w:name w:val="toc 8"/>
    <w:basedOn w:val="Sommario1"/>
    <w:next w:val="Normale"/>
    <w:autoRedefine/>
    <w:rsid w:val="006223EB"/>
    <w:pPr>
      <w:spacing w:line="300" w:lineRule="exact"/>
      <w:outlineLvl w:val="7"/>
    </w:pPr>
  </w:style>
  <w:style w:type="paragraph" w:styleId="Sommario9">
    <w:name w:val="toc 9"/>
    <w:basedOn w:val="Sommario1"/>
    <w:next w:val="Normale"/>
    <w:rsid w:val="006223EB"/>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F84BDE"/>
    <w:pPr>
      <w:keepNext/>
      <w:spacing w:line="240" w:lineRule="auto"/>
      <w:ind w:firstLine="0"/>
      <w:jc w:val="center"/>
    </w:pPr>
    <w:rPr>
      <w:b/>
      <w:smallCaps/>
      <w:kern w:val="28"/>
      <w:sz w:val="40"/>
    </w:rPr>
  </w:style>
  <w:style w:type="paragraph" w:styleId="Mappadocumento">
    <w:name w:val="Document Map"/>
    <w:basedOn w:val="Normale"/>
    <w:link w:val="MappadocumentoCarattere"/>
    <w:rsid w:val="006223EB"/>
    <w:pPr>
      <w:shd w:val="clear" w:color="auto" w:fill="000080"/>
    </w:pPr>
    <w:rPr>
      <w:rFonts w:ascii="Tahoma" w:hAnsi="Tahoma"/>
    </w:rPr>
  </w:style>
  <w:style w:type="paragraph" w:customStyle="1" w:styleId="Etichettadocumento">
    <w:name w:val="Etichetta documento"/>
    <w:basedOn w:val="Normale"/>
    <w:rsid w:val="00F84BDE"/>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link w:val="IntestazionemessaggioCarattere"/>
    <w:rsid w:val="006223EB"/>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F84BDE"/>
    <w:rPr>
      <w:rFonts w:ascii="Arial Black" w:hAnsi="Arial Black"/>
      <w:sz w:val="18"/>
    </w:rPr>
  </w:style>
  <w:style w:type="paragraph" w:customStyle="1" w:styleId="Indirizzomittente1">
    <w:name w:val="Indirizzo mittente 1"/>
    <w:basedOn w:val="Normale"/>
    <w:rsid w:val="006223EB"/>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F84BDE"/>
  </w:style>
  <w:style w:type="paragraph" w:styleId="Rientrocorpodeltesto">
    <w:name w:val="Body Text Indent"/>
    <w:basedOn w:val="Normale"/>
    <w:link w:val="RientrocorpodeltestoCarattere"/>
    <w:rsid w:val="00F84BDE"/>
    <w:pPr>
      <w:spacing w:line="240" w:lineRule="auto"/>
    </w:pPr>
  </w:style>
  <w:style w:type="character" w:styleId="Collegamentoipertestuale">
    <w:name w:val="Hyperlink"/>
    <w:rsid w:val="006223EB"/>
    <w:rPr>
      <w:rFonts w:ascii="Arial" w:hAnsi="Arial"/>
      <w:color w:val="0000FF"/>
      <w:sz w:val="22"/>
      <w:u w:val="single"/>
    </w:rPr>
  </w:style>
  <w:style w:type="paragraph" w:styleId="Corpotesto">
    <w:name w:val="Body Text"/>
    <w:basedOn w:val="Normale"/>
    <w:link w:val="CorpotestoCarattere"/>
    <w:rsid w:val="00F84BDE"/>
    <w:pPr>
      <w:spacing w:after="120"/>
    </w:pPr>
  </w:style>
  <w:style w:type="paragraph" w:customStyle="1" w:styleId="noteIntestazione">
    <w:name w:val="note Intestazione"/>
    <w:basedOn w:val="Intestazione"/>
    <w:rsid w:val="006223EB"/>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6223EB"/>
    <w:pPr>
      <w:spacing w:line="300" w:lineRule="atLeast"/>
      <w:ind w:firstLine="284"/>
      <w:jc w:val="both"/>
    </w:pPr>
    <w:rPr>
      <w:rFonts w:ascii="Arial" w:hAnsi="Arial"/>
      <w:sz w:val="22"/>
    </w:rPr>
  </w:style>
  <w:style w:type="paragraph" w:customStyle="1" w:styleId="OCCHIELLO2">
    <w:name w:val="OCCHIELLO2"/>
    <w:basedOn w:val="Normale"/>
    <w:next w:val="Normale"/>
    <w:rsid w:val="006223EB"/>
    <w:pPr>
      <w:spacing w:before="5520"/>
      <w:jc w:val="center"/>
      <w:outlineLvl w:val="8"/>
    </w:pPr>
    <w:rPr>
      <w:b/>
      <w:sz w:val="32"/>
    </w:rPr>
  </w:style>
  <w:style w:type="paragraph" w:customStyle="1" w:styleId="SommarioD">
    <w:name w:val="SommarioD"/>
    <w:basedOn w:val="SommarioA"/>
    <w:rsid w:val="00F84BDE"/>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F84BDE"/>
    <w:pPr>
      <w:spacing w:after="60" w:line="300" w:lineRule="exact"/>
      <w:jc w:val="left"/>
    </w:pPr>
    <w:rPr>
      <w:rFonts w:ascii="Garamond" w:hAnsi="Garamond"/>
      <w:sz w:val="24"/>
    </w:rPr>
  </w:style>
  <w:style w:type="paragraph" w:customStyle="1" w:styleId="AS-diniziativa">
    <w:name w:val="AS- d'iniziativa"/>
    <w:basedOn w:val="ASnormale"/>
    <w:rsid w:val="00F84BDE"/>
    <w:pPr>
      <w:spacing w:before="480"/>
      <w:ind w:firstLine="0"/>
      <w:jc w:val="center"/>
    </w:pPr>
    <w:rPr>
      <w:b/>
    </w:rPr>
  </w:style>
  <w:style w:type="paragraph" w:customStyle="1" w:styleId="ACintestazione2">
    <w:name w:val="ACintestazione2"/>
    <w:basedOn w:val="Intestazione"/>
    <w:rsid w:val="00F84BDE"/>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F84BDE"/>
    <w:pPr>
      <w:ind w:firstLine="0"/>
      <w:jc w:val="center"/>
    </w:pPr>
    <w:rPr>
      <w:b/>
    </w:rPr>
  </w:style>
  <w:style w:type="paragraph" w:customStyle="1" w:styleId="ASS-SENnormale">
    <w:name w:val="ASS-SEN_normale"/>
    <w:basedOn w:val="Normale"/>
    <w:rsid w:val="00F84BDE"/>
    <w:pPr>
      <w:spacing w:after="60" w:line="300" w:lineRule="exact"/>
      <w:ind w:firstLine="525"/>
    </w:pPr>
    <w:rPr>
      <w:rFonts w:ascii="Garamond" w:hAnsi="Garamond"/>
      <w:sz w:val="24"/>
    </w:rPr>
  </w:style>
  <w:style w:type="paragraph" w:customStyle="1" w:styleId="AC-Normale">
    <w:name w:val="AC-Normale"/>
    <w:basedOn w:val="Normale"/>
    <w:rsid w:val="00F84BDE"/>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F84BDE"/>
    <w:pPr>
      <w:spacing w:after="60" w:line="300" w:lineRule="exact"/>
      <w:ind w:firstLine="301"/>
    </w:pPr>
    <w:rPr>
      <w:rFonts w:ascii="Garamond" w:hAnsi="Garamond"/>
      <w:sz w:val="24"/>
    </w:rPr>
  </w:style>
  <w:style w:type="paragraph" w:customStyle="1" w:styleId="SENCOMMcorpodeltesto">
    <w:name w:val="SEN_COMM_corpo del testo"/>
    <w:basedOn w:val="Normale"/>
    <w:rsid w:val="00F84BDE"/>
    <w:pPr>
      <w:spacing w:after="120" w:line="240" w:lineRule="auto"/>
      <w:ind w:firstLine="567"/>
    </w:pPr>
    <w:rPr>
      <w:rFonts w:ascii="Garamond" w:hAnsi="Garamond"/>
      <w:sz w:val="24"/>
    </w:rPr>
  </w:style>
  <w:style w:type="paragraph" w:customStyle="1" w:styleId="COMMSENcorpodeltesto">
    <w:name w:val="COMM_SEN_corpo del testo"/>
    <w:basedOn w:val="Normale"/>
    <w:rsid w:val="00F84BDE"/>
    <w:pPr>
      <w:spacing w:after="120" w:line="240" w:lineRule="auto"/>
      <w:ind w:firstLine="567"/>
    </w:pPr>
    <w:rPr>
      <w:rFonts w:ascii="Times New Roman" w:hAnsi="Times New Roman"/>
    </w:rPr>
  </w:style>
  <w:style w:type="paragraph" w:customStyle="1" w:styleId="MAIUSCGRCENTR">
    <w:name w:val="MAIUSC/GR/CENTR"/>
    <w:basedOn w:val="SENCOMMcorpodeltesto"/>
    <w:rsid w:val="00F84BDE"/>
    <w:pPr>
      <w:ind w:firstLine="0"/>
      <w:jc w:val="center"/>
    </w:pPr>
    <w:rPr>
      <w:b/>
      <w:caps/>
    </w:rPr>
  </w:style>
  <w:style w:type="paragraph" w:customStyle="1" w:styleId="SommarioB">
    <w:name w:val="SommarioB"/>
    <w:basedOn w:val="SommarioA"/>
    <w:rsid w:val="00F84BDE"/>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F84BDE"/>
    <w:pPr>
      <w:spacing w:line="300" w:lineRule="exact"/>
      <w:ind w:firstLine="567"/>
      <w:jc w:val="left"/>
    </w:pPr>
    <w:rPr>
      <w:rFonts w:ascii="Garamond" w:hAnsi="Garamond"/>
      <w:sz w:val="24"/>
    </w:rPr>
  </w:style>
  <w:style w:type="paragraph" w:customStyle="1" w:styleId="CAM-ASS-testo">
    <w:name w:val="CAM-ASS-testo"/>
    <w:basedOn w:val="Normale"/>
    <w:rsid w:val="00F84BDE"/>
    <w:pPr>
      <w:spacing w:line="300" w:lineRule="exact"/>
      <w:ind w:firstLine="567"/>
    </w:pPr>
    <w:rPr>
      <w:rFonts w:ascii="Garamond" w:hAnsi="Garamond"/>
      <w:sz w:val="24"/>
    </w:rPr>
  </w:style>
  <w:style w:type="paragraph" w:customStyle="1" w:styleId="CAMCOMMcorpodeltesto">
    <w:name w:val="CAM_COMM_corpo del testo"/>
    <w:basedOn w:val="Normale"/>
    <w:rsid w:val="00F84BDE"/>
    <w:pPr>
      <w:spacing w:line="240" w:lineRule="auto"/>
    </w:pPr>
    <w:rPr>
      <w:rFonts w:ascii="Times New Roman" w:hAnsi="Times New Roman"/>
    </w:rPr>
  </w:style>
  <w:style w:type="paragraph" w:customStyle="1" w:styleId="CAMCAMMaffaricostituzionali">
    <w:name w:val="CAM_CAMM_(affari costituzionali)"/>
    <w:basedOn w:val="Normale"/>
    <w:next w:val="Normale"/>
    <w:rsid w:val="00F84BDE"/>
    <w:pPr>
      <w:spacing w:before="120" w:after="120" w:line="240" w:lineRule="auto"/>
      <w:ind w:firstLine="0"/>
      <w:jc w:val="center"/>
    </w:pPr>
    <w:rPr>
      <w:rFonts w:ascii="Times New Roman" w:hAnsi="Times New Roman"/>
      <w:b/>
    </w:rPr>
  </w:style>
  <w:style w:type="paragraph" w:customStyle="1" w:styleId="ToCompany">
    <w:name w:val="ToCompany"/>
    <w:basedOn w:val="Normale"/>
    <w:rsid w:val="006223EB"/>
    <w:pPr>
      <w:spacing w:line="240" w:lineRule="auto"/>
      <w:ind w:firstLine="0"/>
      <w:jc w:val="left"/>
    </w:pPr>
    <w:rPr>
      <w:sz w:val="28"/>
    </w:rPr>
  </w:style>
  <w:style w:type="paragraph" w:customStyle="1" w:styleId="SENCOMMtesto">
    <w:name w:val="SEN_COMM_testo"/>
    <w:basedOn w:val="Normale"/>
    <w:rsid w:val="00F84BDE"/>
    <w:pPr>
      <w:spacing w:before="120" w:after="120" w:line="300" w:lineRule="exact"/>
    </w:pPr>
    <w:rPr>
      <w:rFonts w:ascii="Times New Roman" w:hAnsi="Times New Roman"/>
    </w:rPr>
  </w:style>
  <w:style w:type="paragraph" w:customStyle="1" w:styleId="CAMCAMMCommissione">
    <w:name w:val="CAM_CAMM_(Commissione)"/>
    <w:basedOn w:val="Normale"/>
    <w:rsid w:val="00F84BDE"/>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F84BDE"/>
    <w:pPr>
      <w:spacing w:after="120"/>
      <w:ind w:firstLine="0"/>
    </w:pPr>
    <w:rPr>
      <w:rFonts w:ascii="Times New Roman" w:hAnsi="Times New Roman"/>
      <w:i/>
    </w:rPr>
  </w:style>
  <w:style w:type="paragraph" w:styleId="Rientrocorpodeltesto2">
    <w:name w:val="Body Text Indent 2"/>
    <w:basedOn w:val="Normale"/>
    <w:link w:val="Rientrocorpodeltesto2Carattere"/>
    <w:rsid w:val="00F84BDE"/>
    <w:pPr>
      <w:spacing w:line="240" w:lineRule="auto"/>
    </w:pPr>
  </w:style>
  <w:style w:type="paragraph" w:customStyle="1" w:styleId="CopertinaServizio">
    <w:name w:val="Copertina/Servizio"/>
    <w:basedOn w:val="Normale"/>
    <w:rsid w:val="006223EB"/>
    <w:pPr>
      <w:keepNext/>
      <w:spacing w:line="240" w:lineRule="auto"/>
      <w:ind w:firstLine="0"/>
      <w:jc w:val="center"/>
    </w:pPr>
    <w:rPr>
      <w:b/>
      <w:smallCaps/>
      <w:kern w:val="28"/>
      <w:sz w:val="40"/>
    </w:rPr>
  </w:style>
  <w:style w:type="paragraph" w:customStyle="1" w:styleId="CopertinaCollana">
    <w:name w:val="Copertina/Collana"/>
    <w:basedOn w:val="Normale"/>
    <w:rsid w:val="006223EB"/>
    <w:pPr>
      <w:ind w:firstLine="0"/>
      <w:jc w:val="center"/>
    </w:pPr>
    <w:rPr>
      <w:smallCaps/>
      <w:spacing w:val="20"/>
      <w:sz w:val="36"/>
    </w:rPr>
  </w:style>
  <w:style w:type="paragraph" w:customStyle="1" w:styleId="CopertinaTitolo">
    <w:name w:val="Copertina/Titolo"/>
    <w:basedOn w:val="Normale"/>
    <w:rsid w:val="006223EB"/>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6223EB"/>
    <w:pPr>
      <w:ind w:firstLine="0"/>
      <w:jc w:val="center"/>
    </w:pPr>
    <w:rPr>
      <w:sz w:val="28"/>
    </w:rPr>
  </w:style>
  <w:style w:type="paragraph" w:customStyle="1" w:styleId="CopertinaAtto">
    <w:name w:val="Copertina/Atto"/>
    <w:basedOn w:val="Normale"/>
    <w:rsid w:val="006223EB"/>
    <w:pPr>
      <w:spacing w:before="120"/>
      <w:ind w:left="142" w:right="140" w:firstLine="0"/>
      <w:jc w:val="center"/>
    </w:pPr>
    <w:rPr>
      <w:spacing w:val="20"/>
      <w:sz w:val="32"/>
    </w:rPr>
  </w:style>
  <w:style w:type="paragraph" w:customStyle="1" w:styleId="CopertinaParte">
    <w:name w:val="Copertina/Parte"/>
    <w:basedOn w:val="Normale"/>
    <w:rsid w:val="006223EB"/>
    <w:pPr>
      <w:ind w:right="140"/>
      <w:jc w:val="center"/>
    </w:pPr>
    <w:rPr>
      <w:spacing w:val="20"/>
    </w:rPr>
  </w:style>
  <w:style w:type="paragraph" w:customStyle="1" w:styleId="CopertinaLegislatura">
    <w:name w:val="Copertina/Legislatura"/>
    <w:basedOn w:val="Normale"/>
    <w:rsid w:val="006223EB"/>
    <w:pPr>
      <w:spacing w:before="240"/>
      <w:ind w:firstLine="0"/>
      <w:jc w:val="center"/>
    </w:pPr>
    <w:rPr>
      <w:smallCaps/>
      <w:spacing w:val="20"/>
      <w:sz w:val="28"/>
    </w:rPr>
  </w:style>
  <w:style w:type="paragraph" w:customStyle="1" w:styleId="CopertinaData">
    <w:name w:val="Copertina/Data"/>
    <w:basedOn w:val="Normale"/>
    <w:rsid w:val="006223EB"/>
    <w:pPr>
      <w:spacing w:before="240" w:after="360"/>
      <w:ind w:right="142" w:firstLine="0"/>
      <w:jc w:val="center"/>
    </w:pPr>
    <w:rPr>
      <w:i/>
      <w:spacing w:val="20"/>
      <w:sz w:val="24"/>
    </w:rPr>
  </w:style>
  <w:style w:type="paragraph" w:customStyle="1" w:styleId="CopertinaCameraDeputati">
    <w:name w:val="Copertina/Camera Deputati"/>
    <w:basedOn w:val="Normale"/>
    <w:rsid w:val="006223EB"/>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6223EB"/>
    <w:pPr>
      <w:ind w:left="0" w:firstLine="0"/>
      <w:jc w:val="center"/>
    </w:pPr>
  </w:style>
  <w:style w:type="paragraph" w:customStyle="1" w:styleId="To">
    <w:name w:val="To"/>
    <w:basedOn w:val="Normale"/>
    <w:rsid w:val="006223EB"/>
    <w:pPr>
      <w:spacing w:line="240" w:lineRule="auto"/>
      <w:ind w:firstLine="0"/>
      <w:jc w:val="left"/>
    </w:pPr>
    <w:rPr>
      <w:sz w:val="36"/>
    </w:rPr>
  </w:style>
  <w:style w:type="paragraph" w:customStyle="1" w:styleId="ToFax">
    <w:name w:val="ToFax"/>
    <w:basedOn w:val="Normale"/>
    <w:rsid w:val="006223EB"/>
    <w:pPr>
      <w:spacing w:line="240" w:lineRule="auto"/>
      <w:ind w:firstLine="0"/>
      <w:jc w:val="left"/>
    </w:pPr>
    <w:rPr>
      <w:sz w:val="28"/>
    </w:rPr>
  </w:style>
  <w:style w:type="paragraph" w:customStyle="1" w:styleId="FromCompany">
    <w:name w:val="FromCompany"/>
    <w:basedOn w:val="Normale"/>
    <w:rsid w:val="006223EB"/>
    <w:pPr>
      <w:spacing w:line="240" w:lineRule="auto"/>
      <w:ind w:firstLine="0"/>
      <w:jc w:val="left"/>
    </w:pPr>
    <w:rPr>
      <w:sz w:val="28"/>
    </w:rPr>
  </w:style>
  <w:style w:type="paragraph" w:customStyle="1" w:styleId="FromPhone">
    <w:name w:val="FromPhone"/>
    <w:basedOn w:val="Normale"/>
    <w:rsid w:val="006223EB"/>
    <w:pPr>
      <w:spacing w:line="240" w:lineRule="auto"/>
      <w:ind w:firstLine="0"/>
      <w:jc w:val="left"/>
    </w:pPr>
    <w:rPr>
      <w:sz w:val="28"/>
    </w:rPr>
  </w:style>
  <w:style w:type="paragraph" w:customStyle="1" w:styleId="FromFax">
    <w:name w:val="FromFax"/>
    <w:basedOn w:val="Normale"/>
    <w:rsid w:val="006223EB"/>
    <w:pPr>
      <w:spacing w:line="240" w:lineRule="auto"/>
      <w:ind w:firstLine="0"/>
      <w:jc w:val="left"/>
    </w:pPr>
    <w:rPr>
      <w:sz w:val="28"/>
    </w:rPr>
  </w:style>
  <w:style w:type="paragraph" w:customStyle="1" w:styleId="ToPhone">
    <w:name w:val="ToPhone"/>
    <w:basedOn w:val="ToCompany"/>
    <w:rsid w:val="006223EB"/>
  </w:style>
  <w:style w:type="paragraph" w:customStyle="1" w:styleId="AAA-COST-Indiceautomatico">
    <w:name w:val="AAA-COST.-Indice automatico"/>
    <w:rsid w:val="00F84BDE"/>
    <w:rPr>
      <w:noProof/>
      <w:sz w:val="3276"/>
    </w:rPr>
  </w:style>
  <w:style w:type="paragraph" w:customStyle="1" w:styleId="AAA-COMITATO-Indiceautomatico">
    <w:name w:val="AAA-COMITATO-Indice automatico"/>
    <w:rsid w:val="00F84BDE"/>
    <w:rPr>
      <w:noProof/>
      <w:sz w:val="3276"/>
    </w:rPr>
  </w:style>
  <w:style w:type="paragraph" w:customStyle="1" w:styleId="AAA-NORMATIVA-INDICEAUTOMATICO">
    <w:name w:val="AAA-NORMATIVA-INDICE AUTOMATICO"/>
    <w:rsid w:val="00F84BDE"/>
    <w:pPr>
      <w:spacing w:line="300" w:lineRule="atLeast"/>
      <w:ind w:firstLine="284"/>
      <w:jc w:val="both"/>
    </w:pPr>
    <w:rPr>
      <w:rFonts w:ascii="Arial" w:hAnsi="Arial"/>
      <w:sz w:val="22"/>
    </w:rPr>
  </w:style>
  <w:style w:type="paragraph" w:customStyle="1" w:styleId="AAA-SCHEDE-INDICEAUTOMATICO">
    <w:name w:val="AAA-SCHEDE-INDICE AUTOMATICO"/>
    <w:rsid w:val="00F84BDE"/>
    <w:pPr>
      <w:spacing w:line="300" w:lineRule="atLeast"/>
      <w:ind w:firstLine="284"/>
      <w:jc w:val="both"/>
    </w:pPr>
    <w:rPr>
      <w:rFonts w:ascii="Arial" w:hAnsi="Arial"/>
      <w:sz w:val="22"/>
    </w:rPr>
  </w:style>
  <w:style w:type="paragraph" w:customStyle="1" w:styleId="AAA-NORMATIVA-Indiceautomatico0">
    <w:name w:val="AAA-NORMATIVA-Indice automatico"/>
    <w:rsid w:val="00F84BDE"/>
    <w:rPr>
      <w:noProof/>
      <w:sz w:val="3276"/>
    </w:rPr>
  </w:style>
  <w:style w:type="paragraph" w:customStyle="1" w:styleId="AAA-SCHEDE-Indiceautomatico0">
    <w:name w:val="AAA-SCHEDE-Indice automatico"/>
    <w:rsid w:val="00F84BDE"/>
    <w:rPr>
      <w:noProof/>
      <w:sz w:val="3276"/>
    </w:rPr>
  </w:style>
  <w:style w:type="paragraph" w:customStyle="1" w:styleId="AAA-NORMATIVA-Indicecon2occh">
    <w:name w:val="AAA-NORMATIVA-Indice con 2° occh"/>
    <w:rsid w:val="00F84BDE"/>
    <w:pPr>
      <w:spacing w:line="300" w:lineRule="atLeast"/>
      <w:ind w:firstLine="284"/>
      <w:jc w:val="both"/>
    </w:pPr>
    <w:rPr>
      <w:rFonts w:ascii="Arial" w:hAnsi="Arial"/>
      <w:sz w:val="22"/>
    </w:rPr>
  </w:style>
  <w:style w:type="paragraph" w:customStyle="1" w:styleId="AAA-STRINGA-ATTI">
    <w:name w:val="AAA-STRINGA-ATTI"/>
    <w:rsid w:val="00F84BDE"/>
    <w:pPr>
      <w:spacing w:line="300" w:lineRule="atLeast"/>
      <w:ind w:firstLine="284"/>
      <w:jc w:val="both"/>
    </w:pPr>
    <w:rPr>
      <w:rFonts w:ascii="Arial" w:hAnsi="Arial"/>
      <w:sz w:val="22"/>
    </w:rPr>
  </w:style>
  <w:style w:type="paragraph" w:customStyle="1" w:styleId="AAA-STRINGA-OCCHIELLO">
    <w:name w:val="AAA-STRINGA-OCCHIELLO"/>
    <w:rsid w:val="00F84BDE"/>
    <w:pPr>
      <w:spacing w:line="300" w:lineRule="atLeast"/>
      <w:ind w:firstLine="284"/>
      <w:jc w:val="both"/>
    </w:pPr>
    <w:rPr>
      <w:rFonts w:ascii="Arial" w:hAnsi="Arial"/>
      <w:sz w:val="22"/>
    </w:rPr>
  </w:style>
  <w:style w:type="paragraph" w:customStyle="1" w:styleId="AAA-STRINGA-OCCHIELLO2">
    <w:name w:val="AAA-STRINGA-OCCHIELLO 2"/>
    <w:rsid w:val="00F84BDE"/>
    <w:pPr>
      <w:spacing w:line="300" w:lineRule="atLeast"/>
      <w:ind w:firstLine="284"/>
      <w:jc w:val="both"/>
    </w:pPr>
    <w:rPr>
      <w:rFonts w:ascii="Arial" w:hAnsi="Arial"/>
      <w:sz w:val="22"/>
    </w:rPr>
  </w:style>
  <w:style w:type="paragraph" w:customStyle="1" w:styleId="AAA-STRINGA-PARERIRESI">
    <w:name w:val="AAA-STRINGA-PARERI RESI.."/>
    <w:rsid w:val="00F84BDE"/>
    <w:pPr>
      <w:spacing w:line="300" w:lineRule="atLeast"/>
      <w:ind w:firstLine="284"/>
      <w:jc w:val="both"/>
    </w:pPr>
    <w:rPr>
      <w:rFonts w:ascii="Arial" w:hAnsi="Arial"/>
      <w:sz w:val="22"/>
    </w:rPr>
  </w:style>
  <w:style w:type="paragraph" w:customStyle="1" w:styleId="AAA-STRINGA-COMMISSIONECONSULTI">
    <w:name w:val="AAA-STRINGA-COMMISSIONE CONSULTI"/>
    <w:rsid w:val="00F84BDE"/>
    <w:pPr>
      <w:spacing w:line="300" w:lineRule="atLeast"/>
      <w:ind w:firstLine="284"/>
      <w:jc w:val="both"/>
    </w:pPr>
    <w:rPr>
      <w:rFonts w:ascii="Arial" w:hAnsi="Arial"/>
      <w:sz w:val="22"/>
    </w:rPr>
  </w:style>
  <w:style w:type="paragraph" w:customStyle="1" w:styleId="AAA-STRINGA-SEDUTADEL">
    <w:name w:val="AAA-STRINGA-SEDUTA DEL..."/>
    <w:rsid w:val="00F84BDE"/>
    <w:pPr>
      <w:widowControl w:val="0"/>
      <w:tabs>
        <w:tab w:val="right" w:pos="7938"/>
      </w:tabs>
      <w:spacing w:line="300" w:lineRule="atLeast"/>
      <w:ind w:left="851" w:right="851"/>
      <w:jc w:val="both"/>
      <w:outlineLvl w:val="4"/>
    </w:pPr>
    <w:rPr>
      <w:rFonts w:ascii="Arial" w:hAnsi="Arial"/>
      <w:noProof/>
      <w:sz w:val="22"/>
    </w:rPr>
  </w:style>
  <w:style w:type="paragraph" w:customStyle="1" w:styleId="AAA-ATTI-Indice">
    <w:name w:val="AAA-ATTI-Indice"/>
    <w:rsid w:val="00F84BDE"/>
    <w:pPr>
      <w:spacing w:line="300" w:lineRule="atLeast"/>
      <w:ind w:firstLine="284"/>
      <w:jc w:val="both"/>
    </w:pPr>
    <w:rPr>
      <w:rFonts w:ascii="Arial" w:hAnsi="Arial"/>
      <w:sz w:val="22"/>
    </w:rPr>
  </w:style>
  <w:style w:type="paragraph" w:customStyle="1" w:styleId="AAA-DOSSIER-Indiceautomaticoco">
    <w:name w:val="AAA-DOSSIER-Indice automatico co"/>
    <w:rsid w:val="00F84BDE"/>
    <w:pPr>
      <w:spacing w:line="300" w:lineRule="atLeast"/>
      <w:ind w:firstLine="284"/>
      <w:jc w:val="both"/>
    </w:pPr>
    <w:rPr>
      <w:rFonts w:ascii="Arial" w:hAnsi="Arial"/>
      <w:sz w:val="22"/>
    </w:rPr>
  </w:style>
  <w:style w:type="paragraph" w:customStyle="1" w:styleId="elencopuntato1liv">
    <w:name w:val="elencopuntato1°liv"/>
    <w:basedOn w:val="Normale"/>
    <w:rsid w:val="00F84BDE"/>
    <w:pPr>
      <w:numPr>
        <w:numId w:val="2"/>
      </w:numPr>
    </w:pPr>
  </w:style>
  <w:style w:type="paragraph" w:customStyle="1" w:styleId="Elencopuntato2livello">
    <w:name w:val="Elenco puntato 2° livello"/>
    <w:basedOn w:val="Normale"/>
    <w:rsid w:val="00F84BDE"/>
    <w:pPr>
      <w:ind w:firstLine="0"/>
    </w:pPr>
    <w:rPr>
      <w:i/>
    </w:rPr>
  </w:style>
  <w:style w:type="paragraph" w:customStyle="1" w:styleId="Elencopuntato1livello">
    <w:name w:val="Elenco puntato1°livello"/>
    <w:basedOn w:val="Normale"/>
    <w:next w:val="Normale"/>
    <w:rsid w:val="00F84BDE"/>
    <w:pPr>
      <w:numPr>
        <w:numId w:val="1"/>
      </w:numPr>
    </w:pPr>
    <w:rPr>
      <w:b/>
      <w:i/>
    </w:rPr>
  </w:style>
  <w:style w:type="paragraph" w:customStyle="1" w:styleId="aaa-omissis">
    <w:name w:val="aaa-omissis"/>
    <w:basedOn w:val="Normale"/>
    <w:rsid w:val="00F84BDE"/>
    <w:pPr>
      <w:spacing w:before="320" w:after="320"/>
      <w:ind w:firstLine="0"/>
      <w:jc w:val="center"/>
    </w:pPr>
    <w:rPr>
      <w:i/>
      <w:sz w:val="20"/>
    </w:rPr>
  </w:style>
  <w:style w:type="paragraph" w:customStyle="1" w:styleId="NOWEB">
    <w:name w:val="NOWEB"/>
    <w:basedOn w:val="Normale"/>
    <w:rsid w:val="00F84BDE"/>
    <w:rPr>
      <w:b/>
      <w:vanish/>
      <w:color w:val="FF0000"/>
      <w:szCs w:val="22"/>
      <w:u w:val="single"/>
    </w:rPr>
  </w:style>
  <w:style w:type="paragraph" w:customStyle="1" w:styleId="SIWEB">
    <w:name w:val="SIWEB"/>
    <w:basedOn w:val="Normale"/>
    <w:rsid w:val="00F84BDE"/>
    <w:pPr>
      <w:ind w:right="-285"/>
    </w:pPr>
    <w:rPr>
      <w:b/>
      <w:vanish/>
      <w:color w:val="339966"/>
      <w:szCs w:val="22"/>
      <w:effect w:val="antsBlack"/>
    </w:rPr>
  </w:style>
  <w:style w:type="table" w:styleId="Grigliatabella">
    <w:name w:val="Table Grid"/>
    <w:basedOn w:val="Tabellanormale"/>
    <w:rsid w:val="004220EF"/>
    <w:pPr>
      <w:spacing w:line="300" w:lineRule="atLeast"/>
      <w:ind w:firstLine="284"/>
      <w:jc w:val="both"/>
    </w:pPr>
    <w:tblPr/>
  </w:style>
  <w:style w:type="character" w:styleId="Collegamentovisitato">
    <w:name w:val="FollowedHyperlink"/>
    <w:rsid w:val="00F84BDE"/>
    <w:rPr>
      <w:color w:val="800080"/>
      <w:u w:val="single"/>
    </w:rPr>
  </w:style>
  <w:style w:type="paragraph" w:styleId="Iniziomodulo-z">
    <w:name w:val="HTML Top of Form"/>
    <w:basedOn w:val="Normale"/>
    <w:next w:val="Normale"/>
    <w:link w:val="Iniziomodulo-zCaratter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link w:val="Finemodulo-zCaratter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F84BDE"/>
    <w:pPr>
      <w:spacing w:after="120" w:line="240" w:lineRule="exact"/>
      <w:jc w:val="center"/>
    </w:pPr>
    <w:rPr>
      <w:rFonts w:ascii="Garamond" w:hAnsi="Garamond"/>
      <w:b/>
      <w:bCs/>
    </w:rPr>
  </w:style>
  <w:style w:type="character" w:styleId="Enfasigrassetto">
    <w:name w:val="Strong"/>
    <w:qFormat/>
    <w:rsid w:val="00F84BDE"/>
    <w:rPr>
      <w:b/>
      <w:bCs/>
    </w:rPr>
  </w:style>
  <w:style w:type="paragraph" w:customStyle="1" w:styleId="bgricerca">
    <w:name w:val="bgricerca"/>
    <w:basedOn w:val="Normale"/>
    <w:rsid w:val="00F84BDE"/>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F84BDE"/>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F84BDE"/>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F84BDE"/>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F84BDE"/>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F84BDE"/>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F84BDE"/>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rsid w:val="00F84BDE"/>
    <w:pPr>
      <w:spacing w:after="120" w:line="240" w:lineRule="exact"/>
    </w:pPr>
    <w:rPr>
      <w:rFonts w:ascii="Garamond" w:hAnsi="Garamond" w:cs="Garamond"/>
      <w:sz w:val="24"/>
      <w:szCs w:val="24"/>
    </w:rPr>
  </w:style>
  <w:style w:type="character" w:customStyle="1" w:styleId="Collegamentoipertestuale1">
    <w:name w:val="Collegamento ipertestuale1"/>
    <w:rsid w:val="00F84BDE"/>
    <w:rPr>
      <w:strike w:val="0"/>
      <w:dstrike w:val="0"/>
      <w:color w:val="0000FF"/>
      <w:u w:val="none"/>
      <w:effect w:val="none"/>
      <w:shd w:val="clear" w:color="auto" w:fill="auto"/>
    </w:rPr>
  </w:style>
  <w:style w:type="paragraph" w:customStyle="1" w:styleId="Titolo12">
    <w:name w:val="Titolo 12"/>
    <w:basedOn w:val="Normale"/>
    <w:rsid w:val="00F84BDE"/>
    <w:pPr>
      <w:spacing w:before="100" w:beforeAutospacing="1" w:after="240" w:line="240" w:lineRule="auto"/>
      <w:ind w:firstLine="0"/>
      <w:jc w:val="center"/>
      <w:outlineLvl w:val="1"/>
    </w:pPr>
    <w:rPr>
      <w:rFonts w:ascii="Verdana" w:hAnsi="Verdana" w:cs="Garamond"/>
      <w:b/>
      <w:bCs/>
      <w:color w:val="000000"/>
      <w:kern w:val="36"/>
      <w:szCs w:val="22"/>
    </w:rPr>
  </w:style>
  <w:style w:type="character" w:customStyle="1" w:styleId="Collegamentoipertestuale2">
    <w:name w:val="Collegamento ipertestuale2"/>
    <w:rsid w:val="00F84BDE"/>
    <w:rPr>
      <w:strike w:val="0"/>
      <w:dstrike w:val="0"/>
      <w:color w:val="0000FF"/>
      <w:u w:val="none"/>
      <w:effect w:val="none"/>
      <w:shd w:val="clear" w:color="auto" w:fill="auto"/>
    </w:rPr>
  </w:style>
  <w:style w:type="paragraph" w:customStyle="1" w:styleId="DATASenComm">
    <w:name w:val="DATASenComm"/>
    <w:basedOn w:val="Normale"/>
    <w:link w:val="DATASenCommCarattere"/>
    <w:rsid w:val="00034E07"/>
    <w:pPr>
      <w:jc w:val="center"/>
    </w:pPr>
    <w:rPr>
      <w:rFonts w:ascii="Garamond" w:hAnsi="Garamond"/>
      <w:sz w:val="24"/>
      <w:szCs w:val="24"/>
    </w:rPr>
  </w:style>
  <w:style w:type="character" w:customStyle="1" w:styleId="DATASenCommCarattere">
    <w:name w:val="DATASenComm Carattere"/>
    <w:link w:val="DATASenComm"/>
    <w:rsid w:val="00034E07"/>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1D1CAC"/>
    <w:pPr>
      <w:ind w:firstLine="0"/>
    </w:pPr>
    <w:rPr>
      <w:rFonts w:ascii="Times" w:hAnsi="Times"/>
      <w:sz w:val="32"/>
      <w:szCs w:val="32"/>
    </w:rPr>
  </w:style>
  <w:style w:type="character" w:customStyle="1" w:styleId="XV-ASS-SENsedutaCarattere">
    <w:name w:val="XV-ASS-SEN_seduta Carattere"/>
    <w:link w:val="XV-ASS-SENseduta"/>
    <w:rsid w:val="008B471B"/>
    <w:rPr>
      <w:rFonts w:ascii="Times" w:hAnsi="Times"/>
      <w:sz w:val="32"/>
      <w:szCs w:val="32"/>
      <w:lang w:val="it-IT" w:eastAsia="it-IT" w:bidi="ar-SA"/>
    </w:rPr>
  </w:style>
  <w:style w:type="paragraph" w:customStyle="1" w:styleId="ASS-SENXVLegislatura">
    <w:name w:val="ASS-SEN_XV Legislatura"/>
    <w:basedOn w:val="Normale"/>
    <w:rsid w:val="00BA23FD"/>
    <w:pPr>
      <w:spacing w:line="240" w:lineRule="auto"/>
      <w:ind w:firstLine="0"/>
      <w:jc w:val="right"/>
    </w:pPr>
    <w:rPr>
      <w:rFonts w:ascii="CG Times" w:hAnsi="CG Times"/>
      <w:sz w:val="24"/>
      <w:szCs w:val="24"/>
    </w:rPr>
  </w:style>
  <w:style w:type="character" w:styleId="AcronimoHTML">
    <w:name w:val="HTML Acronym"/>
    <w:basedOn w:val="Carpredefinitoparagrafo"/>
    <w:rsid w:val="00C53DBC"/>
  </w:style>
  <w:style w:type="character" w:customStyle="1" w:styleId="DATA-ASS-SEN">
    <w:name w:val="DATA-ASS-SEN"/>
    <w:basedOn w:val="Carpredefinitoparagrafo"/>
    <w:rsid w:val="00BA23FD"/>
  </w:style>
  <w:style w:type="paragraph" w:customStyle="1" w:styleId="ASS-SENNumero">
    <w:name w:val="ASS-SEN_Numero"/>
    <w:link w:val="ASS-SENNumeroCarattere"/>
    <w:rsid w:val="00BA23FD"/>
    <w:rPr>
      <w:rFonts w:ascii="CG Times" w:hAnsi="CG Times"/>
      <w:sz w:val="32"/>
    </w:rPr>
  </w:style>
  <w:style w:type="character" w:customStyle="1" w:styleId="ASS-SENNumeroCarattere">
    <w:name w:val="ASS-SEN_Numero Carattere"/>
    <w:link w:val="ASS-SENNumero"/>
    <w:rsid w:val="001D1CAC"/>
    <w:rPr>
      <w:rFonts w:ascii="CG Times" w:hAnsi="CG Times"/>
      <w:sz w:val="32"/>
      <w:lang w:val="it-IT" w:eastAsia="it-IT" w:bidi="ar-SA"/>
    </w:rPr>
  </w:style>
  <w:style w:type="paragraph" w:customStyle="1" w:styleId="XV-ASS-SENRESOCONTO">
    <w:name w:val="XV-ASS-SEN_RESOCONTO"/>
    <w:basedOn w:val="AS-SENATODELLAREPUBBLICA"/>
    <w:rsid w:val="00A870E6"/>
    <w:pPr>
      <w:spacing w:before="120"/>
      <w:ind w:right="-68"/>
      <w:jc w:val="left"/>
    </w:pPr>
    <w:rPr>
      <w:rFonts w:ascii="CG Times" w:hAnsi="CG Times"/>
      <w:spacing w:val="0"/>
      <w:sz w:val="36"/>
      <w:szCs w:val="36"/>
    </w:rPr>
  </w:style>
  <w:style w:type="paragraph" w:customStyle="1" w:styleId="XV-ASS-SENASSEMBLEA">
    <w:name w:val="XV-ASS-SEN_ASSEMBLEA"/>
    <w:rsid w:val="00A870E6"/>
    <w:pPr>
      <w:spacing w:before="240"/>
      <w:ind w:right="-68"/>
    </w:pPr>
    <w:rPr>
      <w:rFonts w:ascii="CG Times" w:hAnsi="CG Times"/>
      <w:b/>
      <w:sz w:val="36"/>
      <w:szCs w:val="36"/>
    </w:rPr>
  </w:style>
  <w:style w:type="paragraph" w:customStyle="1" w:styleId="XV-ASS-SENdata">
    <w:name w:val="XV-ASS-SEN_data"/>
    <w:basedOn w:val="Normale"/>
    <w:link w:val="XV-ASS-SENdataCarattere"/>
    <w:rsid w:val="001D1CAC"/>
    <w:pPr>
      <w:ind w:firstLine="0"/>
    </w:pPr>
    <w:rPr>
      <w:rFonts w:ascii="Times" w:hAnsi="Times"/>
      <w:sz w:val="32"/>
    </w:rPr>
  </w:style>
  <w:style w:type="character" w:customStyle="1" w:styleId="XV-ASS-SENdataCarattere">
    <w:name w:val="XV-ASS-SEN_data Carattere"/>
    <w:link w:val="XV-ASS-SENdata"/>
    <w:rsid w:val="001D1CAC"/>
    <w:rPr>
      <w:rFonts w:ascii="Times" w:hAnsi="Times"/>
      <w:sz w:val="32"/>
      <w:lang w:val="it-IT" w:eastAsia="it-IT" w:bidi="ar-SA"/>
    </w:rPr>
  </w:style>
  <w:style w:type="paragraph" w:customStyle="1" w:styleId="ASS-SENXIVLegislatura">
    <w:name w:val="ASS-SEN_XIV Legislatura"/>
    <w:basedOn w:val="AS-XIVLEGISLATURA"/>
    <w:rsid w:val="00F84BDE"/>
    <w:pPr>
      <w:spacing w:before="240"/>
    </w:pPr>
  </w:style>
  <w:style w:type="character" w:customStyle="1" w:styleId="DATA-ASS-SEN-XV">
    <w:name w:val="DATA-ASS-SEN-XV"/>
    <w:basedOn w:val="Carpredefinitoparagrafo"/>
    <w:rsid w:val="00BA23FD"/>
  </w:style>
  <w:style w:type="character" w:customStyle="1" w:styleId="XV-ASS-SENgiorno">
    <w:name w:val="XV-ASS-SEN_giorno"/>
    <w:rsid w:val="001D11FB"/>
    <w:rPr>
      <w:rFonts w:ascii="Times" w:hAnsi="Times"/>
      <w:sz w:val="32"/>
      <w:szCs w:val="32"/>
    </w:rPr>
  </w:style>
  <w:style w:type="paragraph" w:customStyle="1" w:styleId="XV-ASS-SENPresidenza">
    <w:name w:val="XV-ASS-SEN_Presidenza"/>
    <w:basedOn w:val="ASS-SENdata"/>
    <w:rsid w:val="00A870E6"/>
    <w:pPr>
      <w:spacing w:line="240" w:lineRule="auto"/>
      <w:jc w:val="left"/>
    </w:pPr>
    <w:rPr>
      <w:b w:val="0"/>
      <w:spacing w:val="0"/>
      <w:sz w:val="28"/>
      <w:szCs w:val="28"/>
    </w:rPr>
  </w:style>
  <w:style w:type="paragraph" w:customStyle="1" w:styleId="XV-ASS-SENAntimer">
    <w:name w:val="XV-ASS-SEN_Antimer"/>
    <w:basedOn w:val="Normale"/>
    <w:link w:val="XV-ASS-SENAntimerCarattere"/>
    <w:rsid w:val="000B3065"/>
    <w:pPr>
      <w:ind w:firstLine="0"/>
    </w:pPr>
    <w:rPr>
      <w:rFonts w:ascii="Times" w:hAnsi="Times"/>
      <w:sz w:val="32"/>
      <w:szCs w:val="32"/>
    </w:rPr>
  </w:style>
  <w:style w:type="character" w:customStyle="1" w:styleId="XV-ASS-SENAntimerCarattere">
    <w:name w:val="XV-ASS-SEN_Antimer Carattere"/>
    <w:link w:val="XV-ASS-SENAntimer"/>
    <w:rsid w:val="000B3065"/>
    <w:rPr>
      <w:rFonts w:ascii="Times" w:hAnsi="Times"/>
      <w:sz w:val="32"/>
      <w:szCs w:val="32"/>
      <w:lang w:val="it-IT" w:eastAsia="it-IT" w:bidi="ar-SA"/>
    </w:rPr>
  </w:style>
  <w:style w:type="paragraph" w:customStyle="1" w:styleId="XV-CopertinaServizioStudi">
    <w:name w:val="XV-Copertina/ServizioStudi"/>
    <w:basedOn w:val="Normale"/>
    <w:rsid w:val="00462D37"/>
    <w:pPr>
      <w:ind w:firstLine="0"/>
      <w:jc w:val="center"/>
    </w:pPr>
    <w:rPr>
      <w:spacing w:val="60"/>
      <w:sz w:val="40"/>
      <w:szCs w:val="40"/>
    </w:rPr>
  </w:style>
  <w:style w:type="paragraph" w:customStyle="1" w:styleId="XV-CopertinaCollana">
    <w:name w:val="XV-Copertina/Collana"/>
    <w:basedOn w:val="Normale"/>
    <w:rsid w:val="003F4C86"/>
    <w:pPr>
      <w:spacing w:line="240" w:lineRule="auto"/>
      <w:ind w:firstLine="0"/>
      <w:jc w:val="center"/>
    </w:pPr>
    <w:rPr>
      <w:spacing w:val="60"/>
      <w:sz w:val="36"/>
      <w:szCs w:val="36"/>
    </w:rPr>
  </w:style>
  <w:style w:type="paragraph" w:customStyle="1" w:styleId="XV-CopertinaServizio">
    <w:name w:val="XV-Copertina/Servizio"/>
    <w:basedOn w:val="XV-CopertinaServizioStudi"/>
    <w:rsid w:val="00727368"/>
    <w:pPr>
      <w:spacing w:line="240" w:lineRule="auto"/>
    </w:pPr>
  </w:style>
  <w:style w:type="paragraph" w:customStyle="1" w:styleId="XV-Legislatura">
    <w:name w:val="XV-Legislatura"/>
    <w:basedOn w:val="CopertinaServizio"/>
    <w:rsid w:val="0011220B"/>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0B2690"/>
    <w:rPr>
      <w:rFonts w:cs="Arial"/>
      <w:b w:val="0"/>
      <w:smallCaps w:val="0"/>
      <w:spacing w:val="20"/>
      <w:szCs w:val="40"/>
    </w:rPr>
  </w:style>
  <w:style w:type="paragraph" w:customStyle="1" w:styleId="XV-CopertinaTitolo">
    <w:name w:val="XV-Copertina/Titolo"/>
    <w:basedOn w:val="Normale"/>
    <w:rsid w:val="00C74C3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054773"/>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5B6F13"/>
    <w:pPr>
      <w:ind w:firstLine="0"/>
      <w:jc w:val="center"/>
    </w:pPr>
    <w:rPr>
      <w:spacing w:val="20"/>
      <w:sz w:val="28"/>
      <w:szCs w:val="28"/>
    </w:rPr>
  </w:style>
  <w:style w:type="paragraph" w:customStyle="1" w:styleId="XV-Copertinaparteedizione">
    <w:name w:val="XV-Copertina/parteedizione"/>
    <w:basedOn w:val="Titolo8"/>
    <w:rsid w:val="00867692"/>
    <w:pPr>
      <w:keepNext/>
      <w:spacing w:before="120" w:after="120"/>
      <w:jc w:val="center"/>
    </w:pPr>
    <w:rPr>
      <w:rFonts w:cs="Arial"/>
      <w:i w:val="0"/>
      <w:spacing w:val="20"/>
      <w:sz w:val="26"/>
      <w:szCs w:val="26"/>
    </w:rPr>
  </w:style>
  <w:style w:type="paragraph" w:customStyle="1" w:styleId="XV-Copertinanumero">
    <w:name w:val="XV-Copertina/numero"/>
    <w:basedOn w:val="Normale"/>
    <w:rsid w:val="00867692"/>
    <w:pPr>
      <w:ind w:firstLine="0"/>
      <w:jc w:val="center"/>
    </w:pPr>
    <w:rPr>
      <w:rFonts w:cs="Arial"/>
      <w:sz w:val="32"/>
      <w:szCs w:val="32"/>
    </w:rPr>
  </w:style>
  <w:style w:type="paragraph" w:customStyle="1" w:styleId="XV-Copertinatitolo0">
    <w:name w:val="XV-Copertina/titolo"/>
    <w:basedOn w:val="Normale"/>
    <w:rsid w:val="00462D37"/>
    <w:pPr>
      <w:ind w:firstLine="0"/>
      <w:jc w:val="center"/>
    </w:pPr>
    <w:rPr>
      <w:spacing w:val="20"/>
      <w:sz w:val="44"/>
      <w:szCs w:val="44"/>
    </w:rPr>
  </w:style>
  <w:style w:type="paragraph" w:customStyle="1" w:styleId="ASS-SENNumeroseduta">
    <w:name w:val="ASS-SEN_Numero seduta"/>
    <w:basedOn w:val="Normale"/>
    <w:link w:val="ASS-SENNumerosedutaCarattere"/>
    <w:rsid w:val="001D11FB"/>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1D11FB"/>
    <w:rPr>
      <w:rFonts w:ascii="CG Times" w:hAnsi="CG Times"/>
      <w:noProof/>
      <w:sz w:val="32"/>
      <w:lang w:val="it-IT" w:eastAsia="it-IT" w:bidi="ar-SA"/>
    </w:rPr>
  </w:style>
  <w:style w:type="paragraph" w:customStyle="1" w:styleId="STILE-LINEA">
    <w:name w:val="STILE-LINEA"/>
    <w:basedOn w:val="Normale"/>
    <w:rsid w:val="00144612"/>
    <w:pPr>
      <w:ind w:firstLine="0"/>
      <w:jc w:val="center"/>
    </w:pPr>
  </w:style>
  <w:style w:type="character" w:customStyle="1" w:styleId="CAM-ASS-sedutadiCarattere">
    <w:name w:val="CAM-ASS-seduta di.. Carattere"/>
    <w:link w:val="CAM-ASS-sedutadi"/>
    <w:rsid w:val="002218F2"/>
    <w:rPr>
      <w:rFonts w:ascii="Garamond" w:hAnsi="Garamond"/>
      <w:caps/>
      <w:spacing w:val="20"/>
      <w:w w:val="66"/>
      <w:sz w:val="48"/>
      <w:lang w:val="it-IT" w:eastAsia="it-IT" w:bidi="ar-SA"/>
    </w:rPr>
  </w:style>
  <w:style w:type="paragraph" w:customStyle="1" w:styleId="XV-Copertinacamera">
    <w:name w:val="XV-Copertina/camera"/>
    <w:basedOn w:val="Normale"/>
    <w:rsid w:val="00B63542"/>
    <w:pPr>
      <w:ind w:firstLine="0"/>
      <w:jc w:val="center"/>
    </w:pPr>
    <w:rPr>
      <w:sz w:val="40"/>
      <w:szCs w:val="40"/>
    </w:rPr>
  </w:style>
  <w:style w:type="paragraph" w:customStyle="1" w:styleId="XV-ASS-SENnumero">
    <w:name w:val="XV-ASS-SEN_numero"/>
    <w:link w:val="XV-ASS-SENnumeroCarattere"/>
    <w:rsid w:val="00031506"/>
    <w:rPr>
      <w:rFonts w:ascii="CG Times" w:hAnsi="CG Times"/>
      <w:sz w:val="32"/>
    </w:rPr>
  </w:style>
  <w:style w:type="character" w:customStyle="1" w:styleId="XV-ASS-SENnumeroCarattere">
    <w:name w:val="XV-ASS-SEN_numero Carattere"/>
    <w:link w:val="XV-ASS-SENnumero"/>
    <w:rsid w:val="00031506"/>
    <w:rPr>
      <w:rFonts w:ascii="CG Times" w:hAnsi="CG Times"/>
      <w:sz w:val="32"/>
      <w:lang w:val="it-IT" w:eastAsia="it-IT" w:bidi="ar-SA"/>
    </w:rPr>
  </w:style>
  <w:style w:type="character" w:customStyle="1" w:styleId="XV-ASS-SENdata-Carattere">
    <w:name w:val="XV-ASS-SEN_data-Carattere"/>
    <w:rsid w:val="00BF3E50"/>
  </w:style>
  <w:style w:type="character" w:customStyle="1" w:styleId="XV-ASS-SENsedutaCar">
    <w:name w:val="XV-ASS-SEN_seduta Car"/>
    <w:basedOn w:val="XV-ASS-SENsedutaCarattere"/>
    <w:rsid w:val="00E00A30"/>
    <w:rPr>
      <w:rFonts w:ascii="Times" w:hAnsi="Times"/>
      <w:sz w:val="32"/>
      <w:szCs w:val="32"/>
      <w:lang w:val="it-IT" w:eastAsia="it-IT" w:bidi="ar-SA"/>
    </w:rPr>
  </w:style>
  <w:style w:type="character" w:customStyle="1" w:styleId="XV-ASS-SENseduta-Car">
    <w:name w:val="XV-ASS-SEN_seduta-Car"/>
    <w:rsid w:val="00DF53D3"/>
    <w:rPr>
      <w:sz w:val="36"/>
      <w:szCs w:val="36"/>
    </w:rPr>
  </w:style>
  <w:style w:type="character" w:customStyle="1" w:styleId="leggititoloCarattere">
    <w:name w:val="leggi_titolo Carattere"/>
    <w:link w:val="leggititolo"/>
    <w:rsid w:val="000000F8"/>
    <w:rPr>
      <w:rFonts w:ascii="Arial" w:hAnsi="Arial"/>
      <w:b/>
      <w:lang w:val="it-IT" w:eastAsia="it-IT" w:bidi="ar-SA"/>
    </w:rPr>
  </w:style>
  <w:style w:type="paragraph" w:styleId="Testofumetto">
    <w:name w:val="Balloon Text"/>
    <w:basedOn w:val="Normale"/>
    <w:link w:val="TestofumettoCarattere"/>
    <w:rsid w:val="008F3A6D"/>
    <w:rPr>
      <w:rFonts w:ascii="Tahoma" w:hAnsi="Tahoma" w:cs="Tahoma"/>
      <w:sz w:val="16"/>
      <w:szCs w:val="16"/>
    </w:rPr>
  </w:style>
  <w:style w:type="character" w:styleId="Rimandocommento">
    <w:name w:val="annotation reference"/>
    <w:rsid w:val="005633C0"/>
    <w:rPr>
      <w:sz w:val="16"/>
      <w:szCs w:val="16"/>
    </w:rPr>
  </w:style>
  <w:style w:type="paragraph" w:styleId="Testocommento">
    <w:name w:val="annotation text"/>
    <w:basedOn w:val="Normale"/>
    <w:link w:val="TestocommentoCarattere"/>
    <w:rsid w:val="005633C0"/>
    <w:rPr>
      <w:sz w:val="20"/>
    </w:rPr>
  </w:style>
  <w:style w:type="paragraph" w:styleId="Soggettocommento">
    <w:name w:val="annotation subject"/>
    <w:basedOn w:val="Testocommento"/>
    <w:next w:val="Testocommento"/>
    <w:link w:val="SoggettocommentoCarattere"/>
    <w:rsid w:val="005633C0"/>
    <w:rPr>
      <w:b/>
      <w:bCs/>
    </w:rPr>
  </w:style>
  <w:style w:type="character" w:customStyle="1" w:styleId="TestonotaapidipaginaCarattere3">
    <w:name w:val="Testo nota a piè di pagina Carattere3"/>
    <w:aliases w:val="Testo nota a piè di pagina Carattere Carattere,Testo nota a piè di pagina Carattere1 Carattere1,Testo nota a piè di pagina Carattere2 Carattere,Testo nota a piè di pagina Carattere Carattere1 Carattere"/>
    <w:link w:val="Testonotaapidipagina"/>
    <w:rsid w:val="006F4135"/>
    <w:rPr>
      <w:rFonts w:ascii="Arial" w:hAnsi="Arial"/>
      <w:sz w:val="18"/>
      <w:lang w:val="it-IT" w:eastAsia="it-IT" w:bidi="ar-SA"/>
    </w:rPr>
  </w:style>
  <w:style w:type="character" w:customStyle="1" w:styleId="Titolo1Carattere1">
    <w:name w:val="Titolo 1 Carattere1"/>
    <w:link w:val="Titolo1"/>
    <w:rsid w:val="00107446"/>
    <w:rPr>
      <w:rFonts w:ascii="Arial" w:hAnsi="Arial"/>
      <w:b/>
      <w:smallCaps/>
      <w:kern w:val="28"/>
      <w:sz w:val="26"/>
      <w:lang w:val="it-IT" w:eastAsia="it-IT" w:bidi="ar-SA"/>
    </w:rPr>
  </w:style>
  <w:style w:type="character" w:styleId="Enfasicorsivo">
    <w:name w:val="Emphasis"/>
    <w:uiPriority w:val="20"/>
    <w:qFormat/>
    <w:rsid w:val="004A24D7"/>
    <w:rPr>
      <w:i/>
      <w:iCs/>
    </w:rPr>
  </w:style>
  <w:style w:type="paragraph" w:customStyle="1" w:styleId="Testo">
    <w:name w:val="Testo"/>
    <w:aliases w:val="note a piè di pagina"/>
    <w:basedOn w:val="Normale"/>
    <w:rsid w:val="004A24D7"/>
    <w:pPr>
      <w:numPr>
        <w:numId w:val="6"/>
      </w:numPr>
      <w:outlineLvl w:val="0"/>
    </w:pPr>
  </w:style>
  <w:style w:type="character" w:customStyle="1" w:styleId="StileGrassetto">
    <w:name w:val="Stile Grassetto"/>
    <w:rsid w:val="00480024"/>
    <w:rPr>
      <w:rFonts w:ascii="Arial" w:hAnsi="Arial"/>
      <w:b/>
      <w:bCs/>
      <w:sz w:val="22"/>
    </w:rPr>
  </w:style>
  <w:style w:type="paragraph" w:customStyle="1" w:styleId="Normale1">
    <w:name w:val="Normale1"/>
    <w:link w:val="Normale1Carattere1"/>
    <w:rsid w:val="00AB0849"/>
    <w:pPr>
      <w:spacing w:after="120" w:line="360" w:lineRule="atLeast"/>
      <w:ind w:firstLine="284"/>
      <w:jc w:val="both"/>
    </w:pPr>
    <w:rPr>
      <w:rFonts w:ascii="Arial" w:hAnsi="Arial"/>
      <w:sz w:val="24"/>
    </w:rPr>
  </w:style>
  <w:style w:type="character" w:customStyle="1" w:styleId="Normale1Carattere1">
    <w:name w:val="Normale1 Carattere1"/>
    <w:link w:val="Normale1"/>
    <w:rsid w:val="00AB0849"/>
    <w:rPr>
      <w:rFonts w:ascii="Arial" w:hAnsi="Arial"/>
      <w:sz w:val="24"/>
      <w:lang w:val="it-IT" w:eastAsia="it-IT" w:bidi="ar-SA"/>
    </w:rPr>
  </w:style>
  <w:style w:type="paragraph" w:customStyle="1" w:styleId="provvr0">
    <w:name w:val="provv_r0"/>
    <w:basedOn w:val="Normale"/>
    <w:rsid w:val="000B0EDC"/>
    <w:pPr>
      <w:spacing w:before="100" w:beforeAutospacing="1" w:after="100" w:afterAutospacing="1" w:line="240" w:lineRule="auto"/>
      <w:ind w:firstLine="0"/>
      <w:jc w:val="left"/>
    </w:pPr>
    <w:rPr>
      <w:rFonts w:ascii="Times New Roman" w:hAnsi="Times New Roman"/>
      <w:sz w:val="24"/>
      <w:szCs w:val="24"/>
    </w:rPr>
  </w:style>
  <w:style w:type="character" w:customStyle="1" w:styleId="provvnumcomma">
    <w:name w:val="provv_numcomma"/>
    <w:basedOn w:val="Carpredefinitoparagrafo"/>
    <w:rsid w:val="000B0EDC"/>
  </w:style>
  <w:style w:type="character" w:customStyle="1" w:styleId="linkneltesto">
    <w:name w:val="link_nel_testo"/>
    <w:basedOn w:val="Carpredefinitoparagrafo"/>
    <w:rsid w:val="000B0EDC"/>
  </w:style>
  <w:style w:type="paragraph" w:customStyle="1" w:styleId="CarattereCarattereCarattereCarattereCarattere1Carattere">
    <w:name w:val="Carattere Carattere Carattere Carattere Carattere1 Carattere"/>
    <w:rsid w:val="0024162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customStyle="1" w:styleId="CarattereCarattere1Carattere">
    <w:name w:val="Carattere Carattere1 Carattere"/>
    <w:rsid w:val="009C143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character" w:customStyle="1" w:styleId="Titolo1Carattere">
    <w:name w:val="Titolo 1 Carattere"/>
    <w:rsid w:val="0066584F"/>
    <w:rPr>
      <w:rFonts w:ascii="Arial" w:hAnsi="Arial"/>
      <w:b/>
      <w:smallCaps/>
      <w:kern w:val="28"/>
      <w:sz w:val="26"/>
      <w:lang w:val="it-IT" w:eastAsia="it-IT" w:bidi="ar-SA"/>
    </w:rPr>
  </w:style>
  <w:style w:type="character" w:customStyle="1" w:styleId="Titolo3Carattere">
    <w:name w:val="Titolo 3 Carattere"/>
    <w:link w:val="Titolo3"/>
    <w:rsid w:val="00011373"/>
    <w:rPr>
      <w:rFonts w:ascii="Arial" w:hAnsi="Arial"/>
      <w:b/>
      <w:i/>
      <w:sz w:val="22"/>
      <w:lang w:val="it-IT" w:eastAsia="it-IT" w:bidi="ar-SA"/>
    </w:rPr>
  </w:style>
  <w:style w:type="paragraph" w:customStyle="1" w:styleId="puntielenco">
    <w:name w:val="punti elenco"/>
    <w:basedOn w:val="Normale"/>
    <w:rsid w:val="00ED61BC"/>
    <w:pPr>
      <w:numPr>
        <w:numId w:val="7"/>
      </w:numPr>
    </w:pPr>
  </w:style>
  <w:style w:type="character" w:customStyle="1" w:styleId="titolopdl">
    <w:name w:val="titolopdl"/>
    <w:basedOn w:val="Carpredefinitoparagrafo"/>
    <w:rsid w:val="00BB6EA7"/>
  </w:style>
  <w:style w:type="paragraph" w:customStyle="1" w:styleId="Collegamento">
    <w:name w:val="Collegamento"/>
    <w:basedOn w:val="IndirizzoHTML"/>
    <w:rsid w:val="00F95F26"/>
    <w:pPr>
      <w:spacing w:before="60" w:after="60"/>
      <w:ind w:firstLine="0"/>
      <w:contextualSpacing/>
      <w:jc w:val="center"/>
    </w:pPr>
    <w:rPr>
      <w:b/>
      <w:i w:val="0"/>
      <w:color w:val="0000FF"/>
      <w:szCs w:val="22"/>
    </w:rPr>
  </w:style>
  <w:style w:type="paragraph" w:customStyle="1" w:styleId="StileCentratoPrimariga0cm">
    <w:name w:val="Stile Centrato Prima riga: 0 cm"/>
    <w:basedOn w:val="Normale"/>
    <w:rsid w:val="00F95F26"/>
    <w:pPr>
      <w:spacing w:before="60" w:after="60"/>
      <w:ind w:firstLine="0"/>
      <w:contextualSpacing/>
      <w:jc w:val="center"/>
    </w:pPr>
  </w:style>
  <w:style w:type="paragraph" w:styleId="IndirizzoHTML">
    <w:name w:val="HTML Address"/>
    <w:basedOn w:val="Normale"/>
    <w:link w:val="IndirizzoHTMLCarattere"/>
    <w:rsid w:val="00F95F26"/>
    <w:rPr>
      <w:i/>
      <w:iCs/>
    </w:rPr>
  </w:style>
  <w:style w:type="character" w:customStyle="1" w:styleId="IndirizzoHTMLCarattere">
    <w:name w:val="Indirizzo HTML Carattere"/>
    <w:link w:val="IndirizzoHTML"/>
    <w:rsid w:val="00F95F26"/>
    <w:rPr>
      <w:rFonts w:ascii="Arial" w:hAnsi="Arial"/>
      <w:i/>
      <w:iCs/>
      <w:sz w:val="22"/>
    </w:rPr>
  </w:style>
  <w:style w:type="paragraph" w:styleId="Sottotitolo">
    <w:name w:val="Subtitle"/>
    <w:basedOn w:val="Normale"/>
    <w:next w:val="Normale"/>
    <w:link w:val="SottotitoloCarattere"/>
    <w:qFormat/>
    <w:rsid w:val="006E4713"/>
    <w:pPr>
      <w:spacing w:after="60"/>
      <w:jc w:val="center"/>
      <w:outlineLvl w:val="1"/>
    </w:pPr>
    <w:rPr>
      <w:rFonts w:ascii="Cambria" w:hAnsi="Cambria"/>
      <w:sz w:val="24"/>
      <w:szCs w:val="24"/>
    </w:rPr>
  </w:style>
  <w:style w:type="character" w:customStyle="1" w:styleId="SottotitoloCarattere">
    <w:name w:val="Sottotitolo Carattere"/>
    <w:link w:val="Sottotitolo"/>
    <w:rsid w:val="006E4713"/>
    <w:rPr>
      <w:rFonts w:ascii="Cambria" w:eastAsia="Times New Roman" w:hAnsi="Cambria" w:cs="Times New Roman"/>
      <w:sz w:val="24"/>
      <w:szCs w:val="24"/>
    </w:rPr>
  </w:style>
  <w:style w:type="character" w:customStyle="1" w:styleId="PidipaginaCarattere">
    <w:name w:val="Piè di pagina Carattere"/>
    <w:link w:val="Pidipagina"/>
    <w:uiPriority w:val="99"/>
    <w:rsid w:val="00E92A51"/>
    <w:rPr>
      <w:rFonts w:ascii="Arial" w:hAnsi="Arial"/>
      <w:sz w:val="22"/>
    </w:rPr>
  </w:style>
  <w:style w:type="character" w:customStyle="1" w:styleId="IntestazioneCarattere">
    <w:name w:val="Intestazione Carattere"/>
    <w:link w:val="Intestazione"/>
    <w:rsid w:val="00332C22"/>
    <w:rPr>
      <w:rFonts w:ascii="Arial" w:hAnsi="Arial"/>
      <w:sz w:val="22"/>
    </w:rPr>
  </w:style>
  <w:style w:type="paragraph" w:styleId="Paragrafoelenco">
    <w:name w:val="List Paragraph"/>
    <w:basedOn w:val="Normale"/>
    <w:uiPriority w:val="34"/>
    <w:qFormat/>
    <w:rsid w:val="00FA06F9"/>
    <w:pPr>
      <w:spacing w:before="60" w:after="60"/>
      <w:ind w:left="720"/>
      <w:contextualSpacing/>
    </w:pPr>
  </w:style>
  <w:style w:type="character" w:customStyle="1" w:styleId="Titolo2Carattere">
    <w:name w:val="Titolo 2 Carattere"/>
    <w:link w:val="Titolo2"/>
    <w:rsid w:val="000B33A8"/>
    <w:rPr>
      <w:rFonts w:ascii="Arial" w:hAnsi="Arial"/>
      <w:b/>
      <w:sz w:val="24"/>
    </w:rPr>
  </w:style>
  <w:style w:type="character" w:customStyle="1" w:styleId="Titolo4Carattere">
    <w:name w:val="Titolo 4 Carattere"/>
    <w:link w:val="Titolo4"/>
    <w:rsid w:val="000B33A8"/>
    <w:rPr>
      <w:rFonts w:ascii="Arial" w:hAnsi="Arial"/>
      <w:i/>
      <w:sz w:val="22"/>
    </w:rPr>
  </w:style>
  <w:style w:type="character" w:customStyle="1" w:styleId="Titolo5Carattere">
    <w:name w:val="Titolo 5 Carattere"/>
    <w:link w:val="Titolo5"/>
    <w:rsid w:val="000B33A8"/>
    <w:rPr>
      <w:rFonts w:ascii="Arial" w:hAnsi="Arial"/>
      <w:sz w:val="22"/>
      <w:u w:val="single"/>
    </w:rPr>
  </w:style>
  <w:style w:type="character" w:customStyle="1" w:styleId="Titolo6Carattere">
    <w:name w:val="Titolo 6 Carattere"/>
    <w:link w:val="Titolo6"/>
    <w:rsid w:val="000B33A8"/>
    <w:rPr>
      <w:i/>
      <w:sz w:val="22"/>
    </w:rPr>
  </w:style>
  <w:style w:type="character" w:customStyle="1" w:styleId="Titolo7Carattere">
    <w:name w:val="Titolo 7 Carattere"/>
    <w:link w:val="Titolo7"/>
    <w:rsid w:val="000B33A8"/>
    <w:rPr>
      <w:rFonts w:ascii="Arial" w:hAnsi="Arial"/>
    </w:rPr>
  </w:style>
  <w:style w:type="character" w:customStyle="1" w:styleId="Titolo8Carattere">
    <w:name w:val="Titolo 8 Carattere"/>
    <w:link w:val="Titolo8"/>
    <w:rsid w:val="000B33A8"/>
    <w:rPr>
      <w:rFonts w:ascii="Arial" w:hAnsi="Arial"/>
      <w:i/>
    </w:rPr>
  </w:style>
  <w:style w:type="character" w:customStyle="1" w:styleId="Titolo9Carattere">
    <w:name w:val="Titolo 9 Carattere"/>
    <w:link w:val="Titolo9"/>
    <w:rsid w:val="000B33A8"/>
    <w:rPr>
      <w:rFonts w:ascii="Arial" w:hAnsi="Arial"/>
      <w:b/>
      <w:i/>
      <w:sz w:val="18"/>
    </w:rPr>
  </w:style>
  <w:style w:type="character" w:customStyle="1" w:styleId="MappadocumentoCarattere">
    <w:name w:val="Mappa documento Carattere"/>
    <w:link w:val="Mappadocumento"/>
    <w:rsid w:val="000B33A8"/>
    <w:rPr>
      <w:rFonts w:ascii="Tahoma" w:hAnsi="Tahoma"/>
      <w:sz w:val="22"/>
      <w:shd w:val="clear" w:color="auto" w:fill="000080"/>
    </w:rPr>
  </w:style>
  <w:style w:type="character" w:customStyle="1" w:styleId="IntestazionemessaggioCarattere">
    <w:name w:val="Intestazione messaggio Carattere"/>
    <w:link w:val="Intestazionemessaggio"/>
    <w:rsid w:val="000B33A8"/>
    <w:rPr>
      <w:rFonts w:ascii="Arial" w:hAnsi="Arial"/>
      <w:spacing w:val="-5"/>
      <w:sz w:val="22"/>
    </w:rPr>
  </w:style>
  <w:style w:type="character" w:customStyle="1" w:styleId="RientrocorpodeltestoCarattere">
    <w:name w:val="Rientro corpo del testo Carattere"/>
    <w:link w:val="Rientrocorpodeltesto"/>
    <w:rsid w:val="000B33A8"/>
    <w:rPr>
      <w:rFonts w:ascii="Arial" w:hAnsi="Arial"/>
      <w:sz w:val="22"/>
    </w:rPr>
  </w:style>
  <w:style w:type="character" w:customStyle="1" w:styleId="CorpotestoCarattere">
    <w:name w:val="Corpo testo Carattere"/>
    <w:link w:val="Corpotesto"/>
    <w:rsid w:val="000B33A8"/>
    <w:rPr>
      <w:rFonts w:ascii="Arial" w:hAnsi="Arial"/>
      <w:sz w:val="22"/>
    </w:rPr>
  </w:style>
  <w:style w:type="character" w:customStyle="1" w:styleId="Rientrocorpodeltesto2Carattere">
    <w:name w:val="Rientro corpo del testo 2 Carattere"/>
    <w:link w:val="Rientrocorpodeltesto2"/>
    <w:rsid w:val="000B33A8"/>
    <w:rPr>
      <w:rFonts w:ascii="Arial" w:hAnsi="Arial"/>
      <w:sz w:val="22"/>
    </w:rPr>
  </w:style>
  <w:style w:type="character" w:customStyle="1" w:styleId="Iniziomodulo-zCarattere">
    <w:name w:val="Inizio modulo -z Carattere"/>
    <w:link w:val="Iniziomodulo-z"/>
    <w:rsid w:val="000B33A8"/>
    <w:rPr>
      <w:rFonts w:ascii="Arial" w:hAnsi="Arial" w:cs="Arial"/>
      <w:vanish/>
      <w:sz w:val="16"/>
      <w:szCs w:val="16"/>
    </w:rPr>
  </w:style>
  <w:style w:type="character" w:customStyle="1" w:styleId="Finemodulo-zCarattere">
    <w:name w:val="Fine modulo -z Carattere"/>
    <w:link w:val="Finemodulo-z"/>
    <w:rsid w:val="000B33A8"/>
    <w:rPr>
      <w:rFonts w:ascii="Arial" w:hAnsi="Arial" w:cs="Arial"/>
      <w:vanish/>
      <w:sz w:val="16"/>
      <w:szCs w:val="16"/>
    </w:rPr>
  </w:style>
  <w:style w:type="character" w:customStyle="1" w:styleId="titolo2articolo0">
    <w:name w:val="titolo 2(articolo)"/>
    <w:rsid w:val="000B33A8"/>
  </w:style>
  <w:style w:type="paragraph" w:customStyle="1" w:styleId="NOWEB01">
    <w:name w:val="NOWEB01"/>
    <w:basedOn w:val="NOWEB"/>
    <w:rsid w:val="000B33A8"/>
    <w:pPr>
      <w:spacing w:before="60" w:after="60"/>
      <w:ind w:firstLine="0"/>
      <w:contextualSpacing/>
      <w:jc w:val="center"/>
    </w:pPr>
    <w:rPr>
      <w:effect w:val="antsRed"/>
      <w:lang w:val="es-ES"/>
    </w:rPr>
  </w:style>
  <w:style w:type="paragraph" w:customStyle="1" w:styleId="NOWEB02">
    <w:name w:val="NOWEB02"/>
    <w:basedOn w:val="NOWEB"/>
    <w:rsid w:val="000B33A8"/>
    <w:pPr>
      <w:spacing w:before="60" w:after="60"/>
      <w:ind w:firstLine="0"/>
      <w:contextualSpacing/>
      <w:jc w:val="center"/>
    </w:pPr>
    <w:rPr>
      <w:effect w:val="antsRed"/>
      <w:lang w:val="es-ES"/>
    </w:rPr>
  </w:style>
  <w:style w:type="paragraph" w:customStyle="1" w:styleId="NOWEB03">
    <w:name w:val="NOWEB03"/>
    <w:basedOn w:val="NOWEB"/>
    <w:rsid w:val="000B33A8"/>
    <w:pPr>
      <w:spacing w:before="60" w:after="60"/>
      <w:ind w:firstLine="0"/>
      <w:contextualSpacing/>
      <w:jc w:val="center"/>
    </w:pPr>
    <w:rPr>
      <w:effect w:val="antsRed"/>
      <w:lang w:val="es-ES"/>
    </w:rPr>
  </w:style>
  <w:style w:type="paragraph" w:customStyle="1" w:styleId="NOWEB04">
    <w:name w:val="NOWEB04"/>
    <w:basedOn w:val="NOWEB"/>
    <w:rsid w:val="000B33A8"/>
    <w:pPr>
      <w:spacing w:before="60" w:after="60"/>
      <w:ind w:firstLine="0"/>
      <w:contextualSpacing/>
      <w:jc w:val="center"/>
    </w:pPr>
    <w:rPr>
      <w:effect w:val="antsRed"/>
      <w:lang w:val="es-ES"/>
    </w:rPr>
  </w:style>
  <w:style w:type="paragraph" w:customStyle="1" w:styleId="NOWEB05">
    <w:name w:val="NOWEB05"/>
    <w:basedOn w:val="NOWEB"/>
    <w:rsid w:val="000B33A8"/>
    <w:pPr>
      <w:spacing w:before="60" w:after="60"/>
      <w:ind w:firstLine="0"/>
      <w:contextualSpacing/>
      <w:jc w:val="center"/>
    </w:pPr>
    <w:rPr>
      <w:effect w:val="antsRed"/>
      <w:lang w:val="es-ES"/>
    </w:rPr>
  </w:style>
  <w:style w:type="paragraph" w:customStyle="1" w:styleId="NOWEB06">
    <w:name w:val="NOWEB06"/>
    <w:basedOn w:val="NOWEB"/>
    <w:rsid w:val="000B33A8"/>
    <w:pPr>
      <w:spacing w:before="60" w:after="60"/>
      <w:ind w:firstLine="0"/>
      <w:contextualSpacing/>
      <w:jc w:val="center"/>
    </w:pPr>
    <w:rPr>
      <w:effect w:val="antsRed"/>
      <w:lang w:val="es-ES"/>
    </w:rPr>
  </w:style>
  <w:style w:type="paragraph" w:customStyle="1" w:styleId="NOWEB07">
    <w:name w:val="NOWEB07"/>
    <w:basedOn w:val="NOWEB"/>
    <w:rsid w:val="000B33A8"/>
    <w:pPr>
      <w:spacing w:before="60" w:after="60"/>
      <w:ind w:firstLine="0"/>
      <w:contextualSpacing/>
      <w:jc w:val="center"/>
    </w:pPr>
    <w:rPr>
      <w:effect w:val="antsRed"/>
      <w:lang w:val="es-ES"/>
    </w:rPr>
  </w:style>
  <w:style w:type="paragraph" w:customStyle="1" w:styleId="NOWEB08">
    <w:name w:val="NOWEB08"/>
    <w:basedOn w:val="NOWEB"/>
    <w:rsid w:val="000B33A8"/>
    <w:pPr>
      <w:spacing w:before="60" w:after="60"/>
      <w:ind w:firstLine="0"/>
      <w:contextualSpacing/>
      <w:jc w:val="center"/>
    </w:pPr>
    <w:rPr>
      <w:effect w:val="antsRed"/>
      <w:lang w:val="es-ES"/>
    </w:rPr>
  </w:style>
  <w:style w:type="paragraph" w:customStyle="1" w:styleId="SIWEB01">
    <w:name w:val="SIWEB01"/>
    <w:basedOn w:val="SIWEB"/>
    <w:rsid w:val="000B33A8"/>
    <w:pPr>
      <w:spacing w:before="60" w:after="60"/>
      <w:ind w:right="0" w:firstLine="0"/>
      <w:contextualSpacing/>
      <w:jc w:val="center"/>
    </w:pPr>
    <w:rPr>
      <w:lang w:val="es-ES"/>
    </w:rPr>
  </w:style>
  <w:style w:type="paragraph" w:customStyle="1" w:styleId="SIWEB02">
    <w:name w:val="SIWEB02"/>
    <w:basedOn w:val="SIWEB"/>
    <w:rsid w:val="000B33A8"/>
    <w:pPr>
      <w:spacing w:before="60" w:after="60"/>
      <w:ind w:right="0" w:firstLine="0"/>
      <w:contextualSpacing/>
      <w:jc w:val="center"/>
    </w:pPr>
    <w:rPr>
      <w:lang w:val="es-ES"/>
    </w:rPr>
  </w:style>
  <w:style w:type="paragraph" w:customStyle="1" w:styleId="SIWEB03">
    <w:name w:val="SIWEB03"/>
    <w:basedOn w:val="SIWEB"/>
    <w:rsid w:val="000B33A8"/>
    <w:pPr>
      <w:spacing w:before="60" w:after="60"/>
      <w:ind w:right="0" w:firstLine="0"/>
      <w:contextualSpacing/>
      <w:jc w:val="center"/>
    </w:pPr>
    <w:rPr>
      <w:lang w:val="es-ES"/>
    </w:rPr>
  </w:style>
  <w:style w:type="paragraph" w:customStyle="1" w:styleId="SIWEB04">
    <w:name w:val="SIWEB04"/>
    <w:basedOn w:val="SIWEB"/>
    <w:rsid w:val="000B33A8"/>
    <w:pPr>
      <w:spacing w:before="60" w:after="60"/>
      <w:ind w:right="0" w:firstLine="0"/>
      <w:contextualSpacing/>
      <w:jc w:val="center"/>
    </w:pPr>
    <w:rPr>
      <w:lang w:val="es-ES"/>
    </w:rPr>
  </w:style>
  <w:style w:type="paragraph" w:customStyle="1" w:styleId="SIWEB05">
    <w:name w:val="SIWEB05"/>
    <w:basedOn w:val="SIWEB"/>
    <w:rsid w:val="000B33A8"/>
    <w:pPr>
      <w:spacing w:before="60" w:after="60"/>
      <w:ind w:right="0" w:firstLine="0"/>
      <w:contextualSpacing/>
      <w:jc w:val="center"/>
    </w:pPr>
    <w:rPr>
      <w:lang w:val="es-ES"/>
    </w:rPr>
  </w:style>
  <w:style w:type="paragraph" w:customStyle="1" w:styleId="SIWEB06">
    <w:name w:val="SIWEB06"/>
    <w:basedOn w:val="SIWEB"/>
    <w:rsid w:val="000B33A8"/>
    <w:pPr>
      <w:spacing w:before="60" w:after="60"/>
      <w:ind w:right="0" w:firstLine="0"/>
      <w:contextualSpacing/>
      <w:jc w:val="center"/>
    </w:pPr>
    <w:rPr>
      <w:lang w:val="es-ES"/>
    </w:rPr>
  </w:style>
  <w:style w:type="paragraph" w:customStyle="1" w:styleId="SIWEB07">
    <w:name w:val="SIWEB07"/>
    <w:basedOn w:val="SIWEB"/>
    <w:rsid w:val="000B33A8"/>
    <w:pPr>
      <w:spacing w:before="60" w:after="60"/>
      <w:ind w:right="0" w:firstLine="0"/>
      <w:contextualSpacing/>
      <w:jc w:val="center"/>
    </w:pPr>
    <w:rPr>
      <w:lang w:val="es-ES"/>
    </w:rPr>
  </w:style>
  <w:style w:type="paragraph" w:customStyle="1" w:styleId="SIWEB08">
    <w:name w:val="SIWEB08"/>
    <w:basedOn w:val="SIWEB"/>
    <w:rsid w:val="000B33A8"/>
    <w:pPr>
      <w:spacing w:before="60" w:after="60"/>
      <w:ind w:right="0" w:firstLine="0"/>
      <w:contextualSpacing/>
      <w:jc w:val="center"/>
    </w:pPr>
    <w:rPr>
      <w:lang w:val="es-ES"/>
    </w:rPr>
  </w:style>
  <w:style w:type="paragraph" w:customStyle="1" w:styleId="SOMMARIO-NOINTERNET11">
    <w:name w:val="SOMMARIO - NOINTERNET11"/>
    <w:rsid w:val="000B33A8"/>
    <w:pPr>
      <w:spacing w:line="300" w:lineRule="atLeast"/>
      <w:ind w:firstLine="284"/>
      <w:jc w:val="both"/>
    </w:pPr>
    <w:rPr>
      <w:rFonts w:ascii="Arial" w:hAnsi="Arial"/>
      <w:sz w:val="22"/>
    </w:rPr>
  </w:style>
  <w:style w:type="character" w:customStyle="1" w:styleId="CAMCOMMX-XIII">
    <w:name w:val="CAM_COMM_X - XIII"/>
    <w:rsid w:val="000B33A8"/>
  </w:style>
  <w:style w:type="character" w:customStyle="1" w:styleId="CAMCOMMX-XIII0">
    <w:name w:val="CAM_COMM_X-XIII"/>
    <w:rsid w:val="000B33A8"/>
  </w:style>
  <w:style w:type="character" w:customStyle="1" w:styleId="CAMCOMMRIUO1">
    <w:name w:val="CAM_COMM_RIU_O1"/>
    <w:rsid w:val="000B33A8"/>
  </w:style>
  <w:style w:type="character" w:customStyle="1" w:styleId="CAMCOMMRIU02">
    <w:name w:val="CAM_COMM_RIU_02"/>
    <w:rsid w:val="000B33A8"/>
  </w:style>
  <w:style w:type="character" w:customStyle="1" w:styleId="commcamdata">
    <w:name w:val="comm_cam_data"/>
    <w:rsid w:val="000B33A8"/>
    <w:rPr>
      <w:rFonts w:ascii="Times New Roman" w:hAnsi="Times New Roman"/>
      <w:i/>
      <w:iCs/>
      <w:sz w:val="24"/>
      <w:szCs w:val="24"/>
    </w:rPr>
  </w:style>
  <w:style w:type="paragraph" w:customStyle="1" w:styleId="Senatodata">
    <w:name w:val="Senato data"/>
    <w:basedOn w:val="SENCOMMdata"/>
    <w:rsid w:val="000B33A8"/>
    <w:pPr>
      <w:contextualSpacing/>
    </w:pPr>
    <w:rPr>
      <w:sz w:val="22"/>
      <w:szCs w:val="22"/>
    </w:rPr>
  </w:style>
  <w:style w:type="paragraph" w:customStyle="1" w:styleId="Tabellamio">
    <w:name w:val="Tabella mio"/>
    <w:basedOn w:val="Ridotto"/>
    <w:rsid w:val="000B33A8"/>
    <w:pPr>
      <w:spacing w:before="60" w:after="60" w:line="240" w:lineRule="auto"/>
      <w:ind w:left="57" w:right="57" w:firstLine="0"/>
      <w:contextualSpacing/>
    </w:pPr>
    <w:rPr>
      <w:rFonts w:cs="Arial"/>
      <w:sz w:val="10"/>
    </w:rPr>
  </w:style>
  <w:style w:type="paragraph" w:customStyle="1" w:styleId="Tabellaremio">
    <w:name w:val="Tabellare mio"/>
    <w:basedOn w:val="Normale"/>
    <w:rsid w:val="000B33A8"/>
    <w:pPr>
      <w:spacing w:before="60" w:after="60" w:line="240" w:lineRule="auto"/>
      <w:ind w:left="57" w:right="57"/>
      <w:contextualSpacing/>
    </w:pPr>
    <w:rPr>
      <w:rFonts w:cs="Arial"/>
      <w:sz w:val="20"/>
    </w:rPr>
  </w:style>
  <w:style w:type="paragraph" w:customStyle="1" w:styleId="Titolo2-nosomm">
    <w:name w:val="Titolo 2 - no somm"/>
    <w:basedOn w:val="Normale"/>
    <w:next w:val="Normale"/>
    <w:rsid w:val="000B33A8"/>
    <w:pPr>
      <w:widowControl w:val="0"/>
      <w:spacing w:before="480" w:after="240"/>
      <w:contextualSpacing/>
    </w:pPr>
    <w:rPr>
      <w:b/>
      <w:sz w:val="24"/>
      <w:szCs w:val="24"/>
    </w:rPr>
  </w:style>
  <w:style w:type="paragraph" w:customStyle="1" w:styleId="Titolo2articolo-sommario5">
    <w:name w:val="Titolo 2(articolo - sommario 5)"/>
    <w:basedOn w:val="Titolo2"/>
    <w:rsid w:val="000B33A8"/>
    <w:pPr>
      <w:ind w:left="0" w:firstLine="0"/>
      <w:contextualSpacing/>
      <w:jc w:val="left"/>
      <w:outlineLvl w:val="4"/>
    </w:pPr>
    <w:rPr>
      <w:szCs w:val="24"/>
    </w:rPr>
  </w:style>
  <w:style w:type="paragraph" w:customStyle="1" w:styleId="Sommario5bis">
    <w:name w:val="Sommario 5bis"/>
    <w:basedOn w:val="Sommario5"/>
    <w:rsid w:val="000B33A8"/>
    <w:pPr>
      <w:numPr>
        <w:numId w:val="17"/>
      </w:numPr>
      <w:contextualSpacing/>
    </w:pPr>
    <w:rPr>
      <w:szCs w:val="22"/>
    </w:rPr>
  </w:style>
  <w:style w:type="paragraph" w:customStyle="1" w:styleId="1">
    <w:name w:val="1"/>
    <w:rsid w:val="000B33A8"/>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character" w:customStyle="1" w:styleId="TestofumettoCarattere">
    <w:name w:val="Testo fumetto Carattere"/>
    <w:link w:val="Testofumetto"/>
    <w:rsid w:val="000B33A8"/>
    <w:rPr>
      <w:rFonts w:ascii="Tahoma" w:hAnsi="Tahoma" w:cs="Tahoma"/>
      <w:sz w:val="16"/>
      <w:szCs w:val="16"/>
    </w:rPr>
  </w:style>
  <w:style w:type="paragraph" w:customStyle="1" w:styleId="CopertinaServizio2">
    <w:name w:val="Copertina/Servizio2"/>
    <w:basedOn w:val="Titolo2"/>
    <w:rsid w:val="000B33A8"/>
    <w:pPr>
      <w:spacing w:before="120" w:line="240" w:lineRule="auto"/>
      <w:contextualSpacing/>
      <w:jc w:val="center"/>
    </w:pPr>
    <w:rPr>
      <w:smallCaps/>
      <w:spacing w:val="20"/>
      <w:sz w:val="30"/>
    </w:rPr>
  </w:style>
  <w:style w:type="paragraph" w:customStyle="1" w:styleId="CopertinaServizio3">
    <w:name w:val="Copertina/Servizio3"/>
    <w:basedOn w:val="Normale"/>
    <w:rsid w:val="000B33A8"/>
    <w:pPr>
      <w:spacing w:before="60" w:after="60"/>
      <w:contextualSpacing/>
      <w:jc w:val="center"/>
    </w:pPr>
    <w:rPr>
      <w:b/>
      <w:smallCaps/>
      <w:spacing w:val="20"/>
      <w:sz w:val="28"/>
    </w:rPr>
  </w:style>
  <w:style w:type="paragraph" w:customStyle="1" w:styleId="CopertinaServizio4">
    <w:name w:val="Copertina/Servizio4"/>
    <w:basedOn w:val="Normale"/>
    <w:rsid w:val="000B33A8"/>
    <w:pPr>
      <w:spacing w:before="60" w:after="60"/>
      <w:contextualSpacing/>
      <w:jc w:val="center"/>
    </w:pPr>
    <w:rPr>
      <w:b/>
      <w:smallCaps/>
      <w:spacing w:val="20"/>
      <w:sz w:val="24"/>
    </w:rPr>
  </w:style>
  <w:style w:type="paragraph" w:customStyle="1" w:styleId="CopertinaSottotitolo">
    <w:name w:val="Copertina/Sottotitolo"/>
    <w:basedOn w:val="CopertinaAtto"/>
    <w:rsid w:val="000B33A8"/>
    <w:pPr>
      <w:spacing w:after="60"/>
      <w:contextualSpacing/>
    </w:pPr>
    <w:rPr>
      <w:i/>
      <w:sz w:val="26"/>
    </w:rPr>
  </w:style>
  <w:style w:type="paragraph" w:customStyle="1" w:styleId="COSTITUZIONALITA-indiceautomat">
    <w:name w:val="COSTITUZIONALITA'-indice automat"/>
    <w:rsid w:val="000B33A8"/>
    <w:pPr>
      <w:spacing w:line="300" w:lineRule="atLeast"/>
      <w:ind w:firstLine="284"/>
      <w:jc w:val="both"/>
    </w:pPr>
    <w:rPr>
      <w:rFonts w:ascii="Arial" w:hAnsi="Arial"/>
      <w:sz w:val="22"/>
    </w:rPr>
  </w:style>
  <w:style w:type="paragraph" w:customStyle="1" w:styleId="Data1">
    <w:name w:val="Data1"/>
    <w:basedOn w:val="Normale"/>
    <w:rsid w:val="000B33A8"/>
    <w:pPr>
      <w:spacing w:before="360" w:after="60" w:line="240" w:lineRule="auto"/>
      <w:ind w:firstLine="0"/>
      <w:contextualSpacing/>
      <w:jc w:val="left"/>
    </w:pPr>
    <w:rPr>
      <w:sz w:val="28"/>
    </w:rPr>
  </w:style>
  <w:style w:type="paragraph" w:customStyle="1" w:styleId="From">
    <w:name w:val="From"/>
    <w:basedOn w:val="Normale"/>
    <w:rsid w:val="000B33A8"/>
    <w:pPr>
      <w:spacing w:before="360" w:after="60" w:line="240" w:lineRule="auto"/>
      <w:ind w:firstLine="0"/>
      <w:contextualSpacing/>
      <w:jc w:val="left"/>
    </w:pPr>
    <w:rPr>
      <w:sz w:val="36"/>
    </w:rPr>
  </w:style>
  <w:style w:type="paragraph" w:customStyle="1" w:styleId="index">
    <w:name w:val="index"/>
    <w:rsid w:val="000B33A8"/>
    <w:pPr>
      <w:spacing w:line="300" w:lineRule="atLeast"/>
      <w:ind w:firstLine="284"/>
      <w:jc w:val="both"/>
    </w:pPr>
    <w:rPr>
      <w:rFonts w:ascii="Arial" w:hAnsi="Arial"/>
      <w:sz w:val="22"/>
    </w:rPr>
  </w:style>
  <w:style w:type="paragraph" w:customStyle="1" w:styleId="indice1">
    <w:name w:val="indice1"/>
    <w:basedOn w:val="Normale"/>
    <w:rsid w:val="000B33A8"/>
    <w:pPr>
      <w:tabs>
        <w:tab w:val="left" w:leader="dot" w:pos="7371"/>
        <w:tab w:val="center" w:pos="7938"/>
        <w:tab w:val="right" w:pos="8505"/>
      </w:tabs>
      <w:spacing w:before="240" w:after="240" w:line="240" w:lineRule="auto"/>
      <w:ind w:left="567" w:firstLine="0"/>
      <w:contextualSpacing/>
      <w:jc w:val="left"/>
    </w:pPr>
    <w:rPr>
      <w:rFonts w:ascii="CG Times" w:hAnsi="CG Times"/>
      <w:noProof/>
      <w:sz w:val="24"/>
    </w:rPr>
  </w:style>
  <w:style w:type="paragraph" w:customStyle="1" w:styleId="indice2">
    <w:name w:val="indice2"/>
    <w:basedOn w:val="indice1"/>
    <w:rsid w:val="000B33A8"/>
    <w:pPr>
      <w:spacing w:after="0"/>
      <w:ind w:left="851"/>
    </w:pPr>
  </w:style>
  <w:style w:type="paragraph" w:customStyle="1" w:styleId="indice3">
    <w:name w:val="indice3"/>
    <w:basedOn w:val="indice2"/>
    <w:rsid w:val="000B33A8"/>
    <w:pPr>
      <w:spacing w:before="120"/>
      <w:ind w:left="1276" w:right="-568" w:hanging="426"/>
      <w:jc w:val="both"/>
    </w:pPr>
  </w:style>
  <w:style w:type="paragraph" w:customStyle="1" w:styleId="intestazioneComitatolegislazione">
    <w:name w:val="intestazione Comitato legislazione"/>
    <w:basedOn w:val="Intestazione"/>
    <w:rsid w:val="000B33A8"/>
    <w:pPr>
      <w:pBdr>
        <w:bottom w:val="single" w:sz="6" w:space="1" w:color="auto"/>
      </w:pBdr>
      <w:tabs>
        <w:tab w:val="clear" w:pos="3969"/>
      </w:tabs>
      <w:spacing w:before="60" w:after="60"/>
      <w:ind w:right="56" w:firstLine="0"/>
      <w:contextualSpacing/>
      <w:jc w:val="center"/>
    </w:pPr>
    <w:rPr>
      <w:i/>
    </w:rPr>
  </w:style>
  <w:style w:type="paragraph" w:customStyle="1" w:styleId="intestazionedispari0">
    <w:name w:val="intestazione dispari"/>
    <w:basedOn w:val="Normale"/>
    <w:rsid w:val="000B33A8"/>
    <w:pPr>
      <w:pBdr>
        <w:bottom w:val="single" w:sz="4" w:space="1" w:color="auto"/>
      </w:pBdr>
      <w:spacing w:before="60" w:after="60"/>
      <w:ind w:firstLine="0"/>
      <w:contextualSpacing/>
      <w:jc w:val="right"/>
    </w:pPr>
    <w:rPr>
      <w:smallCaps/>
      <w:sz w:val="18"/>
    </w:rPr>
  </w:style>
  <w:style w:type="paragraph" w:customStyle="1" w:styleId="NumeroattoComitatoLegislazione">
    <w:name w:val="Numero atto (Comitato Legislazione)"/>
    <w:basedOn w:val="Normale"/>
    <w:rsid w:val="000B33A8"/>
    <w:pPr>
      <w:spacing w:before="180" w:after="60"/>
      <w:ind w:left="284" w:right="284" w:firstLine="0"/>
      <w:contextualSpacing/>
      <w:jc w:val="center"/>
    </w:pPr>
    <w:rPr>
      <w:i/>
      <w:sz w:val="28"/>
    </w:rPr>
  </w:style>
  <w:style w:type="paragraph" w:customStyle="1" w:styleId="Pages">
    <w:name w:val="Pages"/>
    <w:basedOn w:val="Normale"/>
    <w:rsid w:val="000B33A8"/>
    <w:pPr>
      <w:spacing w:before="60" w:after="60" w:line="240" w:lineRule="auto"/>
      <w:ind w:firstLine="0"/>
      <w:contextualSpacing/>
      <w:jc w:val="left"/>
    </w:pPr>
    <w:rPr>
      <w:sz w:val="28"/>
    </w:rPr>
  </w:style>
  <w:style w:type="paragraph" w:customStyle="1" w:styleId="PDL-IndiceautomaticoSCHEDE">
    <w:name w:val="PDL - Indice automatico SCHEDE"/>
    <w:rsid w:val="000B33A8"/>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0B33A8"/>
    <w:pPr>
      <w:spacing w:before="60"/>
      <w:contextualSpacing/>
    </w:pPr>
  </w:style>
  <w:style w:type="paragraph" w:customStyle="1" w:styleId="SCHEDE-indiceautomatico">
    <w:name w:val="SCHEDE - indice automatico"/>
    <w:rsid w:val="000B33A8"/>
    <w:rPr>
      <w:noProof/>
      <w:sz w:val="3276"/>
    </w:rPr>
  </w:style>
  <w:style w:type="paragraph" w:customStyle="1" w:styleId="SCHEDE-ARTICOLO">
    <w:name w:val="SCHEDE-ARTICOLO"/>
    <w:basedOn w:val="Normale"/>
    <w:rsid w:val="000B33A8"/>
    <w:pPr>
      <w:spacing w:before="60" w:after="60"/>
      <w:ind w:firstLine="0"/>
      <w:contextualSpacing/>
      <w:jc w:val="center"/>
      <w:outlineLvl w:val="2"/>
    </w:pPr>
    <w:rPr>
      <w:b/>
    </w:rPr>
  </w:style>
  <w:style w:type="paragraph" w:customStyle="1" w:styleId="Ultimointestazionemessaggio">
    <w:name w:val="Ultimo intestazione messaggio"/>
    <w:basedOn w:val="Intestazionemessaggio"/>
    <w:next w:val="Normale"/>
    <w:rsid w:val="000B33A8"/>
    <w:pPr>
      <w:pBdr>
        <w:bottom w:val="single" w:sz="6" w:space="19" w:color="auto"/>
        <w:between w:val="single" w:sz="6" w:space="19" w:color="auto"/>
      </w:pBdr>
      <w:tabs>
        <w:tab w:val="left" w:pos="1267"/>
        <w:tab w:val="left" w:pos="2938"/>
      </w:tabs>
      <w:spacing w:before="120" w:after="120"/>
      <w:ind w:left="0" w:firstLine="0"/>
      <w:contextualSpacing/>
    </w:pPr>
  </w:style>
  <w:style w:type="character" w:customStyle="1" w:styleId="CAM-ASS-SEDUTADI-carattere">
    <w:name w:val="CAM-ASS-SEDUTA DI-carattere"/>
    <w:rsid w:val="000B33A8"/>
    <w:rPr>
      <w:rFonts w:ascii="Garamond" w:hAnsi="Garamond"/>
      <w:caps w:val="0"/>
      <w:spacing w:val="20"/>
      <w:w w:val="66"/>
      <w:sz w:val="48"/>
      <w:lang w:val="it-IT" w:eastAsia="it-IT" w:bidi="ar-SA"/>
    </w:rPr>
  </w:style>
  <w:style w:type="paragraph" w:customStyle="1" w:styleId="XVIcopertinaAC">
    <w:name w:val="XVI_copertina_AC"/>
    <w:basedOn w:val="Normale"/>
    <w:rsid w:val="000B33A8"/>
    <w:pPr>
      <w:spacing w:before="60" w:after="60" w:line="240" w:lineRule="auto"/>
      <w:ind w:firstLine="0"/>
      <w:contextualSpacing/>
      <w:jc w:val="center"/>
    </w:pPr>
    <w:rPr>
      <w:rFonts w:cs="Arial"/>
      <w:b/>
      <w:color w:val="FFFFFF"/>
      <w:sz w:val="26"/>
      <w:szCs w:val="26"/>
      <w:lang w:eastAsia="en-US"/>
    </w:rPr>
  </w:style>
  <w:style w:type="paragraph" w:customStyle="1" w:styleId="XVICopertinatitolo">
    <w:name w:val="XVI_Copertina_titolo"/>
    <w:basedOn w:val="XV-CopertinaTitolo"/>
    <w:rsid w:val="000B33A8"/>
    <w:pPr>
      <w:spacing w:before="0" w:after="60"/>
      <w:contextualSpacing/>
    </w:pPr>
    <w:rPr>
      <w:b/>
      <w:color w:val="FFFFFF"/>
      <w:spacing w:val="10"/>
      <w:sz w:val="26"/>
      <w:szCs w:val="26"/>
    </w:rPr>
  </w:style>
  <w:style w:type="paragraph" w:customStyle="1" w:styleId="Titolo1sintesi0">
    <w:name w:val="Titolo 1_sintesi"/>
    <w:basedOn w:val="Titolo1"/>
    <w:next w:val="ACsintesi"/>
    <w:rsid w:val="000B33A8"/>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0B33A8"/>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0B33A8"/>
    <w:pPr>
      <w:keepNext/>
      <w:keepLines/>
      <w:spacing w:before="60" w:after="60" w:line="240" w:lineRule="atLeast"/>
      <w:ind w:firstLine="0"/>
      <w:contextualSpacing/>
    </w:pPr>
    <w:rPr>
      <w:sz w:val="18"/>
      <w:szCs w:val="18"/>
    </w:rPr>
  </w:style>
  <w:style w:type="paragraph" w:customStyle="1" w:styleId="Titolo2sintesi">
    <w:name w:val="Titolo 2_sintesi"/>
    <w:basedOn w:val="Titolo2"/>
    <w:next w:val="Normalesintesi"/>
    <w:rsid w:val="000B33A8"/>
    <w:pPr>
      <w:spacing w:before="0" w:after="120" w:line="240" w:lineRule="atLeast"/>
      <w:ind w:left="0" w:firstLine="0"/>
      <w:contextualSpacing/>
      <w:jc w:val="left"/>
    </w:pPr>
    <w:rPr>
      <w:rFonts w:cs="Arial"/>
      <w:bCs/>
      <w:iCs/>
      <w:color w:val="000066"/>
      <w:szCs w:val="22"/>
    </w:rPr>
  </w:style>
  <w:style w:type="paragraph" w:customStyle="1" w:styleId="Titolo3sintesi">
    <w:name w:val="Titolo 3_sintesi"/>
    <w:basedOn w:val="Titolo3"/>
    <w:next w:val="Normalesintesi"/>
    <w:rsid w:val="000B33A8"/>
    <w:pPr>
      <w:spacing w:before="60" w:after="60" w:line="240" w:lineRule="atLeast"/>
      <w:ind w:left="284" w:firstLine="0"/>
      <w:contextualSpacing/>
      <w:jc w:val="left"/>
    </w:pPr>
    <w:rPr>
      <w:rFonts w:cs="Arial"/>
      <w:bCs/>
      <w:color w:val="000066"/>
      <w:sz w:val="20"/>
    </w:rPr>
  </w:style>
  <w:style w:type="paragraph" w:customStyle="1" w:styleId="Sottotitolosintesi">
    <w:name w:val="Sottotitolo_sintesi"/>
    <w:basedOn w:val="Normale"/>
    <w:rsid w:val="000B33A8"/>
    <w:pPr>
      <w:spacing w:before="60" w:after="60" w:line="240" w:lineRule="atLeast"/>
      <w:ind w:firstLine="0"/>
      <w:contextualSpacing/>
      <w:jc w:val="center"/>
    </w:pPr>
    <w:rPr>
      <w:b/>
      <w:color w:val="000066"/>
      <w:sz w:val="24"/>
      <w:szCs w:val="24"/>
    </w:rPr>
  </w:style>
  <w:style w:type="paragraph" w:customStyle="1" w:styleId="Normalesintesitab">
    <w:name w:val="Normale_sintesi_tab"/>
    <w:basedOn w:val="Normale"/>
    <w:rsid w:val="000B33A8"/>
    <w:pPr>
      <w:spacing w:before="60" w:after="60" w:line="240" w:lineRule="atLeast"/>
      <w:ind w:firstLine="0"/>
      <w:contextualSpacing/>
    </w:pPr>
    <w:rPr>
      <w:b/>
      <w:i/>
      <w:color w:val="000066"/>
      <w:sz w:val="18"/>
      <w:szCs w:val="24"/>
    </w:rPr>
  </w:style>
  <w:style w:type="paragraph" w:customStyle="1" w:styleId="Normalesintesitab1">
    <w:name w:val="Normale_sintesi_tab_1"/>
    <w:basedOn w:val="Normalesintesitab"/>
    <w:rsid w:val="000B33A8"/>
    <w:pPr>
      <w:spacing w:line="240" w:lineRule="auto"/>
      <w:ind w:left="284"/>
      <w:jc w:val="left"/>
    </w:pPr>
    <w:rPr>
      <w:b w:val="0"/>
      <w:szCs w:val="18"/>
    </w:rPr>
  </w:style>
  <w:style w:type="paragraph" w:customStyle="1" w:styleId="StileNormalesintesi">
    <w:name w:val="Stile Normale_sintesi +"/>
    <w:basedOn w:val="Normalesintesi"/>
    <w:rsid w:val="000B33A8"/>
    <w:rPr>
      <w:bCs/>
      <w:iCs/>
      <w:color w:val="000080"/>
    </w:rPr>
  </w:style>
  <w:style w:type="paragraph" w:customStyle="1" w:styleId="Normalesintesipi">
    <w:name w:val="Normale_sintesi_piè"/>
    <w:basedOn w:val="Normale"/>
    <w:rsid w:val="000B33A8"/>
    <w:pPr>
      <w:pBdr>
        <w:top w:val="single" w:sz="4" w:space="1" w:color="000066"/>
        <w:bottom w:val="single" w:sz="4" w:space="1" w:color="000066"/>
      </w:pBdr>
      <w:tabs>
        <w:tab w:val="center" w:pos="5103"/>
        <w:tab w:val="right" w:pos="10206"/>
      </w:tabs>
      <w:spacing w:before="60" w:after="60" w:line="160" w:lineRule="atLeast"/>
      <w:ind w:firstLine="0"/>
      <w:contextualSpacing/>
    </w:pPr>
    <w:rPr>
      <w:rFonts w:cs="Arial"/>
      <w:i/>
      <w:sz w:val="16"/>
      <w:szCs w:val="16"/>
    </w:rPr>
  </w:style>
  <w:style w:type="paragraph" w:customStyle="1" w:styleId="Normalesintesipi1">
    <w:name w:val="Normale_sintesi_piè1"/>
    <w:basedOn w:val="Normale"/>
    <w:rsid w:val="000B33A8"/>
    <w:pPr>
      <w:pBdr>
        <w:top w:val="single" w:sz="4" w:space="1" w:color="000066"/>
        <w:bottom w:val="single" w:sz="4" w:space="1" w:color="000066"/>
      </w:pBdr>
      <w:tabs>
        <w:tab w:val="center" w:pos="5103"/>
        <w:tab w:val="right" w:pos="10206"/>
      </w:tabs>
      <w:spacing w:before="60" w:after="60" w:line="240" w:lineRule="atLeast"/>
      <w:ind w:firstLine="0"/>
      <w:contextualSpacing/>
    </w:pPr>
    <w:rPr>
      <w:rFonts w:cs="Arial"/>
      <w:b/>
      <w:smallCaps/>
      <w:color w:val="000066"/>
      <w:sz w:val="18"/>
      <w:szCs w:val="18"/>
    </w:rPr>
  </w:style>
  <w:style w:type="paragraph" w:customStyle="1" w:styleId="Normalestileint">
    <w:name w:val="Normale_stile_int"/>
    <w:basedOn w:val="Normale"/>
    <w:rsid w:val="000B33A8"/>
    <w:pPr>
      <w:tabs>
        <w:tab w:val="right" w:pos="9972"/>
      </w:tabs>
      <w:spacing w:before="60" w:after="60" w:line="240" w:lineRule="atLeast"/>
      <w:ind w:firstLine="0"/>
      <w:contextualSpacing/>
      <w:jc w:val="left"/>
    </w:pPr>
    <w:rPr>
      <w:rFonts w:cs="Arial"/>
      <w:b/>
      <w:color w:val="FFFFFF"/>
      <w:sz w:val="20"/>
    </w:rPr>
  </w:style>
  <w:style w:type="paragraph" w:customStyle="1" w:styleId="Normalestilepi2">
    <w:name w:val="Normale_stile_piè2"/>
    <w:basedOn w:val="Normale"/>
    <w:rsid w:val="000B33A8"/>
    <w:pPr>
      <w:pBdr>
        <w:top w:val="single" w:sz="4" w:space="1" w:color="000066"/>
        <w:bottom w:val="single" w:sz="4" w:space="1" w:color="000066"/>
      </w:pBdr>
      <w:tabs>
        <w:tab w:val="center" w:pos="5103"/>
        <w:tab w:val="right" w:pos="10206"/>
      </w:tabs>
      <w:spacing w:before="60" w:after="60" w:line="240" w:lineRule="atLeast"/>
      <w:ind w:firstLine="0"/>
      <w:contextualSpacing/>
    </w:pPr>
    <w:rPr>
      <w:rFonts w:cs="Arial"/>
      <w:color w:val="000066"/>
      <w:sz w:val="18"/>
      <w:szCs w:val="18"/>
    </w:rPr>
  </w:style>
  <w:style w:type="paragraph" w:customStyle="1" w:styleId="Schedearticolato">
    <w:name w:val="Schede_articolato"/>
    <w:basedOn w:val="Normale"/>
    <w:next w:val="Normale"/>
    <w:rsid w:val="000B33A8"/>
    <w:pPr>
      <w:spacing w:before="60" w:after="60" w:line="240" w:lineRule="auto"/>
      <w:contextualSpacing/>
    </w:pPr>
    <w:rPr>
      <w:sz w:val="20"/>
    </w:rPr>
  </w:style>
  <w:style w:type="paragraph" w:styleId="Titolo">
    <w:name w:val="Title"/>
    <w:basedOn w:val="Normale"/>
    <w:next w:val="Normale"/>
    <w:link w:val="TitoloCarattere"/>
    <w:rsid w:val="000B33A8"/>
    <w:pPr>
      <w:spacing w:before="240" w:after="60"/>
      <w:contextualSpacing/>
      <w:jc w:val="center"/>
      <w:outlineLvl w:val="0"/>
    </w:pPr>
    <w:rPr>
      <w:rFonts w:ascii="Cambria" w:hAnsi="Cambria"/>
      <w:b/>
      <w:bCs/>
      <w:kern w:val="28"/>
      <w:sz w:val="32"/>
      <w:szCs w:val="32"/>
    </w:rPr>
  </w:style>
  <w:style w:type="character" w:customStyle="1" w:styleId="TitoloCarattere">
    <w:name w:val="Titolo Carattere"/>
    <w:link w:val="Titolo"/>
    <w:rsid w:val="000B33A8"/>
    <w:rPr>
      <w:rFonts w:ascii="Cambria" w:hAnsi="Cambria"/>
      <w:b/>
      <w:bCs/>
      <w:kern w:val="28"/>
      <w:sz w:val="32"/>
      <w:szCs w:val="32"/>
    </w:rPr>
  </w:style>
  <w:style w:type="character" w:customStyle="1" w:styleId="TestocommentoCarattere">
    <w:name w:val="Testo commento Carattere"/>
    <w:link w:val="Testocommento"/>
    <w:rsid w:val="000B33A8"/>
    <w:rPr>
      <w:rFonts w:ascii="Arial" w:hAnsi="Arial"/>
    </w:rPr>
  </w:style>
  <w:style w:type="character" w:customStyle="1" w:styleId="SoggettocommentoCarattere">
    <w:name w:val="Soggetto commento Carattere"/>
    <w:link w:val="Soggettocommento"/>
    <w:rsid w:val="000B33A8"/>
    <w:rPr>
      <w:rFonts w:ascii="Arial" w:hAnsi="Arial"/>
      <w:b/>
      <w:bCs/>
    </w:rPr>
  </w:style>
  <w:style w:type="paragraph" w:customStyle="1" w:styleId="rilievo">
    <w:name w:val="rilievo"/>
    <w:basedOn w:val="Normale"/>
    <w:link w:val="rilievoCarattere"/>
    <w:uiPriority w:val="99"/>
    <w:rsid w:val="000B33A8"/>
    <w:pPr>
      <w:widowControl w:val="0"/>
      <w:numPr>
        <w:numId w:val="25"/>
      </w:numPr>
      <w:suppressAutoHyphens/>
      <w:spacing w:line="240" w:lineRule="auto"/>
    </w:pPr>
    <w:rPr>
      <w:rFonts w:ascii="Times New Roman" w:hAnsi="Times New Roman"/>
      <w:sz w:val="24"/>
      <w:szCs w:val="24"/>
      <w:lang w:eastAsia="ar-SA"/>
    </w:rPr>
  </w:style>
  <w:style w:type="character" w:customStyle="1" w:styleId="rilievoCarattere">
    <w:name w:val="rilievo Carattere"/>
    <w:link w:val="rilievo"/>
    <w:uiPriority w:val="99"/>
    <w:locked/>
    <w:rsid w:val="000B33A8"/>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36189">
      <w:bodyDiv w:val="1"/>
      <w:marLeft w:val="0"/>
      <w:marRight w:val="0"/>
      <w:marTop w:val="0"/>
      <w:marBottom w:val="0"/>
      <w:divBdr>
        <w:top w:val="none" w:sz="0" w:space="0" w:color="auto"/>
        <w:left w:val="none" w:sz="0" w:space="0" w:color="auto"/>
        <w:bottom w:val="none" w:sz="0" w:space="0" w:color="auto"/>
        <w:right w:val="none" w:sz="0" w:space="0" w:color="auto"/>
      </w:divBdr>
    </w:div>
    <w:div w:id="63570009">
      <w:bodyDiv w:val="1"/>
      <w:marLeft w:val="0"/>
      <w:marRight w:val="0"/>
      <w:marTop w:val="0"/>
      <w:marBottom w:val="0"/>
      <w:divBdr>
        <w:top w:val="none" w:sz="0" w:space="0" w:color="auto"/>
        <w:left w:val="none" w:sz="0" w:space="0" w:color="auto"/>
        <w:bottom w:val="none" w:sz="0" w:space="0" w:color="auto"/>
        <w:right w:val="none" w:sz="0" w:space="0" w:color="auto"/>
      </w:divBdr>
    </w:div>
    <w:div w:id="73472960">
      <w:bodyDiv w:val="1"/>
      <w:marLeft w:val="0"/>
      <w:marRight w:val="0"/>
      <w:marTop w:val="0"/>
      <w:marBottom w:val="0"/>
      <w:divBdr>
        <w:top w:val="none" w:sz="0" w:space="0" w:color="auto"/>
        <w:left w:val="none" w:sz="0" w:space="0" w:color="auto"/>
        <w:bottom w:val="none" w:sz="0" w:space="0" w:color="auto"/>
        <w:right w:val="none" w:sz="0" w:space="0" w:color="auto"/>
      </w:divBdr>
      <w:divsChild>
        <w:div w:id="1277635103">
          <w:marLeft w:val="0"/>
          <w:marRight w:val="0"/>
          <w:marTop w:val="0"/>
          <w:marBottom w:val="0"/>
          <w:divBdr>
            <w:top w:val="none" w:sz="0" w:space="0" w:color="auto"/>
            <w:left w:val="none" w:sz="0" w:space="0" w:color="auto"/>
            <w:bottom w:val="none" w:sz="0" w:space="0" w:color="auto"/>
            <w:right w:val="none" w:sz="0" w:space="0" w:color="auto"/>
          </w:divBdr>
          <w:divsChild>
            <w:div w:id="772748894">
              <w:marLeft w:val="0"/>
              <w:marRight w:val="0"/>
              <w:marTop w:val="0"/>
              <w:marBottom w:val="0"/>
              <w:divBdr>
                <w:top w:val="none" w:sz="0" w:space="0" w:color="auto"/>
                <w:left w:val="none" w:sz="0" w:space="0" w:color="auto"/>
                <w:bottom w:val="none" w:sz="0" w:space="0" w:color="auto"/>
                <w:right w:val="none" w:sz="0" w:space="0" w:color="auto"/>
              </w:divBdr>
              <w:divsChild>
                <w:div w:id="56056976">
                  <w:marLeft w:val="0"/>
                  <w:marRight w:val="0"/>
                  <w:marTop w:val="0"/>
                  <w:marBottom w:val="0"/>
                  <w:divBdr>
                    <w:top w:val="none" w:sz="0" w:space="0" w:color="auto"/>
                    <w:left w:val="none" w:sz="0" w:space="0" w:color="auto"/>
                    <w:bottom w:val="none" w:sz="0" w:space="0" w:color="auto"/>
                    <w:right w:val="none" w:sz="0" w:space="0" w:color="auto"/>
                  </w:divBdr>
                  <w:divsChild>
                    <w:div w:id="17582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2562">
      <w:bodyDiv w:val="1"/>
      <w:marLeft w:val="0"/>
      <w:marRight w:val="0"/>
      <w:marTop w:val="0"/>
      <w:marBottom w:val="0"/>
      <w:divBdr>
        <w:top w:val="none" w:sz="0" w:space="0" w:color="auto"/>
        <w:left w:val="none" w:sz="0" w:space="0" w:color="auto"/>
        <w:bottom w:val="none" w:sz="0" w:space="0" w:color="auto"/>
        <w:right w:val="none" w:sz="0" w:space="0" w:color="auto"/>
      </w:divBdr>
    </w:div>
    <w:div w:id="124206202">
      <w:bodyDiv w:val="1"/>
      <w:marLeft w:val="0"/>
      <w:marRight w:val="0"/>
      <w:marTop w:val="0"/>
      <w:marBottom w:val="0"/>
      <w:divBdr>
        <w:top w:val="none" w:sz="0" w:space="0" w:color="auto"/>
        <w:left w:val="none" w:sz="0" w:space="0" w:color="auto"/>
        <w:bottom w:val="none" w:sz="0" w:space="0" w:color="auto"/>
        <w:right w:val="none" w:sz="0" w:space="0" w:color="auto"/>
      </w:divBdr>
    </w:div>
    <w:div w:id="239557666">
      <w:bodyDiv w:val="1"/>
      <w:marLeft w:val="0"/>
      <w:marRight w:val="0"/>
      <w:marTop w:val="0"/>
      <w:marBottom w:val="0"/>
      <w:divBdr>
        <w:top w:val="none" w:sz="0" w:space="0" w:color="auto"/>
        <w:left w:val="none" w:sz="0" w:space="0" w:color="auto"/>
        <w:bottom w:val="none" w:sz="0" w:space="0" w:color="auto"/>
        <w:right w:val="none" w:sz="0" w:space="0" w:color="auto"/>
      </w:divBdr>
    </w:div>
    <w:div w:id="271517843">
      <w:bodyDiv w:val="1"/>
      <w:marLeft w:val="0"/>
      <w:marRight w:val="0"/>
      <w:marTop w:val="0"/>
      <w:marBottom w:val="0"/>
      <w:divBdr>
        <w:top w:val="none" w:sz="0" w:space="0" w:color="auto"/>
        <w:left w:val="none" w:sz="0" w:space="0" w:color="auto"/>
        <w:bottom w:val="none" w:sz="0" w:space="0" w:color="auto"/>
        <w:right w:val="none" w:sz="0" w:space="0" w:color="auto"/>
      </w:divBdr>
    </w:div>
    <w:div w:id="338581516">
      <w:bodyDiv w:val="1"/>
      <w:marLeft w:val="0"/>
      <w:marRight w:val="0"/>
      <w:marTop w:val="0"/>
      <w:marBottom w:val="0"/>
      <w:divBdr>
        <w:top w:val="none" w:sz="0" w:space="0" w:color="auto"/>
        <w:left w:val="none" w:sz="0" w:space="0" w:color="auto"/>
        <w:bottom w:val="none" w:sz="0" w:space="0" w:color="auto"/>
        <w:right w:val="none" w:sz="0" w:space="0" w:color="auto"/>
      </w:divBdr>
    </w:div>
    <w:div w:id="350449783">
      <w:bodyDiv w:val="1"/>
      <w:marLeft w:val="0"/>
      <w:marRight w:val="0"/>
      <w:marTop w:val="0"/>
      <w:marBottom w:val="0"/>
      <w:divBdr>
        <w:top w:val="none" w:sz="0" w:space="0" w:color="auto"/>
        <w:left w:val="none" w:sz="0" w:space="0" w:color="auto"/>
        <w:bottom w:val="none" w:sz="0" w:space="0" w:color="auto"/>
        <w:right w:val="none" w:sz="0" w:space="0" w:color="auto"/>
      </w:divBdr>
    </w:div>
    <w:div w:id="411857865">
      <w:bodyDiv w:val="1"/>
      <w:marLeft w:val="0"/>
      <w:marRight w:val="0"/>
      <w:marTop w:val="0"/>
      <w:marBottom w:val="0"/>
      <w:divBdr>
        <w:top w:val="none" w:sz="0" w:space="0" w:color="auto"/>
        <w:left w:val="none" w:sz="0" w:space="0" w:color="auto"/>
        <w:bottom w:val="none" w:sz="0" w:space="0" w:color="auto"/>
        <w:right w:val="none" w:sz="0" w:space="0" w:color="auto"/>
      </w:divBdr>
    </w:div>
    <w:div w:id="466898059">
      <w:bodyDiv w:val="1"/>
      <w:marLeft w:val="0"/>
      <w:marRight w:val="0"/>
      <w:marTop w:val="0"/>
      <w:marBottom w:val="0"/>
      <w:divBdr>
        <w:top w:val="none" w:sz="0" w:space="0" w:color="auto"/>
        <w:left w:val="none" w:sz="0" w:space="0" w:color="auto"/>
        <w:bottom w:val="none" w:sz="0" w:space="0" w:color="auto"/>
        <w:right w:val="none" w:sz="0" w:space="0" w:color="auto"/>
      </w:divBdr>
    </w:div>
    <w:div w:id="486097885">
      <w:bodyDiv w:val="1"/>
      <w:marLeft w:val="0"/>
      <w:marRight w:val="0"/>
      <w:marTop w:val="0"/>
      <w:marBottom w:val="0"/>
      <w:divBdr>
        <w:top w:val="none" w:sz="0" w:space="0" w:color="auto"/>
        <w:left w:val="none" w:sz="0" w:space="0" w:color="auto"/>
        <w:bottom w:val="none" w:sz="0" w:space="0" w:color="auto"/>
        <w:right w:val="none" w:sz="0" w:space="0" w:color="auto"/>
      </w:divBdr>
    </w:div>
    <w:div w:id="697505872">
      <w:bodyDiv w:val="1"/>
      <w:marLeft w:val="0"/>
      <w:marRight w:val="0"/>
      <w:marTop w:val="0"/>
      <w:marBottom w:val="0"/>
      <w:divBdr>
        <w:top w:val="none" w:sz="0" w:space="0" w:color="auto"/>
        <w:left w:val="none" w:sz="0" w:space="0" w:color="auto"/>
        <w:bottom w:val="none" w:sz="0" w:space="0" w:color="auto"/>
        <w:right w:val="none" w:sz="0" w:space="0" w:color="auto"/>
      </w:divBdr>
    </w:div>
    <w:div w:id="797799404">
      <w:bodyDiv w:val="1"/>
      <w:marLeft w:val="0"/>
      <w:marRight w:val="0"/>
      <w:marTop w:val="0"/>
      <w:marBottom w:val="0"/>
      <w:divBdr>
        <w:top w:val="none" w:sz="0" w:space="0" w:color="auto"/>
        <w:left w:val="none" w:sz="0" w:space="0" w:color="auto"/>
        <w:bottom w:val="none" w:sz="0" w:space="0" w:color="auto"/>
        <w:right w:val="none" w:sz="0" w:space="0" w:color="auto"/>
      </w:divBdr>
    </w:div>
    <w:div w:id="819855734">
      <w:bodyDiv w:val="1"/>
      <w:marLeft w:val="0"/>
      <w:marRight w:val="0"/>
      <w:marTop w:val="0"/>
      <w:marBottom w:val="0"/>
      <w:divBdr>
        <w:top w:val="none" w:sz="0" w:space="0" w:color="auto"/>
        <w:left w:val="none" w:sz="0" w:space="0" w:color="auto"/>
        <w:bottom w:val="none" w:sz="0" w:space="0" w:color="auto"/>
        <w:right w:val="none" w:sz="0" w:space="0" w:color="auto"/>
      </w:divBdr>
    </w:div>
    <w:div w:id="829103191">
      <w:bodyDiv w:val="1"/>
      <w:marLeft w:val="0"/>
      <w:marRight w:val="0"/>
      <w:marTop w:val="0"/>
      <w:marBottom w:val="0"/>
      <w:divBdr>
        <w:top w:val="none" w:sz="0" w:space="0" w:color="auto"/>
        <w:left w:val="none" w:sz="0" w:space="0" w:color="auto"/>
        <w:bottom w:val="none" w:sz="0" w:space="0" w:color="auto"/>
        <w:right w:val="none" w:sz="0" w:space="0" w:color="auto"/>
      </w:divBdr>
    </w:div>
    <w:div w:id="1207137779">
      <w:bodyDiv w:val="1"/>
      <w:marLeft w:val="0"/>
      <w:marRight w:val="0"/>
      <w:marTop w:val="0"/>
      <w:marBottom w:val="0"/>
      <w:divBdr>
        <w:top w:val="none" w:sz="0" w:space="0" w:color="auto"/>
        <w:left w:val="none" w:sz="0" w:space="0" w:color="auto"/>
        <w:bottom w:val="none" w:sz="0" w:space="0" w:color="auto"/>
        <w:right w:val="none" w:sz="0" w:space="0" w:color="auto"/>
      </w:divBdr>
    </w:div>
    <w:div w:id="1249382177">
      <w:bodyDiv w:val="1"/>
      <w:marLeft w:val="0"/>
      <w:marRight w:val="0"/>
      <w:marTop w:val="0"/>
      <w:marBottom w:val="0"/>
      <w:divBdr>
        <w:top w:val="none" w:sz="0" w:space="0" w:color="auto"/>
        <w:left w:val="none" w:sz="0" w:space="0" w:color="auto"/>
        <w:bottom w:val="none" w:sz="0" w:space="0" w:color="auto"/>
        <w:right w:val="none" w:sz="0" w:space="0" w:color="auto"/>
      </w:divBdr>
    </w:div>
    <w:div w:id="1292326398">
      <w:bodyDiv w:val="1"/>
      <w:marLeft w:val="0"/>
      <w:marRight w:val="0"/>
      <w:marTop w:val="0"/>
      <w:marBottom w:val="0"/>
      <w:divBdr>
        <w:top w:val="none" w:sz="0" w:space="0" w:color="auto"/>
        <w:left w:val="none" w:sz="0" w:space="0" w:color="auto"/>
        <w:bottom w:val="none" w:sz="0" w:space="0" w:color="auto"/>
        <w:right w:val="none" w:sz="0" w:space="0" w:color="auto"/>
      </w:divBdr>
    </w:div>
    <w:div w:id="1504051350">
      <w:bodyDiv w:val="1"/>
      <w:marLeft w:val="0"/>
      <w:marRight w:val="0"/>
      <w:marTop w:val="0"/>
      <w:marBottom w:val="0"/>
      <w:divBdr>
        <w:top w:val="none" w:sz="0" w:space="0" w:color="auto"/>
        <w:left w:val="none" w:sz="0" w:space="0" w:color="auto"/>
        <w:bottom w:val="none" w:sz="0" w:space="0" w:color="auto"/>
        <w:right w:val="none" w:sz="0" w:space="0" w:color="auto"/>
      </w:divBdr>
      <w:divsChild>
        <w:div w:id="74403257">
          <w:marLeft w:val="0"/>
          <w:marRight w:val="0"/>
          <w:marTop w:val="0"/>
          <w:marBottom w:val="0"/>
          <w:divBdr>
            <w:top w:val="none" w:sz="0" w:space="0" w:color="auto"/>
            <w:left w:val="none" w:sz="0" w:space="0" w:color="auto"/>
            <w:bottom w:val="none" w:sz="0" w:space="0" w:color="auto"/>
            <w:right w:val="none" w:sz="0" w:space="0" w:color="auto"/>
          </w:divBdr>
          <w:divsChild>
            <w:div w:id="1777797037">
              <w:marLeft w:val="0"/>
              <w:marRight w:val="0"/>
              <w:marTop w:val="0"/>
              <w:marBottom w:val="0"/>
              <w:divBdr>
                <w:top w:val="none" w:sz="0" w:space="0" w:color="auto"/>
                <w:left w:val="none" w:sz="0" w:space="0" w:color="auto"/>
                <w:bottom w:val="none" w:sz="0" w:space="0" w:color="auto"/>
                <w:right w:val="none" w:sz="0" w:space="0" w:color="auto"/>
              </w:divBdr>
              <w:divsChild>
                <w:div w:id="855000915">
                  <w:marLeft w:val="0"/>
                  <w:marRight w:val="0"/>
                  <w:marTop w:val="0"/>
                  <w:marBottom w:val="0"/>
                  <w:divBdr>
                    <w:top w:val="none" w:sz="0" w:space="0" w:color="auto"/>
                    <w:left w:val="none" w:sz="0" w:space="0" w:color="auto"/>
                    <w:bottom w:val="none" w:sz="0" w:space="0" w:color="auto"/>
                    <w:right w:val="none" w:sz="0" w:space="0" w:color="auto"/>
                  </w:divBdr>
                  <w:divsChild>
                    <w:div w:id="11003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292727">
      <w:bodyDiv w:val="1"/>
      <w:marLeft w:val="0"/>
      <w:marRight w:val="0"/>
      <w:marTop w:val="0"/>
      <w:marBottom w:val="0"/>
      <w:divBdr>
        <w:top w:val="none" w:sz="0" w:space="0" w:color="auto"/>
        <w:left w:val="none" w:sz="0" w:space="0" w:color="auto"/>
        <w:bottom w:val="none" w:sz="0" w:space="0" w:color="auto"/>
        <w:right w:val="none" w:sz="0" w:space="0" w:color="auto"/>
      </w:divBdr>
    </w:div>
    <w:div w:id="1557280098">
      <w:bodyDiv w:val="1"/>
      <w:marLeft w:val="0"/>
      <w:marRight w:val="0"/>
      <w:marTop w:val="0"/>
      <w:marBottom w:val="0"/>
      <w:divBdr>
        <w:top w:val="none" w:sz="0" w:space="0" w:color="auto"/>
        <w:left w:val="none" w:sz="0" w:space="0" w:color="auto"/>
        <w:bottom w:val="none" w:sz="0" w:space="0" w:color="auto"/>
        <w:right w:val="none" w:sz="0" w:space="0" w:color="auto"/>
      </w:divBdr>
    </w:div>
    <w:div w:id="1557810834">
      <w:bodyDiv w:val="1"/>
      <w:marLeft w:val="0"/>
      <w:marRight w:val="0"/>
      <w:marTop w:val="0"/>
      <w:marBottom w:val="0"/>
      <w:divBdr>
        <w:top w:val="none" w:sz="0" w:space="0" w:color="auto"/>
        <w:left w:val="none" w:sz="0" w:space="0" w:color="auto"/>
        <w:bottom w:val="none" w:sz="0" w:space="0" w:color="auto"/>
        <w:right w:val="none" w:sz="0" w:space="0" w:color="auto"/>
      </w:divBdr>
    </w:div>
    <w:div w:id="1653754012">
      <w:bodyDiv w:val="1"/>
      <w:marLeft w:val="0"/>
      <w:marRight w:val="0"/>
      <w:marTop w:val="0"/>
      <w:marBottom w:val="0"/>
      <w:divBdr>
        <w:top w:val="none" w:sz="0" w:space="0" w:color="auto"/>
        <w:left w:val="none" w:sz="0" w:space="0" w:color="auto"/>
        <w:bottom w:val="none" w:sz="0" w:space="0" w:color="auto"/>
        <w:right w:val="none" w:sz="0" w:space="0" w:color="auto"/>
      </w:divBdr>
    </w:div>
    <w:div w:id="1690983266">
      <w:bodyDiv w:val="1"/>
      <w:marLeft w:val="0"/>
      <w:marRight w:val="0"/>
      <w:marTop w:val="0"/>
      <w:marBottom w:val="0"/>
      <w:divBdr>
        <w:top w:val="none" w:sz="0" w:space="0" w:color="auto"/>
        <w:left w:val="none" w:sz="0" w:space="0" w:color="auto"/>
        <w:bottom w:val="none" w:sz="0" w:space="0" w:color="auto"/>
        <w:right w:val="none" w:sz="0" w:space="0" w:color="auto"/>
      </w:divBdr>
    </w:div>
    <w:div w:id="1796483119">
      <w:bodyDiv w:val="1"/>
      <w:marLeft w:val="0"/>
      <w:marRight w:val="0"/>
      <w:marTop w:val="0"/>
      <w:marBottom w:val="0"/>
      <w:divBdr>
        <w:top w:val="none" w:sz="0" w:space="0" w:color="auto"/>
        <w:left w:val="none" w:sz="0" w:space="0" w:color="auto"/>
        <w:bottom w:val="none" w:sz="0" w:space="0" w:color="auto"/>
        <w:right w:val="none" w:sz="0" w:space="0" w:color="auto"/>
      </w:divBdr>
    </w:div>
    <w:div w:id="1809978052">
      <w:bodyDiv w:val="1"/>
      <w:marLeft w:val="0"/>
      <w:marRight w:val="0"/>
      <w:marTop w:val="0"/>
      <w:marBottom w:val="0"/>
      <w:divBdr>
        <w:top w:val="none" w:sz="0" w:space="0" w:color="auto"/>
        <w:left w:val="none" w:sz="0" w:space="0" w:color="auto"/>
        <w:bottom w:val="none" w:sz="0" w:space="0" w:color="auto"/>
        <w:right w:val="none" w:sz="0" w:space="0" w:color="auto"/>
      </w:divBdr>
    </w:div>
    <w:div w:id="1876499201">
      <w:bodyDiv w:val="1"/>
      <w:marLeft w:val="0"/>
      <w:marRight w:val="0"/>
      <w:marTop w:val="0"/>
      <w:marBottom w:val="0"/>
      <w:divBdr>
        <w:top w:val="none" w:sz="0" w:space="0" w:color="auto"/>
        <w:left w:val="none" w:sz="0" w:space="0" w:color="auto"/>
        <w:bottom w:val="none" w:sz="0" w:space="0" w:color="auto"/>
        <w:right w:val="none" w:sz="0" w:space="0" w:color="auto"/>
      </w:divBdr>
    </w:div>
    <w:div w:id="1883010391">
      <w:bodyDiv w:val="1"/>
      <w:marLeft w:val="0"/>
      <w:marRight w:val="0"/>
      <w:marTop w:val="0"/>
      <w:marBottom w:val="0"/>
      <w:divBdr>
        <w:top w:val="none" w:sz="0" w:space="0" w:color="auto"/>
        <w:left w:val="none" w:sz="0" w:space="0" w:color="auto"/>
        <w:bottom w:val="none" w:sz="0" w:space="0" w:color="auto"/>
        <w:right w:val="none" w:sz="0" w:space="0" w:color="auto"/>
      </w:divBdr>
    </w:div>
    <w:div w:id="1896743104">
      <w:bodyDiv w:val="1"/>
      <w:marLeft w:val="0"/>
      <w:marRight w:val="0"/>
      <w:marTop w:val="0"/>
      <w:marBottom w:val="0"/>
      <w:divBdr>
        <w:top w:val="none" w:sz="0" w:space="0" w:color="auto"/>
        <w:left w:val="none" w:sz="0" w:space="0" w:color="auto"/>
        <w:bottom w:val="none" w:sz="0" w:space="0" w:color="auto"/>
        <w:right w:val="none" w:sz="0" w:space="0" w:color="auto"/>
      </w:divBdr>
    </w:div>
    <w:div w:id="1962878008">
      <w:bodyDiv w:val="1"/>
      <w:marLeft w:val="0"/>
      <w:marRight w:val="0"/>
      <w:marTop w:val="0"/>
      <w:marBottom w:val="0"/>
      <w:divBdr>
        <w:top w:val="none" w:sz="0" w:space="0" w:color="auto"/>
        <w:left w:val="none" w:sz="0" w:space="0" w:color="auto"/>
        <w:bottom w:val="none" w:sz="0" w:space="0" w:color="auto"/>
        <w:right w:val="none" w:sz="0" w:space="0" w:color="auto"/>
      </w:divBdr>
    </w:div>
    <w:div w:id="1985116507">
      <w:bodyDiv w:val="1"/>
      <w:marLeft w:val="0"/>
      <w:marRight w:val="0"/>
      <w:marTop w:val="0"/>
      <w:marBottom w:val="0"/>
      <w:divBdr>
        <w:top w:val="none" w:sz="0" w:space="0" w:color="auto"/>
        <w:left w:val="none" w:sz="0" w:space="0" w:color="auto"/>
        <w:bottom w:val="none" w:sz="0" w:space="0" w:color="auto"/>
        <w:right w:val="none" w:sz="0" w:space="0" w:color="auto"/>
      </w:divBdr>
    </w:div>
    <w:div w:id="206690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Ncs01_pool01_server\vol01\DATI\camera01\STUDI-COMITATO\XVII\RAPPORTO_FORMISANO\0020_AC_3262_enti_territoriali.docx" TargetMode="External"/><Relationship Id="rId299" Type="http://schemas.openxmlformats.org/officeDocument/2006/relationships/footer" Target="footer35.xml"/><Relationship Id="rId21" Type="http://schemas.openxmlformats.org/officeDocument/2006/relationships/footer" Target="footer7.xml"/><Relationship Id="rId63" Type="http://schemas.openxmlformats.org/officeDocument/2006/relationships/hyperlink" Target="file:///\\Ncs01_pool01_server\vol01\DATI\camera01\STUDI-COMITATO\XVII\RAPPORTO_FORMISANO\0019_AC_3249_missione_EUNAVFOR_MED.docx" TargetMode="External"/><Relationship Id="rId159" Type="http://schemas.openxmlformats.org/officeDocument/2006/relationships/hyperlink" Target="file:///\\Ncs01_pool01_server\vol01\DATI\camera01\STUDI-COMITATO\XVII\RAPPORTO_FORMISANO\0017_AC_3210_rifiuti_ILVA.docx" TargetMode="External"/><Relationship Id="rId324" Type="http://schemas.openxmlformats.org/officeDocument/2006/relationships/footer" Target="footer45.xml"/><Relationship Id="rId366" Type="http://schemas.openxmlformats.org/officeDocument/2006/relationships/hyperlink" Target="http://www.camera.it/leg17/126?tab=&amp;leg=17&amp;idDocumento=3210&amp;sede=&amp;tipo=" TargetMode="External"/><Relationship Id="rId170"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30.tit00010" TargetMode="External"/><Relationship Id="rId226" Type="http://schemas.openxmlformats.org/officeDocument/2006/relationships/hyperlink" Target="http://documenti.camera.it/apps/commonServices/getDocumento.ashx?sezione=bollettini&amp;tipoDoc=comunicato&amp;idlegislatura=17&amp;anno=2015&amp;mese=02&amp;giorno=10&amp;view=filtered_48&amp;idCommissione=48&amp;ancora=data.20150210.com48.bollettino.sede00010.tit00010" TargetMode="External"/><Relationship Id="rId268" Type="http://schemas.openxmlformats.org/officeDocument/2006/relationships/hyperlink" Target="file:///\\Ncs01_pool01_server\vol01\DATI\camera01\STUDI-COMITATO\XVII\RAPPORTO_FORMISANO\0023_AC_3272_delega_riforma_RAI.docx" TargetMode="External"/><Relationship Id="rId11" Type="http://schemas.openxmlformats.org/officeDocument/2006/relationships/footer" Target="footer2.xml"/><Relationship Id="rId32" Type="http://schemas.openxmlformats.org/officeDocument/2006/relationships/hyperlink" Target="http://documenti.camera.it/apps/commonServices/getDocumento.ashx?sezione=bollettini&amp;tipoDoc=comunicato&amp;idlegislatura=17&amp;anno=2015&amp;mese=02&amp;giorno=27&amp;view=filtered_48&amp;idCommissione=48&amp;ancora=data.20150227.com48.bollettino.sede00010.tit00010" TargetMode="External"/><Relationship Id="rId53" Type="http://schemas.openxmlformats.org/officeDocument/2006/relationships/hyperlink" Target="file:///\\Ncs01_pool01_server\vol01\DATI\camera01\STUDI-COMITATO\XVII\RAPPORTO_FORMISANO\0014_AC_2798_Modifiche_CP_CPP.docx" TargetMode="External"/><Relationship Id="rId74"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10.tit00010" TargetMode="External"/><Relationship Id="rId128" Type="http://schemas.openxmlformats.org/officeDocument/2006/relationships/footer" Target="footer12.xml"/><Relationship Id="rId149" Type="http://schemas.openxmlformats.org/officeDocument/2006/relationships/hyperlink" Target="file:///\\Ncs01_pool01_server\vol01\DATI\camera01\STUDI-COMITATO\XVII\RAPPORTO_FORMISANO\0012_AC_3098_delega_PA.docx" TargetMode="External"/><Relationship Id="rId314" Type="http://schemas.openxmlformats.org/officeDocument/2006/relationships/footer" Target="footer41.xml"/><Relationship Id="rId335" Type="http://schemas.openxmlformats.org/officeDocument/2006/relationships/hyperlink" Target="http://www.camera.it/leg17/126?tab=&amp;leg=17&amp;idDocumento=3098&amp;sede=&amp;tipo=" TargetMode="External"/><Relationship Id="rId356" Type="http://schemas.openxmlformats.org/officeDocument/2006/relationships/hyperlink" Target="http://documenti.camera.it/apps/commonServices/getDocumento.ashx?sezione=bollettini&amp;tipoDoc=comunicato&amp;idlegislatura=17&amp;anno=2015&amp;mese=07&amp;giorno=02&amp;view=filtered_48&amp;idCommissione=48&amp;ancora=data.20150702.com48.bollettino.sede00010.tit00020" TargetMode="External"/><Relationship Id="rId377" Type="http://schemas.openxmlformats.org/officeDocument/2006/relationships/hyperlink" Target="http://documenti.camera.it/apps/commonServices/getDocumento.ashx?sezione=bollettini&amp;tipoDoc=comunicato&amp;idlegislatura=17&amp;anno=2015&amp;mese=07&amp;giorno=29&amp;view=filtered_48&amp;idCommissione=48&amp;ancora=data.20150729.com48.bollettino.sede00010.tit00010" TargetMode="External"/><Relationship Id="rId398" Type="http://schemas.openxmlformats.org/officeDocument/2006/relationships/hyperlink" Target="http://documenti.camera.it/apps/commonServices/getDocumento.ashx?idLegislatura=17&amp;sezione=lavori&amp;tipoDoc=pdl&amp;idDocumento=3340" TargetMode="External"/><Relationship Id="rId5" Type="http://schemas.openxmlformats.org/officeDocument/2006/relationships/settings" Target="settings.xml"/><Relationship Id="rId95" Type="http://schemas.openxmlformats.org/officeDocument/2006/relationships/hyperlink" Target="file:///\\Ncs01_pool01_server\vol01\DATI\camera01\STUDI-COMITATO\XVII\RAPPORTO_FORMISANO\0005_AC_2915_esenzione_IMU.docx" TargetMode="External"/><Relationship Id="rId160" Type="http://schemas.openxmlformats.org/officeDocument/2006/relationships/hyperlink" Target="http://documenti.camera.it/apps/commonServices/getDocumento.ashx?sezione=bollettini&amp;tipoDoc=comunicato&amp;idlegislatura=17&amp;anno=2015&amp;mese=07&amp;giorno=29&amp;view=filtered_48&amp;idCommissione=48&amp;ancora=data.20150729.com48.bollettino.sede00010.tit00010" TargetMode="External"/><Relationship Id="rId181" Type="http://schemas.openxmlformats.org/officeDocument/2006/relationships/hyperlink" Target="file:///\\Ncs01_pool01_server\vol01\DATI\camera01\STUDI-COMITATO\XVII\RAPPORTO_FORMISANO\0002_AC_2844_sistema_bancario.docx" TargetMode="External"/><Relationship Id="rId216"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30.tit00010" TargetMode="External"/><Relationship Id="rId237" Type="http://schemas.openxmlformats.org/officeDocument/2006/relationships/hyperlink" Target="file:///\\Ncs01_pool01_server\vol01\DATI\camera01\STUDI-COMITATO\XVII\RAPPORTO_FORMISANO\0010_AC_3104_agricoltura.docx" TargetMode="External"/><Relationship Id="rId402" Type="http://schemas.openxmlformats.org/officeDocument/2006/relationships/hyperlink" Target="http://documenti.camera.it/apps/commonServices/getDocumento.ashx?idLegislatura=17&amp;sezione=lavori&amp;tipoDoc=pdl&amp;idDocumento=3386" TargetMode="External"/><Relationship Id="rId258"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20" TargetMode="External"/><Relationship Id="rId279" Type="http://schemas.openxmlformats.org/officeDocument/2006/relationships/hyperlink" Target="http://documenti.camera.it/apps/commonServices/getDocumento.ashx?idLegislatura=17&amp;sezione=lavori&amp;tipoDoc=pdl&amp;idDocumento=2803" TargetMode="External"/><Relationship Id="rId22" Type="http://schemas.openxmlformats.org/officeDocument/2006/relationships/header" Target="header5.xml"/><Relationship Id="rId43" Type="http://schemas.openxmlformats.org/officeDocument/2006/relationships/hyperlink" Target="file:///\\Ncs01_pool01_server\vol01\DATI\camera01\STUDI-COMITATO\XVII\RAPPORTO_FORMISANO\0009_AC_2994_buona_scuola.docx" TargetMode="External"/><Relationship Id="rId64" Type="http://schemas.openxmlformats.org/officeDocument/2006/relationships/hyperlink" Target="http://documenti.camera.it/apps/commonServices/getDocumento.ashx?sezione=bollettini&amp;tipoDoc=comunicato&amp;idlegislatura=17&amp;anno=2015&amp;mese=07&amp;giorno=30&amp;view=filtered_48&amp;idCommissione=48&amp;ancora=data.20150730.com48.bollettino.sede00010.tit00010" TargetMode="External"/><Relationship Id="rId118" Type="http://schemas.openxmlformats.org/officeDocument/2006/relationships/hyperlink" Target="http://documenti.camera.it/apps/commonServices/getDocumento.ashx?sezione=bollettini&amp;tipoDoc=comunicato&amp;idlegislatura=17&amp;anno=2015&amp;mese=07&amp;giorno=30&amp;view=filtered_48&amp;idCommissione=48&amp;ancora=data.20150730.com48.bollettino.sede00020.tit00010" TargetMode="External"/><Relationship Id="rId139" Type="http://schemas.openxmlformats.org/officeDocument/2006/relationships/hyperlink" Target="file:///\\Ncs01_pool01_server\vol01\DATI\camera01\STUDI-COMITATO\XVII\RAPPORTO_FORMISANO\0004_AC_2893_terrorismo_missioni.docx" TargetMode="External"/><Relationship Id="rId290" Type="http://schemas.openxmlformats.org/officeDocument/2006/relationships/hyperlink" Target="http://documenti.camera.it/apps/commonServices/getDocumento.ashx?idLegislatura=17&amp;sezione=lavori&amp;tipoDoc=pdl&amp;idDocumento=2894" TargetMode="External"/><Relationship Id="rId304" Type="http://schemas.openxmlformats.org/officeDocument/2006/relationships/footer" Target="footer37.xml"/><Relationship Id="rId325" Type="http://schemas.openxmlformats.org/officeDocument/2006/relationships/hyperlink" Target="http://www.camera.it/leg17/126?tab=&amp;leg=17&amp;idDocumento=3104&amp;sede=&amp;tipo=" TargetMode="External"/><Relationship Id="rId346" Type="http://schemas.openxmlformats.org/officeDocument/2006/relationships/hyperlink" Target="http://documenti.camera.it/apps/commonServices/getDocumento.ashx?sezione=bollettini&amp;tipoDoc=comunicato&amp;idlegislatura=17&amp;anno=2015&amp;mese=07&amp;giorno=02&amp;view=filtered_48&amp;idCommissione=48&amp;ancora=data.20150702.com48.bollettino.sede00010.tit00010" TargetMode="External"/><Relationship Id="rId367" Type="http://schemas.openxmlformats.org/officeDocument/2006/relationships/hyperlink" Target="http://documenti.camera.it/apps/commonServices/getDocumento.ashx?sezione=bollettini&amp;tipoDoc=comunicato&amp;idlegislatura=17&amp;anno=2015&amp;mese=07&amp;giorno=15&amp;view=filtered_48&amp;idCommissione=48&amp;ancora=data.20150715.com48.bollettino.sede00010.tit00010" TargetMode="External"/><Relationship Id="rId388" Type="http://schemas.openxmlformats.org/officeDocument/2006/relationships/header" Target="header48.xml"/><Relationship Id="rId85" Type="http://schemas.openxmlformats.org/officeDocument/2006/relationships/footer" Target="footer11.xml"/><Relationship Id="rId150"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20" TargetMode="External"/><Relationship Id="rId171" Type="http://schemas.openxmlformats.org/officeDocument/2006/relationships/hyperlink" Target="file:///\\Ncs01_pool01_server\vol01\DATI\camera01\STUDI-COMITATO\XVII\RAPPORTO_FORMISANO\0027_TU_1138_modifiche_cod_antimafia.docx" TargetMode="External"/><Relationship Id="rId192" Type="http://schemas.openxmlformats.org/officeDocument/2006/relationships/hyperlink" Target="http://documenti.camera.it/apps/commonServices/getDocumento.ashx?sezione=bollettini&amp;tipoDoc=comunicato&amp;idlegislatura=17&amp;anno=2015&amp;mese=05&amp;giorno=13&amp;view=filtered_48&amp;idCommissione=48&amp;ancora=data.20150513.com48.bollettino.sede00010.tit00010" TargetMode="External"/><Relationship Id="rId206" Type="http://schemas.openxmlformats.org/officeDocument/2006/relationships/hyperlink" Target="http://documenti.camera.it/apps/commonServices/getDocumento.ashx?sezione=bollettini&amp;tipoDoc=comunicato&amp;idlegislatura=17&amp;anno=2015&amp;mese=07&amp;giorno=15&amp;view=filtered_48&amp;idCommissione=48&amp;ancora=data.20150715.com48.bollettino.sede00020.tit00010" TargetMode="External"/><Relationship Id="rId227" Type="http://schemas.openxmlformats.org/officeDocument/2006/relationships/hyperlink" Target="file:///\\Ncs01_pool01_server\vol01\DATI\camera01\STUDI-COMITATO\XVII\RAPPORTO_FORMISANO\0002_AC_2844_sistema_bancario.docx" TargetMode="External"/><Relationship Id="rId248" Type="http://schemas.openxmlformats.org/officeDocument/2006/relationships/hyperlink" Target="http://documenti.camera.it/apps/commonServices/getDocumento.ashx?sezione=bollettini&amp;tipoDoc=comunicato&amp;idlegislatura=17&amp;anno=2015&amp;mese=03&amp;giorno=04&amp;view=filtered_48&amp;idCommissione=48&amp;ancora=data.20150304.com48.bollettino.sede00010.tit00010" TargetMode="External"/><Relationship Id="rId269"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30.tit00010" TargetMode="External"/><Relationship Id="rId12" Type="http://schemas.openxmlformats.org/officeDocument/2006/relationships/header" Target="header2.xml"/><Relationship Id="rId33" Type="http://schemas.openxmlformats.org/officeDocument/2006/relationships/hyperlink" Target="file:///\\Ncs01_pool01_server\vol01\DATI\camera01\STUDI-COMITATO\XVII\RAPPORTO_FORMISANO\0004_AC_2893_terrorismo_missioni.docx" TargetMode="External"/><Relationship Id="rId108"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20" TargetMode="External"/><Relationship Id="rId129" Type="http://schemas.openxmlformats.org/officeDocument/2006/relationships/footer" Target="footer13.xml"/><Relationship Id="rId280" Type="http://schemas.openxmlformats.org/officeDocument/2006/relationships/hyperlink" Target="http://documenti.camera.it/apps/commonServices/getDocumento.ashx?sezione=bollettini&amp;tipoDoc=comunicato&amp;idlegislatura=17&amp;anno=2015&amp;mese=01&amp;giorno=15&amp;view=filtered_48&amp;idCommissione=48&amp;ancora=data.20150115.com48.bollettino.sede00010.tit00010" TargetMode="External"/><Relationship Id="rId315" Type="http://schemas.openxmlformats.org/officeDocument/2006/relationships/hyperlink" Target="http://documenti.camera.it/apps/commonServices/getDocumento.ashx?idLegislatura=17&amp;sezione=lavori&amp;tipoDoc=pdl&amp;idDocumento=2722" TargetMode="External"/><Relationship Id="rId336"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10" TargetMode="External"/><Relationship Id="rId357" Type="http://schemas.openxmlformats.org/officeDocument/2006/relationships/hyperlink" Target="file:///\\Ncs01_pool01_server\vol01\DATI\camera01\STUDI-COMITATO\XVII\RAPPORTO_FORMISANO\0015_AC_2994_B_buona_scuola_B.docx" TargetMode="External"/><Relationship Id="rId54" Type="http://schemas.openxmlformats.org/officeDocument/2006/relationships/hyperlink" Target="http://documenti.camera.it/apps/commonServices/getDocumento.ashx?sezione=bollettini&amp;tipoDoc=comunicato&amp;idlegislatura=17&amp;anno=2015&amp;mese=07&amp;giorno=02&amp;view=filtered_48&amp;idCommissione=48&amp;ancora=data.20150702.com48.bollettino.sede00010.tit00020" TargetMode="External"/><Relationship Id="rId75" Type="http://schemas.openxmlformats.org/officeDocument/2006/relationships/hyperlink" Target="file:///\\Ncs01_pool01_server\vol01\DATI\camera01\STUDI-COMITATO\XVII\RAPPORTO_FORMISANO\0025_AC_2613B_riforme_costituzionali.docx" TargetMode="External"/><Relationship Id="rId96" Type="http://schemas.openxmlformats.org/officeDocument/2006/relationships/hyperlink" Target="http://documenti.camera.it/apps/commonServices/getDocumento.ashx?sezione=bollettini&amp;tipoDoc=comunicato&amp;idlegislatura=17&amp;anno=2015&amp;mese=04&amp;giorno=22&amp;view=filtered_48&amp;idCommissione=48&amp;ancora=data.20150422.com48.bollettino.sede00010.tit00010" TargetMode="External"/><Relationship Id="rId140" Type="http://schemas.openxmlformats.org/officeDocument/2006/relationships/hyperlink" Target="http://documenti.camera.it/apps/commonServices/getDocumento.ashx?sezione=bollettini&amp;tipoDoc=comunicato&amp;idlegislatura=17&amp;anno=2015&amp;mese=04&amp;giorno=22&amp;view=filtered_48&amp;idCommissione=48&amp;ancora=data.20150422.com48.bollettino.sede00010.tit00010" TargetMode="External"/><Relationship Id="rId161" Type="http://schemas.openxmlformats.org/officeDocument/2006/relationships/hyperlink" Target="file:///\\Ncs01_pool01_server\vol01\DATI\camera01\STUDI-COMITATO\XVII\RAPPORTO_FORMISANO\0019_AC_3249_missione_EUNAVFOR_MED.docx" TargetMode="External"/><Relationship Id="rId182" Type="http://schemas.openxmlformats.org/officeDocument/2006/relationships/hyperlink" Target="http://documenti.camera.it/apps/commonServices/getDocumento.ashx?sezione=bollettini&amp;tipoDoc=comunicato&amp;idlegislatura=17&amp;anno=2015&amp;mese=02&amp;giorno=24&amp;view=filtered_48&amp;idCommissione=48&amp;ancora=data.20150224.com48.bollettino.sede00010.tit00010" TargetMode="External"/><Relationship Id="rId217" Type="http://schemas.openxmlformats.org/officeDocument/2006/relationships/hyperlink" Target="file:///\\Ncs01_pool01_server\vol01\DATI\camera01\STUDI-COMITATO\XVII\RAPPORTO_FORMISANO\0027_TU_1138_modifiche_cod_antimafia.docx" TargetMode="External"/><Relationship Id="rId378" Type="http://schemas.openxmlformats.org/officeDocument/2006/relationships/header" Target="header46.xml"/><Relationship Id="rId399" Type="http://schemas.openxmlformats.org/officeDocument/2006/relationships/hyperlink" Target="http://documenti.camera.it/apps/commonServices/getDocumento.ashx?sezione=bollettini&amp;tipoDoc=comunicato&amp;idlegislatura=17&amp;anno=2015&amp;mese=10&amp;giorno=07&amp;view=filtered_48&amp;idCommissione=48&amp;ancora=data.20151007.com48.bollettino.sede00010.tit00010" TargetMode="External"/><Relationship Id="rId403"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20.tit00010" TargetMode="External"/><Relationship Id="rId6" Type="http://schemas.openxmlformats.org/officeDocument/2006/relationships/webSettings" Target="webSettings.xml"/><Relationship Id="rId238"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10" TargetMode="External"/><Relationship Id="rId259" Type="http://schemas.openxmlformats.org/officeDocument/2006/relationships/hyperlink" Target="file:///\\Ncs01_pool01_server\vol01\DATI\camera01\STUDI-COMITATO\XVII\RAPPORTO_FORMISANO\0013_AC_3123_L_delegaz_UE_2014.docx" TargetMode="External"/><Relationship Id="rId23" Type="http://schemas.openxmlformats.org/officeDocument/2006/relationships/header" Target="header6.xml"/><Relationship Id="rId119" Type="http://schemas.openxmlformats.org/officeDocument/2006/relationships/hyperlink" Target="file:///\\Ncs01_pool01_server\vol01\DATI\camera01\STUDI-COMITATO\XVII\RAPPORTO_FORMISANO\0021_AC_3194_delega_appalti.docx" TargetMode="External"/><Relationship Id="rId270" Type="http://schemas.openxmlformats.org/officeDocument/2006/relationships/hyperlink" Target="file:///\\Ncs01_pool01_server\vol01\DATI\camera01\STUDI-COMITATO\XVII\RAPPORTO_FORMISANO\0027_TU_1138_modifiche_cod_antimafia.docx" TargetMode="External"/><Relationship Id="rId291" Type="http://schemas.openxmlformats.org/officeDocument/2006/relationships/hyperlink" Target="http://documenti.camera.it/apps/commonServices/getDocumento.ashx?sezione=bollettini&amp;tipoDoc=comunicato&amp;idlegislatura=17&amp;anno=2015&amp;mese=02&amp;giorno=24&amp;view=filtered_48&amp;idCommissione=48&amp;ancora=data.20150224.com48.bollettino.sede00010.tit00010" TargetMode="External"/><Relationship Id="rId305" Type="http://schemas.openxmlformats.org/officeDocument/2006/relationships/hyperlink" Target="http://documenti.camera.it/apps/commonServices/getDocumento.ashx?idLegislatura=17&amp;sezione=lavori&amp;tipoDoc=pdl&amp;idDocumento=3-bis-B" TargetMode="External"/><Relationship Id="rId326" Type="http://schemas.openxmlformats.org/officeDocument/2006/relationships/hyperlink" Target="http://documenti.camera.it/apps/commonServices/getDocumento.ashx?sezione=bollettini&amp;tipoDoc=comunicato&amp;idlegislatura=17&amp;anno=2015&amp;mese=05&amp;giorno=13&amp;view=filtered_48&amp;idCommissione=48&amp;ancora=data.20150513.com48.bollettino.sede00010.tit00010" TargetMode="External"/><Relationship Id="rId347" Type="http://schemas.openxmlformats.org/officeDocument/2006/relationships/hyperlink" Target="file:///\\Ncs01_pool01_server\vol01\DATI\camera01\STUDI-COMITATO\XVII\RAPPORTO_FORMISANO\0014_AC_2798_Modifiche_CP_CPP.docx" TargetMode="External"/><Relationship Id="rId44" Type="http://schemas.openxmlformats.org/officeDocument/2006/relationships/hyperlink" Target="http://documenti.camera.it/apps/commonServices/getDocumento.ashx?sezione=bollettini&amp;tipoDoc=comunicato&amp;idlegislatura=17&amp;anno=2015&amp;mese=05&amp;giorno=13&amp;view=filtered_48&amp;idCommissione=48&amp;ancora=data.20150513.com48.bollettino.sede00010.tit00010" TargetMode="External"/><Relationship Id="rId65" Type="http://schemas.openxmlformats.org/officeDocument/2006/relationships/hyperlink" Target="file:///\\Ncs01_pool01_server\vol01\DATI\camera01\STUDI-COMITATO\XVII\RAPPORTO_FORMISANO\0020_AC_3262_enti_territoriali.docx" TargetMode="External"/><Relationship Id="rId86" Type="http://schemas.openxmlformats.org/officeDocument/2006/relationships/hyperlink" Target="http://documenti.camera.it/apps/commonServices/getDocumento.ashx?sezione=bollettini&amp;tipoDoc=comunicato&amp;idlegislatura=17&amp;anno=2015&amp;mese=01&amp;giorno=15&amp;view=filtered_48&amp;idCommissione=48&amp;ancora=data.20150115.com48.bollettino.sede00010.tit00010" TargetMode="External"/><Relationship Id="rId130" Type="http://schemas.openxmlformats.org/officeDocument/2006/relationships/header" Target="header13.xml"/><Relationship Id="rId151" Type="http://schemas.openxmlformats.org/officeDocument/2006/relationships/hyperlink" Target="file:///\\Ncs01_pool01_server\vol01\DATI\camera01\STUDI-COMITATO\XVII\RAPPORTO_FORMISANO\0013_AC_3123_L_delegaz_UE_2014.docx" TargetMode="External"/><Relationship Id="rId368" Type="http://schemas.openxmlformats.org/officeDocument/2006/relationships/header" Target="header44.xml"/><Relationship Id="rId389" Type="http://schemas.openxmlformats.org/officeDocument/2006/relationships/footer" Target="footer68.xml"/><Relationship Id="rId172" Type="http://schemas.openxmlformats.org/officeDocument/2006/relationships/header" Target="header14.xml"/><Relationship Id="rId193" Type="http://schemas.openxmlformats.org/officeDocument/2006/relationships/hyperlink" Target="file:///\\Ncs01_pool01_server\vol01\DATI\camera01\STUDI-COMITATO\XVII\RAPPORTO_FORMISANO\0010_AC_3104_agricoltura.docx" TargetMode="External"/><Relationship Id="rId207" Type="http://schemas.openxmlformats.org/officeDocument/2006/relationships/hyperlink" Target="file:///\\Ncs01_pool01_server\vol01\DATI\camera01\STUDI-COMITATO\XVII\RAPPORTO_FORMISANO\0018_AC_2607_delega_protezione_civile.docx" TargetMode="External"/><Relationship Id="rId228" Type="http://schemas.openxmlformats.org/officeDocument/2006/relationships/hyperlink" Target="http://documenti.camera.it/apps/commonServices/getDocumento.ashx?sezione=bollettini&amp;tipoDoc=comunicato&amp;idlegislatura=17&amp;anno=2015&amp;mese=02&amp;giorno=27&amp;view=filtered_48&amp;idCommissione=48&amp;ancora=data.20150227.com48.bollettino.sede00010.tit00010" TargetMode="External"/><Relationship Id="rId249" Type="http://schemas.openxmlformats.org/officeDocument/2006/relationships/hyperlink" Target="file:///\\Ncs01_pool01_server\vol01\DATI\camera01\STUDI-COMITATO\XVII\RAPPORTO_FORMISANO\0005_AC_2915_esenzione_IMU.docx" TargetMode="External"/><Relationship Id="rId13" Type="http://schemas.openxmlformats.org/officeDocument/2006/relationships/footer" Target="footer3.xml"/><Relationship Id="rId109" Type="http://schemas.openxmlformats.org/officeDocument/2006/relationships/hyperlink" Target="file:///\\Ncs01_pool01_server\vol01\DATI\camera01\STUDI-COMITATO\XVII\RAPPORTO_FORMISANO\0013_AC_3123_L_delegaz_UE_2014.docx" TargetMode="External"/><Relationship Id="rId260" Type="http://schemas.openxmlformats.org/officeDocument/2006/relationships/hyperlink" Target="http://documenti.camera.it/apps/commonServices/getDocumento.ashx?sezione=bollettini&amp;tipoDoc=comunicato&amp;idlegislatura=17&amp;anno=2015&amp;mese=07&amp;giorno=02&amp;view=filtered_48&amp;idCommissione=48&amp;ancora=data.20150702.com48.bollettino.sede00010.tit00010" TargetMode="External"/><Relationship Id="rId281" Type="http://schemas.openxmlformats.org/officeDocument/2006/relationships/header" Target="header27.xml"/><Relationship Id="rId316"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30.tit00010" TargetMode="External"/><Relationship Id="rId337" Type="http://schemas.openxmlformats.org/officeDocument/2006/relationships/header" Target="header39.xml"/><Relationship Id="rId34" Type="http://schemas.openxmlformats.org/officeDocument/2006/relationships/hyperlink" Target="http://documenti.camera.it/apps/commonServices/getDocumento.ashx?sezione=bollettini&amp;tipoDoc=comunicato&amp;idlegislatura=17&amp;anno=2015&amp;mese=03&amp;giorno=04&amp;view=filtered_48&amp;idCommissione=48&amp;ancora=data.20150304.com48.bollettino.sede00010.tit00010" TargetMode="External"/><Relationship Id="rId55" Type="http://schemas.openxmlformats.org/officeDocument/2006/relationships/hyperlink" Target="file:///\\Ncs01_pool01_server\vol01\DATI\camera01\STUDI-COMITATO\XVII\RAPPORTO_FORMISANO\0015_AC_2994_B_buona_scuola_B.docx" TargetMode="External"/><Relationship Id="rId76"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20.tit00010" TargetMode="External"/><Relationship Id="rId97" Type="http://schemas.openxmlformats.org/officeDocument/2006/relationships/hyperlink" Target="file:///\\Ncs01_pool01_server\vol01\DATI\camera01\STUDI-COMITATO\XVII\RAPPORTO_FORMISANO\0006_TU_3bis_B_elez_Camera.docx" TargetMode="External"/><Relationship Id="rId120" Type="http://schemas.openxmlformats.org/officeDocument/2006/relationships/hyperlink" Target="http://documenti.camera.it/apps/commonServices/getDocumento.ashx?sezione=bollettini&amp;tipoDoc=comunicato&amp;idlegislatura=17&amp;anno=2015&amp;mese=09&amp;giorno=30&amp;view=filtered_48&amp;idCommissione=48&amp;ancora=data.20150930.com48.bollettino.sede00020.tit00010" TargetMode="External"/><Relationship Id="rId141" Type="http://schemas.openxmlformats.org/officeDocument/2006/relationships/hyperlink" Target="file:///\\Ncs01_pool01_server\vol01\DATI\camera01\STUDI-COMITATO\XVII\RAPPORTO_FORMISANO\0006_TU_3bis_B_elez_Camera.docx" TargetMode="External"/><Relationship Id="rId358" Type="http://schemas.openxmlformats.org/officeDocument/2006/relationships/header" Target="header42.xml"/><Relationship Id="rId379" Type="http://schemas.openxmlformats.org/officeDocument/2006/relationships/footer" Target="footer64.xml"/><Relationship Id="rId7" Type="http://schemas.openxmlformats.org/officeDocument/2006/relationships/footnotes" Target="footnotes.xml"/><Relationship Id="rId162" Type="http://schemas.openxmlformats.org/officeDocument/2006/relationships/hyperlink" Target="http://documenti.camera.it/apps/commonServices/getDocumento.ashx?sezione=bollettini&amp;tipoDoc=comunicato&amp;idlegislatura=17&amp;anno=2015&amp;mese=07&amp;giorno=30&amp;view=filtered_48&amp;idCommissione=48&amp;ancora=data.20150730.com48.bollettino.sede00010.tit00010" TargetMode="External"/><Relationship Id="rId183" Type="http://schemas.openxmlformats.org/officeDocument/2006/relationships/hyperlink" Target="file:///\\Ncs01_pool01_server\vol01\DATI\camera01\STUDI-COMITATO\XVII\RAPPORTO_FORMISANO\0003_AC_2894_ILVA_Taranto.docx" TargetMode="External"/><Relationship Id="rId218" Type="http://schemas.openxmlformats.org/officeDocument/2006/relationships/header" Target="header17.xml"/><Relationship Id="rId239" Type="http://schemas.openxmlformats.org/officeDocument/2006/relationships/hyperlink" Target="file:///\\Ncs01_pool01_server\vol01\DATI\camera01\STUDI-COMITATO\XVII\RAPPORTO_FORMISANO\0012_AC_3098_delega_PA.docx" TargetMode="External"/><Relationship Id="rId390" Type="http://schemas.openxmlformats.org/officeDocument/2006/relationships/footer" Target="footer69.xml"/><Relationship Id="rId404" Type="http://schemas.openxmlformats.org/officeDocument/2006/relationships/hyperlink" Target="http://documenti.camera.it/apps/commonServices/getDocumento.ashx?idLegislatura=17&amp;sezione=lavori&amp;tipoDoc=pdl&amp;idDocumento=1138" TargetMode="External"/><Relationship Id="rId250" Type="http://schemas.openxmlformats.org/officeDocument/2006/relationships/hyperlink" Target="http://documenti.camera.it/apps/commonServices/getDocumento.ashx?sezione=bollettini&amp;tipoDoc=comunicato&amp;idlegislatura=17&amp;anno=2015&amp;mese=04&amp;giorno=22&amp;view=filtered_48&amp;idCommissione=48&amp;ancora=data.20150422.com48.bollettino.sede00010.tit00010" TargetMode="External"/><Relationship Id="rId271" Type="http://schemas.openxmlformats.org/officeDocument/2006/relationships/header" Target="header23.xml"/><Relationship Id="rId292" Type="http://schemas.openxmlformats.org/officeDocument/2006/relationships/header" Target="header30.xml"/><Relationship Id="rId306" Type="http://schemas.openxmlformats.org/officeDocument/2006/relationships/hyperlink" Target="http://documenti.camera.it/apps/commonServices/getDocumento.ashx?sezione=bollettini&amp;tipoDoc=comunicato&amp;idlegislatura=17&amp;anno=2015&amp;mese=04&amp;giorno=22&amp;view=filtered_48&amp;idCommissione=48&amp;ancora=data.20150422.com48.bollettino.sede00010.tit00010" TargetMode="External"/><Relationship Id="rId24" Type="http://schemas.openxmlformats.org/officeDocument/2006/relationships/header" Target="header7.xml"/><Relationship Id="rId45" Type="http://schemas.openxmlformats.org/officeDocument/2006/relationships/hyperlink" Target="file:///\\Ncs01_pool01_server\vol01\DATI\camera01\STUDI-COMITATO\XVII\RAPPORTO_FORMISANO\0010_AC_3104_agricoltura.docx" TargetMode="External"/><Relationship Id="rId66" Type="http://schemas.openxmlformats.org/officeDocument/2006/relationships/hyperlink" Target="http://documenti.camera.it/apps/commonServices/getDocumento.ashx?sezione=bollettini&amp;tipoDoc=comunicato&amp;idlegislatura=17&amp;anno=2015&amp;mese=07&amp;giorno=30&amp;view=filtered_48&amp;idCommissione=48&amp;ancora=data.20150730.com48.bollettino.sede00020.tit00010" TargetMode="External"/><Relationship Id="rId87" Type="http://schemas.openxmlformats.org/officeDocument/2006/relationships/hyperlink" Target="file:///\\Ncs01_pool01_server\vol01\DATI\camera01\STUDI-COMITATO\XVII\RAPPORTO_FORMISANO\0001_AC_2803_mille_proroghe.docx" TargetMode="External"/><Relationship Id="rId110" Type="http://schemas.openxmlformats.org/officeDocument/2006/relationships/hyperlink" Target="http://documenti.camera.it/apps/commonServices/getDocumento.ashx?sezione=bollettini&amp;tipoDoc=comunicato&amp;idlegislatura=17&amp;anno=2015&amp;mese=07&amp;giorno=02&amp;view=filtered_48&amp;idCommissione=48&amp;ancora=data.20150702.com48.bollettino.sede00010.tit00010" TargetMode="External"/><Relationship Id="rId131" Type="http://schemas.openxmlformats.org/officeDocument/2006/relationships/footer" Target="footer14.xml"/><Relationship Id="rId327" Type="http://schemas.openxmlformats.org/officeDocument/2006/relationships/header" Target="header37.xml"/><Relationship Id="rId348" Type="http://schemas.openxmlformats.org/officeDocument/2006/relationships/hyperlink" Target="file:///\\Ncs01_pool01_server\vol01\DATI\camera01\STUDI-COMITATO\XVII\RAPPORTO_FORMISANO\0014_AC_2798_Modifiche_CP_CPP.docx" TargetMode="External"/><Relationship Id="rId369" Type="http://schemas.openxmlformats.org/officeDocument/2006/relationships/footer" Target="footer60.xml"/><Relationship Id="rId152" Type="http://schemas.openxmlformats.org/officeDocument/2006/relationships/hyperlink" Target="http://documenti.camera.it/apps/commonServices/getDocumento.ashx?sezione=bollettini&amp;tipoDoc=comunicato&amp;idlegislatura=17&amp;anno=2015&amp;mese=07&amp;giorno=02&amp;view=filtered_48&amp;idCommissione=48&amp;ancora=data.20150702.com48.bollettino.sede00010.tit00010" TargetMode="External"/><Relationship Id="rId173" Type="http://schemas.openxmlformats.org/officeDocument/2006/relationships/header" Target="header15.xml"/><Relationship Id="rId194" Type="http://schemas.openxmlformats.org/officeDocument/2006/relationships/hyperlink" Target="http://documenti.camera.it/apps/commonServices/getDocumento.ashx?sezione=bollettini&amp;tipoDoc=comunicato&amp;idlegislatura=17&amp;anno=2015&amp;mese=06&amp;giorno=04&amp;view=filtered_48&amp;idCommissione=48&amp;ancora=data.20150604.com48.bollettino.sede00010.tit00010" TargetMode="External"/><Relationship Id="rId208" Type="http://schemas.openxmlformats.org/officeDocument/2006/relationships/hyperlink" Target="http://documenti.camera.it/apps/commonServices/getDocumento.ashx?sezione=bollettini&amp;tipoDoc=comunicato&amp;idlegislatura=17&amp;anno=2015&amp;mese=07&amp;giorno=29&amp;view=filtered_48&amp;idCommissione=48&amp;ancora=data.20150729.com48.bollettino.sede00010.tit00010" TargetMode="External"/><Relationship Id="rId229" Type="http://schemas.openxmlformats.org/officeDocument/2006/relationships/hyperlink" Target="file:///\\Ncs01_pool01_server\vol01\DATI\camera01\STUDI-COMITATO\XVII\RAPPORTO_FORMISANO\0004_AC_2893_terrorismo_missioni.docx" TargetMode="External"/><Relationship Id="rId380" Type="http://schemas.openxmlformats.org/officeDocument/2006/relationships/footer" Target="footer65.xml"/><Relationship Id="rId240" Type="http://schemas.openxmlformats.org/officeDocument/2006/relationships/hyperlink" Target="http://documenti.camera.it/apps/commonServices/getDocumento.ashx?sezione=bollettini&amp;tipoDoc=comunicato&amp;idlegislatura=17&amp;anno=2015&amp;mese=07&amp;giorno=30&amp;view=filtered_48&amp;idCommissione=48&amp;ancora=data.20150730.com48.bollettino.sede00010.tit00010" TargetMode="External"/><Relationship Id="rId261" Type="http://schemas.openxmlformats.org/officeDocument/2006/relationships/hyperlink" Target="file:///\\Ncs01_pool01_server\vol01\DATI\camera01\STUDI-COMITATO\XVII\RAPPORTO_FORMISANO\0014_AC_2798_Modifiche_CP_CPP.docx" TargetMode="External"/><Relationship Id="rId14" Type="http://schemas.openxmlformats.org/officeDocument/2006/relationships/header" Target="header3.xml"/><Relationship Id="rId35" Type="http://schemas.openxmlformats.org/officeDocument/2006/relationships/hyperlink" Target="file:///\\Ncs01_pool01_server\vol01\DATI\camera01\STUDI-COMITATO\XVII\RAPPORTO_FORMISANO\0005_AC_2915_esenzione_IMU.docx" TargetMode="External"/><Relationship Id="rId56" Type="http://schemas.openxmlformats.org/officeDocument/2006/relationships/hyperlink" Target="http://documenti.camera.it/apps/commonServices/getDocumento.ashx?sezione=bollettini&amp;tipoDoc=comunicato&amp;idlegislatura=17&amp;anno=2015&amp;mese=07&amp;giorno=08&amp;view=filtered_48&amp;idCommissione=48&amp;ancora=data.20150708.com48.bollettino.sede00010.tit00010" TargetMode="External"/><Relationship Id="rId77" Type="http://schemas.openxmlformats.org/officeDocument/2006/relationships/hyperlink" Target="file:///\\Ncs01_pool01_server\vol01\DATI\camera01\STUDI-COMITATO\XVII\RAPPORTO_FORMISANO\0026_AC_3386_finanza_pubblica.docx" TargetMode="External"/><Relationship Id="rId100"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30.tit00020" TargetMode="External"/><Relationship Id="rId282" Type="http://schemas.openxmlformats.org/officeDocument/2006/relationships/header" Target="header28.xml"/><Relationship Id="rId317" Type="http://schemas.openxmlformats.org/officeDocument/2006/relationships/header" Target="header35.xml"/><Relationship Id="rId338" Type="http://schemas.openxmlformats.org/officeDocument/2006/relationships/footer" Target="footer50.xml"/><Relationship Id="rId359" Type="http://schemas.openxmlformats.org/officeDocument/2006/relationships/footer" Target="footer56.xml"/><Relationship Id="rId8" Type="http://schemas.openxmlformats.org/officeDocument/2006/relationships/endnotes" Target="endnotes.xml"/><Relationship Id="rId98"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30.tit00010" TargetMode="External"/><Relationship Id="rId121" Type="http://schemas.openxmlformats.org/officeDocument/2006/relationships/hyperlink" Target="file:///\\Ncs01_pool01_server\vol01\DATI\camera01\STUDI-COMITATO\XVII\RAPPORTO_FORMISANO\0023_AC_3272_delega_riforma_RAI.docx" TargetMode="External"/><Relationship Id="rId142"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30.tit00020" TargetMode="External"/><Relationship Id="rId163" Type="http://schemas.openxmlformats.org/officeDocument/2006/relationships/hyperlink" Target="file:///\\Ncs01_pool01_server\vol01\DATI\camera01\STUDI-COMITATO\XVII\RAPPORTO_FORMISANO\0020_AC_3262_enti_territoriali.docx" TargetMode="External"/><Relationship Id="rId184" Type="http://schemas.openxmlformats.org/officeDocument/2006/relationships/hyperlink" Target="http://documenti.camera.it/apps/commonServices/getDocumento.ashx?sezione=bollettini&amp;tipoDoc=comunicato&amp;idlegislatura=17&amp;anno=2015&amp;mese=02&amp;giorno=27&amp;view=filtered_48&amp;idCommissione=48&amp;ancora=data.20150227.com48.bollettino.sede00010.tit00010" TargetMode="External"/><Relationship Id="rId219" Type="http://schemas.openxmlformats.org/officeDocument/2006/relationships/header" Target="header18.xml"/><Relationship Id="rId370" Type="http://schemas.openxmlformats.org/officeDocument/2006/relationships/footer" Target="footer61.xml"/><Relationship Id="rId391" Type="http://schemas.openxmlformats.org/officeDocument/2006/relationships/hyperlink" Target="http://documenti.camera.it/apps/commonServices/getDocumento.ashx?idLegislatura=17&amp;sezione=lavori&amp;tipoDoc=pdl&amp;idDocumento=3315" TargetMode="External"/><Relationship Id="rId405"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30.tit00010" TargetMode="External"/><Relationship Id="rId230" Type="http://schemas.openxmlformats.org/officeDocument/2006/relationships/hyperlink" Target="http://documenti.camera.it/apps/commonServices/getDocumento.ashx?sezione=bollettini&amp;tipoDoc=comunicato&amp;idlegislatura=17&amp;anno=2015&amp;mese=03&amp;giorno=04&amp;view=filtered_48&amp;idCommissione=48&amp;ancora=data.20150304.com48.bollettino.sede00010.tit00010" TargetMode="External"/><Relationship Id="rId251" Type="http://schemas.openxmlformats.org/officeDocument/2006/relationships/hyperlink" Target="file:///\\Ncs01_pool01_server\vol01\DATI\camera01\STUDI-COMITATO\XVII\RAPPORTO_FORMISANO\0006_TU_3bis_B_elez_Camera.docx" TargetMode="External"/><Relationship Id="rId25" Type="http://schemas.openxmlformats.org/officeDocument/2006/relationships/footer" Target="footer8.xml"/><Relationship Id="rId46" Type="http://schemas.openxmlformats.org/officeDocument/2006/relationships/hyperlink" Target="http://documenti.camera.it/apps/commonServices/getDocumento.ashx?sezione=bollettini&amp;tipoDoc=comunicato&amp;idlegislatura=17&amp;anno=2015&amp;mese=06&amp;giorno=04&amp;view=filtered_48&amp;idCommissione=48&amp;ancora=data.20150604.com48.bollettino.sede00010.tit00010" TargetMode="External"/><Relationship Id="rId67" Type="http://schemas.openxmlformats.org/officeDocument/2006/relationships/hyperlink" Target="file:///\\Ncs01_pool01_server\vol01\DATI\camera01\STUDI-COMITATO\XVII\RAPPORTO_FORMISANO\0021_AC_3194_delega_appalti.docx" TargetMode="External"/><Relationship Id="rId272" Type="http://schemas.openxmlformats.org/officeDocument/2006/relationships/header" Target="header24.xml"/><Relationship Id="rId293" Type="http://schemas.openxmlformats.org/officeDocument/2006/relationships/footer" Target="footer32.xml"/><Relationship Id="rId307" Type="http://schemas.openxmlformats.org/officeDocument/2006/relationships/header" Target="header33.xml"/><Relationship Id="rId328" Type="http://schemas.openxmlformats.org/officeDocument/2006/relationships/footer" Target="footer46.xml"/><Relationship Id="rId349" Type="http://schemas.openxmlformats.org/officeDocument/2006/relationships/hyperlink" Target="file:///\\Ncs01_pool01_server\vol01\DATI\camera01\STUDI-COMITATO\XVII\RAPPORTO_FORMISANO\0014_AC_2798_Modifiche_CP_CPP.docx" TargetMode="External"/><Relationship Id="rId88" Type="http://schemas.openxmlformats.org/officeDocument/2006/relationships/hyperlink" Target="http://documenti.camera.it/apps/commonServices/getDocumento.ashx?sezione=bollettini&amp;tipoDoc=comunicato&amp;idlegislatura=17&amp;anno=2015&amp;mese=02&amp;giorno=10&amp;view=filtered_48&amp;idCommissione=48&amp;ancora=data.20150210.com48.bollettino.sede00010.tit00010" TargetMode="External"/><Relationship Id="rId111" Type="http://schemas.openxmlformats.org/officeDocument/2006/relationships/hyperlink" Target="file:///\\Ncs01_pool01_server\vol01\DATI\camera01\STUDI-COMITATO\XVII\RAPPORTO_FORMISANO\0014_AC_2798_Modifiche_CP_CPP.docx" TargetMode="External"/><Relationship Id="rId132" Type="http://schemas.openxmlformats.org/officeDocument/2006/relationships/hyperlink" Target="http://documenti.camera.it/apps/commonServices/getDocumento.ashx?sezione=bollettini&amp;tipoDoc=comunicato&amp;idlegislatura=17&amp;anno=2015&amp;mese=01&amp;giorno=15&amp;view=filtered_48&amp;idCommissione=48&amp;ancora=data.20150115.com48.bollettino.sede00010.tit00010" TargetMode="External"/><Relationship Id="rId153" Type="http://schemas.openxmlformats.org/officeDocument/2006/relationships/hyperlink" Target="file:///\\Ncs01_pool01_server\vol01\DATI\camera01\STUDI-COMITATO\XVII\RAPPORTO_FORMISANO\0014_AC_2798_Modifiche_CP_CPP.docx" TargetMode="External"/><Relationship Id="rId174" Type="http://schemas.openxmlformats.org/officeDocument/2006/relationships/footer" Target="footer15.xml"/><Relationship Id="rId195" Type="http://schemas.openxmlformats.org/officeDocument/2006/relationships/hyperlink" Target="file:///\\Ncs01_pool01_server\vol01\DATI\camera01\STUDI-COMITATO\XVII\RAPPORTO_FORMISANO\0011_AC_3134_pensioni.docx" TargetMode="External"/><Relationship Id="rId209" Type="http://schemas.openxmlformats.org/officeDocument/2006/relationships/hyperlink" Target="file:///\\Ncs01_pool01_server\vol01\DATI\camera01\STUDI-COMITATO\XVII\RAPPORTO_FORMISANO\0019_AC_3249_missione_EUNAVFOR_MED.docx" TargetMode="External"/><Relationship Id="rId360" Type="http://schemas.openxmlformats.org/officeDocument/2006/relationships/footer" Target="footer57.xml"/><Relationship Id="rId381" Type="http://schemas.openxmlformats.org/officeDocument/2006/relationships/hyperlink" Target="http://documenti.camera.it/apps/commonServices/getDocumento.ashx?idLegislatura=17&amp;sezione=lavori&amp;tipoDoc=pdl&amp;idDocumento=3262" TargetMode="External"/><Relationship Id="rId220" Type="http://schemas.openxmlformats.org/officeDocument/2006/relationships/footer" Target="footer18.xml"/><Relationship Id="rId241" Type="http://schemas.openxmlformats.org/officeDocument/2006/relationships/hyperlink" Target="file:///\\Ncs01_pool01_server\vol01\DATI\camera01\STUDI-COMITATO\XVII\RAPPORTO_FORMISANO\0020_AC_3262_enti_territoriali.docx" TargetMode="External"/><Relationship Id="rId15" Type="http://schemas.openxmlformats.org/officeDocument/2006/relationships/header" Target="header4.xml"/><Relationship Id="rId36" Type="http://schemas.openxmlformats.org/officeDocument/2006/relationships/hyperlink" Target="http://documenti.camera.it/apps/commonServices/getDocumento.ashx?sezione=bollettini&amp;tipoDoc=comunicato&amp;idlegislatura=17&amp;anno=2015&amp;mese=04&amp;giorno=22&amp;view=filtered_48&amp;idCommissione=48&amp;ancora=data.20150422.com48.bollettino.sede00010.tit00010" TargetMode="External"/><Relationship Id="rId57" Type="http://schemas.openxmlformats.org/officeDocument/2006/relationships/hyperlink" Target="file:///\\Ncs01_pool01_server\vol01\DATI\camera01\STUDI-COMITATO\XVII\RAPPORTO_FORMISANO\0016_AC_3201_fallimenti_CC_CPC.docx" TargetMode="External"/><Relationship Id="rId262" Type="http://schemas.openxmlformats.org/officeDocument/2006/relationships/hyperlink" Target="file:///\\Ncs01_pool01_server\vol01\DATI\camera01\STUDI-COMITATO\XVII\RAPPORTO_FORMISANO\0015_AC_2994_B_buona_scuola_B.docx" TargetMode="External"/><Relationship Id="rId283" Type="http://schemas.openxmlformats.org/officeDocument/2006/relationships/footer" Target="footer28.xml"/><Relationship Id="rId318" Type="http://schemas.openxmlformats.org/officeDocument/2006/relationships/footer" Target="footer42.xml"/><Relationship Id="rId339" Type="http://schemas.openxmlformats.org/officeDocument/2006/relationships/footer" Target="footer51.xml"/><Relationship Id="rId78"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30.tit00010" TargetMode="External"/><Relationship Id="rId99" Type="http://schemas.openxmlformats.org/officeDocument/2006/relationships/hyperlink" Target="file:///\\Ncs01_pool01_server\vol01\DATI\camera01\STUDI-COMITATO\XVII\RAPPORTO_FORMISANO\0008_delega_nautica_diporto.docx" TargetMode="External"/><Relationship Id="rId101" Type="http://schemas.openxmlformats.org/officeDocument/2006/relationships/hyperlink" Target="file:///\\Ncs01_pool01_server\vol01\DATI\camera01\STUDI-COMITATO\XVII\RAPPORTO_FORMISANO\0009_AC_2994_buona_scuola.docx" TargetMode="External"/><Relationship Id="rId122"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10.tit00010" TargetMode="External"/><Relationship Id="rId143" Type="http://schemas.openxmlformats.org/officeDocument/2006/relationships/hyperlink" Target="file:///\\Ncs01_pool01_server\vol01\DATI\camera01\STUDI-COMITATO\XVII\RAPPORTO_FORMISANO\0009_AC_2994_buona_scuola.docx" TargetMode="External"/><Relationship Id="rId164" Type="http://schemas.openxmlformats.org/officeDocument/2006/relationships/hyperlink" Target="http://documenti.camera.it/apps/commonServices/getDocumento.ashx?sezione=bollettini&amp;tipoDoc=comunicato&amp;idlegislatura=17&amp;anno=2015&amp;mese=09&amp;giorno=30&amp;view=filtered_48&amp;idCommissione=48&amp;ancora=data.20150930.com48.bollettino.sede00010.tit00010" TargetMode="External"/><Relationship Id="rId185" Type="http://schemas.openxmlformats.org/officeDocument/2006/relationships/hyperlink" Target="file:///\\Ncs01_pool01_server\vol01\DATI\camera01\STUDI-COMITATO\XVII\RAPPORTO_FORMISANO\0004_AC_2893_terrorismo_missioni.docx" TargetMode="External"/><Relationship Id="rId350" Type="http://schemas.openxmlformats.org/officeDocument/2006/relationships/hyperlink" Target="file:///\\Ncs01_pool01_server\vol01\DATI\camera01\STUDI-COMITATO\XVII\RAPPORTO_FORMISANO\0014_AC_2798_Modifiche_CP_CPP.docx" TargetMode="External"/><Relationship Id="rId371" Type="http://schemas.openxmlformats.org/officeDocument/2006/relationships/hyperlink" Target="http://www.camera.it/leg17/126?tab=1&amp;leg=17&amp;idDocumento=2607&amp;sede=&amp;tipo=" TargetMode="External"/><Relationship Id="rId406" Type="http://schemas.openxmlformats.org/officeDocument/2006/relationships/fontTable" Target="fontTable.xml"/><Relationship Id="rId9" Type="http://schemas.openxmlformats.org/officeDocument/2006/relationships/header" Target="header1.xml"/><Relationship Id="rId210" Type="http://schemas.openxmlformats.org/officeDocument/2006/relationships/hyperlink" Target="http://documenti.camera.it/apps/commonServices/getDocumento.ashx?sezione=bollettini&amp;tipoDoc=comunicato&amp;idlegislatura=17&amp;anno=2015&amp;mese=07&amp;giorno=30&amp;view=filtered_48&amp;idCommissione=48&amp;ancora=data.20150730.com48.bollettino.sede00010.tit00010" TargetMode="External"/><Relationship Id="rId392" Type="http://schemas.openxmlformats.org/officeDocument/2006/relationships/hyperlink" Target="http://documenti.camera.it/apps/commonServices/getDocumento.ashx?sezione=bollettini&amp;tipoDoc=comunicato&amp;idlegislatura=17&amp;anno=2015&amp;mese=09&amp;giorno=30&amp;view=filtered_48&amp;idCommissione=48&amp;ancora=data.20150930.com48.bollettino.sede00010.tit00010" TargetMode="External"/><Relationship Id="rId26" Type="http://schemas.openxmlformats.org/officeDocument/2006/relationships/hyperlink" Target="http://documenti.camera.it/apps/commonServices/getDocumento.ashx?sezione=bollettini&amp;tipoDoc=comunicato&amp;idlegislatura=17&amp;anno=2015&amp;mese=01&amp;giorno=15&amp;view=filtered_48&amp;idCommissione=48&amp;ancora=data.20150115.com48.bollettino.sede00010.tit00010" TargetMode="External"/><Relationship Id="rId231" Type="http://schemas.openxmlformats.org/officeDocument/2006/relationships/hyperlink" Target="file:///\\Ncs01_pool01_server\vol01\DATI\camera01\STUDI-COMITATO\XVII\RAPPORTO_FORMISANO\0005_AC_2915_esenzione_IMU.docx" TargetMode="External"/><Relationship Id="rId252"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30.tit00010" TargetMode="External"/><Relationship Id="rId273" Type="http://schemas.openxmlformats.org/officeDocument/2006/relationships/footer" Target="footer24.xml"/><Relationship Id="rId294" Type="http://schemas.openxmlformats.org/officeDocument/2006/relationships/footer" Target="footer33.xml"/><Relationship Id="rId308" Type="http://schemas.openxmlformats.org/officeDocument/2006/relationships/footer" Target="footer38.xml"/><Relationship Id="rId329" Type="http://schemas.openxmlformats.org/officeDocument/2006/relationships/footer" Target="footer47.xml"/><Relationship Id="rId47" Type="http://schemas.openxmlformats.org/officeDocument/2006/relationships/hyperlink" Target="file:///\\Ncs01_pool01_server\vol01\DATI\camera01\STUDI-COMITATO\XVII\RAPPORTO_FORMISANO\0011_AC_3134_pensioni.docx" TargetMode="External"/><Relationship Id="rId68" Type="http://schemas.openxmlformats.org/officeDocument/2006/relationships/hyperlink" Target="http://documenti.camera.it/apps/commonServices/getDocumento.ashx?sezione=bollettini&amp;tipoDoc=comunicato&amp;idlegislatura=17&amp;anno=2015&amp;mese=09&amp;giorno=30&amp;view=filtered_48&amp;idCommissione=48&amp;ancora=data.20150930.com48.bollettino.sede00010.tit00010" TargetMode="External"/><Relationship Id="rId89" Type="http://schemas.openxmlformats.org/officeDocument/2006/relationships/hyperlink" Target="file:///\\Ncs01_pool01_server\vol01\DATI\camera01\STUDI-COMITATO\XVII\RAPPORTO_FORMISANO\0002_AC_2844_sistema_bancario.docx" TargetMode="External"/><Relationship Id="rId112" Type="http://schemas.openxmlformats.org/officeDocument/2006/relationships/hyperlink" Target="http://documenti.camera.it/apps/commonServices/getDocumento.ashx?sezione=bollettini&amp;tipoDoc=comunicato&amp;idlegislatura=17&amp;anno=2015&amp;mese=07&amp;giorno=08&amp;view=filtered_48&amp;idCommissione=48&amp;ancora=data.20150708.com48.bollettino.sede00010.tit00010" TargetMode="External"/><Relationship Id="rId133" Type="http://schemas.openxmlformats.org/officeDocument/2006/relationships/hyperlink" Target="file:///\\Ncs01_pool01_server\vol01\DATI\camera01\STUDI-COMITATO\XVII\RAPPORTO_FORMISANO\0001_AC_2803_mille_proroghe.docx" TargetMode="External"/><Relationship Id="rId154" Type="http://schemas.openxmlformats.org/officeDocument/2006/relationships/hyperlink" Target="http://documenti.camera.it/apps/commonServices/getDocumento.ashx?sezione=bollettini&amp;tipoDoc=comunicato&amp;idlegislatura=17&amp;anno=2015&amp;mese=07&amp;giorno=02&amp;view=filtered_48&amp;idCommissione=48&amp;ancora=data.20150702.com48.bollettino.sede00010.tit00020" TargetMode="External"/><Relationship Id="rId175" Type="http://schemas.openxmlformats.org/officeDocument/2006/relationships/footer" Target="footer16.xml"/><Relationship Id="rId340" Type="http://schemas.openxmlformats.org/officeDocument/2006/relationships/hyperlink" Target="http://www.camera.it/leg17/126?tab=&amp;leg=17&amp;idDocumento=3123&amp;sede=&amp;tipo=" TargetMode="External"/><Relationship Id="rId361" Type="http://schemas.openxmlformats.org/officeDocument/2006/relationships/hyperlink" Target="http://www.camera.it/leg17/126?tab=&amp;leg=17&amp;idDocumento=3201&amp;sede=&amp;tipo=" TargetMode="External"/><Relationship Id="rId196"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10" TargetMode="External"/><Relationship Id="rId200" Type="http://schemas.openxmlformats.org/officeDocument/2006/relationships/hyperlink" Target="http://documenti.camera.it/apps/commonServices/getDocumento.ashx?sezione=bollettini&amp;tipoDoc=comunicato&amp;idlegislatura=17&amp;anno=2015&amp;mese=07&amp;giorno=02&amp;view=filtered_48&amp;idCommissione=48&amp;ancora=data.20150702.com48.bollettino.sede00010.tit00020" TargetMode="External"/><Relationship Id="rId382" Type="http://schemas.openxmlformats.org/officeDocument/2006/relationships/hyperlink" Target="http://documenti.camera.it/apps/commonServices/getDocumento.ashx?sezione=bollettini&amp;tipoDoc=comunicato&amp;idlegislatura=17&amp;anno=2015&amp;mese=07&amp;giorno=30&amp;view=filtered_48&amp;idCommissione=48&amp;ancora=data.20150730.com48.bollettino.sede00010.tit00010" TargetMode="External"/><Relationship Id="rId16" Type="http://schemas.openxmlformats.org/officeDocument/2006/relationships/footer" Target="footer4.xml"/><Relationship Id="rId221" Type="http://schemas.openxmlformats.org/officeDocument/2006/relationships/footer" Target="footer19.xml"/><Relationship Id="rId242" Type="http://schemas.openxmlformats.org/officeDocument/2006/relationships/header" Target="header20.xml"/><Relationship Id="rId263" Type="http://schemas.openxmlformats.org/officeDocument/2006/relationships/hyperlink" Target="http://documenti.camera.it/apps/commonServices/getDocumento.ashx?sezione=bollettini&amp;tipoDoc=comunicato&amp;idlegislatura=17&amp;anno=2015&amp;mese=07&amp;giorno=15&amp;view=filtered_48&amp;idCommissione=48&amp;ancora=data.20150715.com48.bollettino.sede00020.tit00010" TargetMode="External"/><Relationship Id="rId284" Type="http://schemas.openxmlformats.org/officeDocument/2006/relationships/footer" Target="footer29.xml"/><Relationship Id="rId319" Type="http://schemas.openxmlformats.org/officeDocument/2006/relationships/footer" Target="footer43.xml"/><Relationship Id="rId37" Type="http://schemas.openxmlformats.org/officeDocument/2006/relationships/hyperlink" Target="file:///\\Ncs01_pool01_server\vol01\DATI\camera01\STUDI-COMITATO\XVII\RAPPORTO_FORMISANO\0006_TU_3bis_B_elez_Camera.docx" TargetMode="External"/><Relationship Id="rId58" Type="http://schemas.openxmlformats.org/officeDocument/2006/relationships/hyperlink" Target="http://documenti.camera.it/apps/commonServices/getDocumento.ashx?sezione=bollettini&amp;tipoDoc=comunicato&amp;idlegislatura=17&amp;anno=2015&amp;mese=07&amp;giorno=15&amp;view=filtered_48&amp;idCommissione=48&amp;ancora=data.20150715.com48.bollettino.sede00010.tit00010" TargetMode="External"/><Relationship Id="rId79" Type="http://schemas.openxmlformats.org/officeDocument/2006/relationships/hyperlink" Target="file:///\\Ncs01_pool01_server\vol01\DATI\camera01\STUDI-COMITATO\XVII\RAPPORTO_FORMISANO\0027_TU_1138_modifiche_cod_antimafia.docx" TargetMode="External"/><Relationship Id="rId102" Type="http://schemas.openxmlformats.org/officeDocument/2006/relationships/hyperlink" Target="http://documenti.camera.it/apps/commonServices/getDocumento.ashx?sezione=bollettini&amp;tipoDoc=comunicato&amp;idlegislatura=17&amp;anno=2015&amp;mese=05&amp;giorno=13&amp;view=filtered_48&amp;idCommissione=48&amp;ancora=data.20150513.com48.bollettino.sede00010.tit00010" TargetMode="External"/><Relationship Id="rId123" Type="http://schemas.openxmlformats.org/officeDocument/2006/relationships/hyperlink" Target="file:///\\Ncs01_pool01_server\vol01\DATI\camera01\STUDI-COMITATO\XVII\RAPPORTO_FORMISANO\0025_AC_2613B_riforme_costituzionali.docx" TargetMode="External"/><Relationship Id="rId144" Type="http://schemas.openxmlformats.org/officeDocument/2006/relationships/hyperlink" Target="http://documenti.camera.it/apps/commonServices/getDocumento.ashx?sezione=bollettini&amp;tipoDoc=comunicato&amp;idlegislatura=17&amp;anno=2015&amp;mese=05&amp;giorno=13&amp;view=filtered_48&amp;idCommissione=48&amp;ancora=data.20150513.com48.bollettino.sede00010.tit00010" TargetMode="External"/><Relationship Id="rId330" Type="http://schemas.openxmlformats.org/officeDocument/2006/relationships/hyperlink" Target="http://documenti.camera.it/apps/commonServices/getDocumento.ashx?idLegislatura=17&amp;sezione=lavori&amp;tipoDoc=pdl&amp;idDocumento=3134" TargetMode="External"/><Relationship Id="rId90" Type="http://schemas.openxmlformats.org/officeDocument/2006/relationships/hyperlink" Target="http://documenti.camera.it/apps/commonServices/getDocumento.ashx?sezione=bollettini&amp;tipoDoc=comunicato&amp;idlegislatura=17&amp;anno=2015&amp;mese=02&amp;giorno=24&amp;view=filtered_48&amp;idCommissione=48&amp;ancora=data.20150224.com48.bollettino.sede00010.tit00010" TargetMode="External"/><Relationship Id="rId165" Type="http://schemas.openxmlformats.org/officeDocument/2006/relationships/hyperlink" Target="file:///\\Ncs01_pool01_server\vol01\DATI\camera01\STUDI-COMITATO\XVII\RAPPORTO_FORMISANO\0022_AC_3315_scioperi_musei.docx" TargetMode="External"/><Relationship Id="rId186" Type="http://schemas.openxmlformats.org/officeDocument/2006/relationships/hyperlink" Target="http://documenti.camera.it/apps/commonServices/getDocumento.ashx?sezione=bollettini&amp;tipoDoc=comunicato&amp;idlegislatura=17&amp;anno=2015&amp;mese=03&amp;giorno=04&amp;view=filtered_48&amp;idCommissione=48&amp;ancora=data.20150304.com48.bollettino.sede00010.tit00010" TargetMode="External"/><Relationship Id="rId351" Type="http://schemas.openxmlformats.org/officeDocument/2006/relationships/hyperlink" Target="file:///\\Ncs01_pool01_server\vol01\DATI\camera01\STUDI-COMITATO\XVII\RAPPORTO_FORMISANO\0014_AC_2798_Modifiche_CP_CPP.docx" TargetMode="External"/><Relationship Id="rId372" Type="http://schemas.openxmlformats.org/officeDocument/2006/relationships/hyperlink" Target="http://documenti.camera.it/apps/commonServices/getDocumento.ashx?sezione=bollettini&amp;tipoDoc=comunicato&amp;idlegislatura=17&amp;anno=2015&amp;mese=07&amp;giorno=15&amp;view=filtered_48&amp;idCommissione=48&amp;ancora=data.20150715.com48.bollettino.sede00020.tit00010" TargetMode="External"/><Relationship Id="rId393" Type="http://schemas.openxmlformats.org/officeDocument/2006/relationships/header" Target="header49.xml"/><Relationship Id="rId407" Type="http://schemas.openxmlformats.org/officeDocument/2006/relationships/theme" Target="theme/theme1.xml"/><Relationship Id="rId211" Type="http://schemas.openxmlformats.org/officeDocument/2006/relationships/hyperlink" Target="file:///\\Ncs01_pool01_server\vol01\DATI\camera01\STUDI-COMITATO\XVII\RAPPORTO_FORMISANO\0020_AC_3262_enti_territoriali.docx" TargetMode="External"/><Relationship Id="rId232"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20.tit00010" TargetMode="External"/><Relationship Id="rId253" Type="http://schemas.openxmlformats.org/officeDocument/2006/relationships/hyperlink" Target="file:///\\Ncs01_pool01_server\vol01\DATI\camera01\STUDI-COMITATO\XVII\RAPPORTO_FORMISANO\0008_delega_nautica_diporto.docx" TargetMode="External"/><Relationship Id="rId274" Type="http://schemas.openxmlformats.org/officeDocument/2006/relationships/footer" Target="footer25.xml"/><Relationship Id="rId295" Type="http://schemas.openxmlformats.org/officeDocument/2006/relationships/hyperlink" Target="http://documenti.camera.it/apps/commonServices/getDocumento.ashx?idLegislatura=17&amp;sezione=lavori&amp;tipoDoc=pdl&amp;idDocumento=2893" TargetMode="External"/><Relationship Id="rId309" Type="http://schemas.openxmlformats.org/officeDocument/2006/relationships/footer" Target="footer39.xml"/><Relationship Id="rId27" Type="http://schemas.openxmlformats.org/officeDocument/2006/relationships/hyperlink" Target="file:///\\Ncs01_pool01_server\vol01\DATI\camera01\STUDI-COMITATO\XVII\RAPPORTO_FORMISANO\0001_AC_2803_mille_proroghe.docx" TargetMode="External"/><Relationship Id="rId48"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10" TargetMode="External"/><Relationship Id="rId69" Type="http://schemas.openxmlformats.org/officeDocument/2006/relationships/hyperlink" Target="file:///\\Ncs01_pool01_server\vol01\DATI\camera01\STUDI-COMITATO\XVII\RAPPORTO_FORMISANO\0022_AC_3315_scioperi_musei.docx" TargetMode="External"/><Relationship Id="rId113" Type="http://schemas.openxmlformats.org/officeDocument/2006/relationships/hyperlink" Target="file:///\\Ncs01_pool01_server\vol01\DATI\camera01\STUDI-COMITATO\XVII\RAPPORTO_FORMISANO\0016_AC_3201_fallimenti_CC_CPC.docx" TargetMode="External"/><Relationship Id="rId134" Type="http://schemas.openxmlformats.org/officeDocument/2006/relationships/hyperlink" Target="http://documenti.camera.it/apps/commonServices/getDocumento.ashx?sezione=bollettini&amp;tipoDoc=comunicato&amp;idlegislatura=17&amp;anno=2015&amp;mese=02&amp;giorno=10&amp;view=filtered_48&amp;idCommissione=48&amp;ancora=data.20150210.com48.bollettino.sede00010.tit00010" TargetMode="External"/><Relationship Id="rId320" Type="http://schemas.openxmlformats.org/officeDocument/2006/relationships/hyperlink" Target="http://documenti.camera.it/apps/commonServices/getDocumento.ashx?idLegislatura=17&amp;sezione=lavori&amp;tipoDoc=pdl&amp;idDocumento=2994" TargetMode="External"/><Relationship Id="rId80" Type="http://schemas.openxmlformats.org/officeDocument/2006/relationships/header" Target="header8.xml"/><Relationship Id="rId155" Type="http://schemas.openxmlformats.org/officeDocument/2006/relationships/hyperlink" Target="file:///\\Ncs01_pool01_server\vol01\DATI\camera01\STUDI-COMITATO\XVII\RAPPORTO_FORMISANO\0015_AC_2994_B_buona_scuola_B.docx" TargetMode="External"/><Relationship Id="rId176" Type="http://schemas.openxmlformats.org/officeDocument/2006/relationships/header" Target="header16.xml"/><Relationship Id="rId197" Type="http://schemas.openxmlformats.org/officeDocument/2006/relationships/hyperlink" Target="file:///\\Ncs01_pool01_server\vol01\DATI\camera01\STUDI-COMITATO\XVII\RAPPORTO_FORMISANO\0012_AC_3098_delega_PA.docx" TargetMode="External"/><Relationship Id="rId341"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20" TargetMode="External"/><Relationship Id="rId362" Type="http://schemas.openxmlformats.org/officeDocument/2006/relationships/hyperlink" Target="http://documenti.camera.it/apps/commonServices/getDocumento.ashx?sezione=bollettini&amp;tipoDoc=comunicato&amp;idlegislatura=17&amp;anno=2015&amp;mese=07&amp;giorno=08&amp;view=filtered_48&amp;idCommissione=48&amp;ancora=data.20150708.com48.bollettino.sede00010.tit00010" TargetMode="External"/><Relationship Id="rId383" Type="http://schemas.openxmlformats.org/officeDocument/2006/relationships/header" Target="header47.xml"/><Relationship Id="rId201" Type="http://schemas.openxmlformats.org/officeDocument/2006/relationships/hyperlink" Target="file:///\\Ncs01_pool01_server\vol01\DATI\camera01\STUDI-COMITATO\XVII\RAPPORTO_FORMISANO\0015_AC_2994_B_buona_scuola_B.docx" TargetMode="External"/><Relationship Id="rId222" Type="http://schemas.openxmlformats.org/officeDocument/2006/relationships/header" Target="header19.xml"/><Relationship Id="rId243" Type="http://schemas.openxmlformats.org/officeDocument/2006/relationships/header" Target="header21.xml"/><Relationship Id="rId264" Type="http://schemas.openxmlformats.org/officeDocument/2006/relationships/hyperlink" Target="file:///\\Ncs01_pool01_server\vol01\DATI\camera01\STUDI-COMITATO\XVII\RAPPORTO_FORMISANO\0018_AC_2607_delega_protezione_civile.docx" TargetMode="External"/><Relationship Id="rId285" Type="http://schemas.openxmlformats.org/officeDocument/2006/relationships/hyperlink" Target="http://documenti.camera.it/apps/commonServices/getDocumento.ashx?idLegislatura=17&amp;sezione=lavori&amp;tipoDoc=pdl&amp;idDocumento=2844" TargetMode="External"/><Relationship Id="rId17" Type="http://schemas.openxmlformats.org/officeDocument/2006/relationships/footer" Target="footer5.xml"/><Relationship Id="rId38"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20.tit00010" TargetMode="External"/><Relationship Id="rId59" Type="http://schemas.openxmlformats.org/officeDocument/2006/relationships/hyperlink" Target="file:///\\Ncs01_pool01_server\vol01\DATI\camera01\STUDI-COMITATO\XVII\RAPPORTO_FORMISANO\0017_AC_3210_rifiuti_ILVA.docx" TargetMode="External"/><Relationship Id="rId103" Type="http://schemas.openxmlformats.org/officeDocument/2006/relationships/hyperlink" Target="file:///\\Ncs01_pool01_server\vol01\DATI\camera01\STUDI-COMITATO\XVII\RAPPORTO_FORMISANO\0010_AC_3104_agricoltura.docx" TargetMode="External"/><Relationship Id="rId124"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20.tit00010" TargetMode="External"/><Relationship Id="rId310" Type="http://schemas.openxmlformats.org/officeDocument/2006/relationships/hyperlink" Target="http://documenti.camera.it/apps/commonServices/getDocumento.ashx?idLegislatura=17&amp;sezione=lavori&amp;tipoDoc=pdl&amp;idDocumento=3059" TargetMode="External"/><Relationship Id="rId70" Type="http://schemas.openxmlformats.org/officeDocument/2006/relationships/hyperlink" Target="http://documenti.camera.it/apps/commonServices/getDocumento.ashx?sezione=bollettini&amp;tipoDoc=comunicato&amp;idlegislatura=17&amp;anno=2015&amp;mese=09&amp;giorno=30&amp;view=filtered_48&amp;idCommissione=48&amp;ancora=data.20150930.com48.bollettino.sede00020.tit00010" TargetMode="External"/><Relationship Id="rId91" Type="http://schemas.openxmlformats.org/officeDocument/2006/relationships/hyperlink" Target="file:///\\Ncs01_pool01_server\vol01\DATI\camera01\STUDI-COMITATO\XVII\RAPPORTO_FORMISANO\0003_AC_2894_ILVA_Taranto.docx" TargetMode="External"/><Relationship Id="rId145" Type="http://schemas.openxmlformats.org/officeDocument/2006/relationships/hyperlink" Target="file:///\\Ncs01_pool01_server\vol01\DATI\camera01\STUDI-COMITATO\XVII\RAPPORTO_FORMISANO\0010_AC_3104_agricoltura.docx" TargetMode="External"/><Relationship Id="rId166" Type="http://schemas.openxmlformats.org/officeDocument/2006/relationships/hyperlink" Target="http://documenti.camera.it/apps/commonServices/getDocumento.ashx?sezione=bollettini&amp;tipoDoc=comunicato&amp;idlegislatura=17&amp;anno=2015&amp;mese=09&amp;giorno=30&amp;view=filtered_48&amp;idCommissione=48&amp;ancora=data.20150930.com48.bollettino.sede00020.tit00010" TargetMode="External"/><Relationship Id="rId187" Type="http://schemas.openxmlformats.org/officeDocument/2006/relationships/hyperlink" Target="file:///\\Ncs01_pool01_server\vol01\DATI\camera01\STUDI-COMITATO\XVII\RAPPORTO_FORMISANO\0005_AC_2915_esenzione_IMU.docx" TargetMode="External"/><Relationship Id="rId331" Type="http://schemas.openxmlformats.org/officeDocument/2006/relationships/hyperlink" Target="http://documenti.camera.it/apps/commonServices/getDocumento.ashx?sezione=bollettini&amp;tipoDoc=comunicato&amp;idlegislatura=17&amp;anno=2015&amp;mese=06&amp;giorno=04&amp;view=filtered_48&amp;idCommissione=48&amp;ancora=data.20150604.com48.bollettino.sede00010.tit00010" TargetMode="External"/><Relationship Id="rId352" Type="http://schemas.openxmlformats.org/officeDocument/2006/relationships/header" Target="header41.xml"/><Relationship Id="rId373" Type="http://schemas.openxmlformats.org/officeDocument/2006/relationships/header" Target="header45.xml"/><Relationship Id="rId394" Type="http://schemas.openxmlformats.org/officeDocument/2006/relationships/footer" Target="footer70.xml"/><Relationship Id="rId1" Type="http://schemas.openxmlformats.org/officeDocument/2006/relationships/customXml" Target="../customXml/item1.xml"/><Relationship Id="rId212"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10.tit00010" TargetMode="External"/><Relationship Id="rId233" Type="http://schemas.openxmlformats.org/officeDocument/2006/relationships/hyperlink" Target="file:///\\Ncs01_pool01_server\vol01\DATI\camera01\STUDI-COMITATO\XVII\RAPPORTO_FORMISANO\0007_AC_3059_elez_reg_ammin.docx" TargetMode="External"/><Relationship Id="rId254"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30.tit00020" TargetMode="External"/><Relationship Id="rId28" Type="http://schemas.openxmlformats.org/officeDocument/2006/relationships/hyperlink" Target="http://documenti.camera.it/apps/commonServices/getDocumento.ashx?sezione=bollettini&amp;tipoDoc=comunicato&amp;idlegislatura=17&amp;anno=2015&amp;mese=02&amp;giorno=10&amp;view=filtered_48&amp;idCommissione=48&amp;ancora=data.20150210.com48.bollettino.sede00010.tit00010" TargetMode="External"/><Relationship Id="rId49" Type="http://schemas.openxmlformats.org/officeDocument/2006/relationships/hyperlink" Target="file:///\\Ncs01_pool01_server\vol01\DATI\camera01\STUDI-COMITATO\XVII\RAPPORTO_FORMISANO\0012_AC_3098_delega_PA.docx" TargetMode="External"/><Relationship Id="rId114" Type="http://schemas.openxmlformats.org/officeDocument/2006/relationships/hyperlink" Target="http://documenti.camera.it/apps/commonServices/getDocumento.ashx?sezione=bollettini&amp;tipoDoc=comunicato&amp;idlegislatura=17&amp;anno=2015&amp;mese=07&amp;giorno=15&amp;view=filtered_48&amp;idCommissione=48&amp;ancora=data.20150715.com48.bollettino.sede00010.tit00010" TargetMode="External"/><Relationship Id="rId275" Type="http://schemas.openxmlformats.org/officeDocument/2006/relationships/header" Target="header25.xml"/><Relationship Id="rId296" Type="http://schemas.openxmlformats.org/officeDocument/2006/relationships/hyperlink" Target="http://documenti.camera.it/apps/commonServices/getDocumento.ashx?sezione=bollettini&amp;tipoDoc=comunicato&amp;idlegislatura=17&amp;anno=2015&amp;mese=02&amp;giorno=27&amp;view=filtered_48&amp;idCommissione=48&amp;ancora=data.20150227.com48.bollettino.sede00010.tit00010" TargetMode="External"/><Relationship Id="rId300" Type="http://schemas.openxmlformats.org/officeDocument/2006/relationships/hyperlink" Target="http://documenti.camera.it/apps/commonServices/getDocumento.ashx?idLegislatura=17&amp;sezione=lavori&amp;tipoDoc=pdl&amp;idDocumento=2915" TargetMode="External"/><Relationship Id="rId60" Type="http://schemas.openxmlformats.org/officeDocument/2006/relationships/hyperlink" Target="http://documenti.camera.it/apps/commonServices/getDocumento.ashx?sezione=bollettini&amp;tipoDoc=comunicato&amp;idlegislatura=17&amp;anno=2015&amp;mese=07&amp;giorno=15&amp;view=filtered_48&amp;idCommissione=48&amp;ancora=data.20150715.com48.bollettino.sede00020.tit00010" TargetMode="External"/><Relationship Id="rId81" Type="http://schemas.openxmlformats.org/officeDocument/2006/relationships/header" Target="header9.xml"/><Relationship Id="rId135" Type="http://schemas.openxmlformats.org/officeDocument/2006/relationships/hyperlink" Target="file:///\\Ncs01_pool01_server\vol01\DATI\camera01\STUDI-COMITATO\XVII\RAPPORTO_FORMISANO\0002_AC_2844_sistema_bancario.docx" TargetMode="External"/><Relationship Id="rId156" Type="http://schemas.openxmlformats.org/officeDocument/2006/relationships/hyperlink" Target="http://documenti.camera.it/apps/commonServices/getDocumento.ashx?sezione=bollettini&amp;tipoDoc=comunicato&amp;idlegislatura=17&amp;anno=2015&amp;mese=07&amp;giorno=08&amp;view=filtered_48&amp;idCommissione=48&amp;ancora=data.20150708.com48.bollettino.sede00010.tit00010" TargetMode="External"/><Relationship Id="rId177" Type="http://schemas.openxmlformats.org/officeDocument/2006/relationships/footer" Target="footer17.xml"/><Relationship Id="rId198" Type="http://schemas.openxmlformats.org/officeDocument/2006/relationships/hyperlink" Target="http://documenti.camera.it/apps/commonServices/getDocumento.ashx?sezione=bollettini&amp;tipoDoc=comunicato&amp;idlegislatura=17&amp;anno=2015&amp;mese=07&amp;giorno=02&amp;view=filtered_48&amp;idCommissione=48&amp;ancora=data.20150702.com48.bollettino.sede00010.tit00010" TargetMode="External"/><Relationship Id="rId321"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30.tit00020" TargetMode="External"/><Relationship Id="rId342" Type="http://schemas.openxmlformats.org/officeDocument/2006/relationships/header" Target="header40.xml"/><Relationship Id="rId363" Type="http://schemas.openxmlformats.org/officeDocument/2006/relationships/header" Target="header43.xml"/><Relationship Id="rId384" Type="http://schemas.openxmlformats.org/officeDocument/2006/relationships/footer" Target="footer66.xml"/><Relationship Id="rId202" Type="http://schemas.openxmlformats.org/officeDocument/2006/relationships/hyperlink" Target="http://documenti.camera.it/apps/commonServices/getDocumento.ashx?sezione=bollettini&amp;tipoDoc=comunicato&amp;idlegislatura=17&amp;anno=2015&amp;mese=07&amp;giorno=08&amp;view=filtered_48&amp;idCommissione=48&amp;ancora=data.20150708.com48.bollettino.sede00010.tit00010" TargetMode="External"/><Relationship Id="rId223" Type="http://schemas.openxmlformats.org/officeDocument/2006/relationships/footer" Target="footer20.xml"/><Relationship Id="rId244" Type="http://schemas.openxmlformats.org/officeDocument/2006/relationships/footer" Target="footer21.xml"/><Relationship Id="rId18" Type="http://schemas.openxmlformats.org/officeDocument/2006/relationships/hyperlink" Target="file:///d:\utente_locale\Desktop\Rapporto_FORMISANO_COMPLETO.doc" TargetMode="External"/><Relationship Id="rId39" Type="http://schemas.openxmlformats.org/officeDocument/2006/relationships/hyperlink" Target="file:///\\Ncs01_pool01_server\vol01\DATI\camera01\STUDI-COMITATO\XVII\RAPPORTO_FORMISANO\0007_AC_3059_elez_reg_ammin.docx" TargetMode="External"/><Relationship Id="rId265" Type="http://schemas.openxmlformats.org/officeDocument/2006/relationships/hyperlink" Target="http://documenti.camera.it/apps/commonServices/getDocumento.ashx?sezione=bollettini&amp;tipoDoc=comunicato&amp;idlegislatura=17&amp;anno=2015&amp;mese=07&amp;giorno=30&amp;view=filtered_48&amp;idCommissione=48&amp;ancora=data.20150730.com48.bollettino.sede00020.tit00010" TargetMode="External"/><Relationship Id="rId286" Type="http://schemas.openxmlformats.org/officeDocument/2006/relationships/hyperlink" Target="http://documenti.camera.it/apps/commonServices/getDocumento.ashx?sezione=bollettini&amp;tipoDoc=comunicato&amp;idlegislatura=17&amp;anno=2015&amp;mese=02&amp;giorno=10&amp;view=filtered_48&amp;idCommissione=48&amp;ancora=data.20150210.com48.bollettino.sede00010.tit00010" TargetMode="External"/><Relationship Id="rId50"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20" TargetMode="External"/><Relationship Id="rId104" Type="http://schemas.openxmlformats.org/officeDocument/2006/relationships/hyperlink" Target="http://documenti.camera.it/apps/commonServices/getDocumento.ashx?sezione=bollettini&amp;tipoDoc=comunicato&amp;idlegislatura=17&amp;anno=2015&amp;mese=06&amp;giorno=04&amp;view=filtered_48&amp;idCommissione=48&amp;ancora=data.20150604.com48.bollettino.sede00010.tit00010" TargetMode="External"/><Relationship Id="rId125" Type="http://schemas.openxmlformats.org/officeDocument/2006/relationships/hyperlink" Target="file:///\\Ncs01_pool01_server\vol01\DATI\camera01\STUDI-COMITATO\XVII\RAPPORTO_FORMISANO\0026_AC_3386_finanza_pubblica.docx" TargetMode="External"/><Relationship Id="rId146" Type="http://schemas.openxmlformats.org/officeDocument/2006/relationships/hyperlink" Target="http://documenti.camera.it/apps/commonServices/getDocumento.ashx?sezione=bollettini&amp;tipoDoc=comunicato&amp;idlegislatura=17&amp;anno=2015&amp;mese=06&amp;giorno=04&amp;view=filtered_48&amp;idCommissione=48&amp;ancora=data.20150604.com48.bollettino.sede00010.tit00010" TargetMode="External"/><Relationship Id="rId167" Type="http://schemas.openxmlformats.org/officeDocument/2006/relationships/hyperlink" Target="file:///\\Ncs01_pool01_server\vol01\DATI\camera01\STUDI-COMITATO\XVII\RAPPORTO_FORMISANO\0023_AC_3272_delega_riforma_RAI.docx" TargetMode="External"/><Relationship Id="rId188" Type="http://schemas.openxmlformats.org/officeDocument/2006/relationships/hyperlink" Target="http://documenti.camera.it/apps/commonServices/getDocumento.ashx?sezione=bollettini&amp;tipoDoc=comunicato&amp;idlegislatura=17&amp;anno=2015&amp;mese=04&amp;giorno=22&amp;view=filtered_48&amp;idCommissione=48&amp;ancora=data.20150422.com48.bollettino.sede00010.tit00010" TargetMode="External"/><Relationship Id="rId311"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20.tit00010" TargetMode="External"/><Relationship Id="rId332" Type="http://schemas.openxmlformats.org/officeDocument/2006/relationships/header" Target="header38.xml"/><Relationship Id="rId353" Type="http://schemas.openxmlformats.org/officeDocument/2006/relationships/footer" Target="footer54.xml"/><Relationship Id="rId374" Type="http://schemas.openxmlformats.org/officeDocument/2006/relationships/footer" Target="footer62.xml"/><Relationship Id="rId395" Type="http://schemas.openxmlformats.org/officeDocument/2006/relationships/footer" Target="footer71.xml"/><Relationship Id="rId71" Type="http://schemas.openxmlformats.org/officeDocument/2006/relationships/hyperlink" Target="file:///\\Ncs01_pool01_server\vol01\DATI\camera01\STUDI-COMITATO\XVII\RAPPORTO_FORMISANO\0023_AC_3272_delega_riforma_RAI.docx" TargetMode="External"/><Relationship Id="rId92" Type="http://schemas.openxmlformats.org/officeDocument/2006/relationships/hyperlink" Target="http://documenti.camera.it/apps/commonServices/getDocumento.ashx?sezione=bollettini&amp;tipoDoc=comunicato&amp;idlegislatura=17&amp;anno=2015&amp;mese=02&amp;giorno=27&amp;view=filtered_48&amp;idCommissione=48&amp;ancora=data.20150227.com48.bollettino.sede00010.tit00010" TargetMode="External"/><Relationship Id="rId213" Type="http://schemas.openxmlformats.org/officeDocument/2006/relationships/hyperlink" Target="file:///\\Ncs01_pool01_server\vol01\DATI\camera01\STUDI-COMITATO\XVII\RAPPORTO_FORMISANO\0025_AC_2613B_riforme_costituzionali.docx" TargetMode="External"/><Relationship Id="rId234"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30.tit00020" TargetMode="External"/><Relationship Id="rId2" Type="http://schemas.openxmlformats.org/officeDocument/2006/relationships/numbering" Target="numbering.xml"/><Relationship Id="rId29" Type="http://schemas.openxmlformats.org/officeDocument/2006/relationships/hyperlink" Target="file:///\\Ncs01_pool01_server\vol01\DATI\camera01\STUDI-COMITATO\XVII\RAPPORTO_FORMISANO\0002_AC_2844_sistema_bancario.docx" TargetMode="External"/><Relationship Id="rId255" Type="http://schemas.openxmlformats.org/officeDocument/2006/relationships/hyperlink" Target="file:///\\Ncs01_pool01_server\vol01\DATI\camera01\STUDI-COMITATO\XVII\RAPPORTO_FORMISANO\0009_AC_2994_buona_scuola.docx" TargetMode="External"/><Relationship Id="rId276" Type="http://schemas.openxmlformats.org/officeDocument/2006/relationships/footer" Target="footer26.xml"/><Relationship Id="rId297" Type="http://schemas.openxmlformats.org/officeDocument/2006/relationships/header" Target="header31.xml"/><Relationship Id="rId40"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30.tit00010" TargetMode="External"/><Relationship Id="rId115" Type="http://schemas.openxmlformats.org/officeDocument/2006/relationships/hyperlink" Target="file:///\\Ncs01_pool01_server\vol01\DATI\camera01\STUDI-COMITATO\XVII\RAPPORTO_FORMISANO\0017_AC_3210_rifiuti_ILVA.docx" TargetMode="External"/><Relationship Id="rId136" Type="http://schemas.openxmlformats.org/officeDocument/2006/relationships/hyperlink" Target="http://documenti.camera.it/apps/commonServices/getDocumento.ashx?sezione=bollettini&amp;tipoDoc=comunicato&amp;idlegislatura=17&amp;anno=2015&amp;mese=02&amp;giorno=24&amp;view=filtered_48&amp;idCommissione=48&amp;ancora=data.20150224.com48.bollettino.sede00010.tit00010" TargetMode="External"/><Relationship Id="rId157" Type="http://schemas.openxmlformats.org/officeDocument/2006/relationships/hyperlink" Target="file:///\\Ncs01_pool01_server\vol01\DATI\camera01\STUDI-COMITATO\XVII\RAPPORTO_FORMISANO\0016_AC_3201_fallimenti_CC_CPC.docx" TargetMode="External"/><Relationship Id="rId178" Type="http://schemas.openxmlformats.org/officeDocument/2006/relationships/hyperlink" Target="http://documenti.camera.it/apps/commonServices/getDocumento.ashx?sezione=bollettini&amp;tipoDoc=comunicato&amp;idlegislatura=17&amp;anno=2015&amp;mese=01&amp;giorno=15&amp;view=filtered_48&amp;idCommissione=48&amp;ancora=data.20150115.com48.bollettino.sede00010.tit00010" TargetMode="External"/><Relationship Id="rId301" Type="http://schemas.openxmlformats.org/officeDocument/2006/relationships/hyperlink" Target="http://documenti.camera.it/apps/commonServices/getDocumento.ashx?sezione=bollettini&amp;tipoDoc=comunicato&amp;idlegislatura=17&amp;anno=2015&amp;mese=03&amp;giorno=04&amp;view=filtered_48&amp;idCommissione=48&amp;ancora=data.20150304.com48.bollettino.sede00010.tit00010" TargetMode="External"/><Relationship Id="rId322" Type="http://schemas.openxmlformats.org/officeDocument/2006/relationships/header" Target="header36.xml"/><Relationship Id="rId343" Type="http://schemas.openxmlformats.org/officeDocument/2006/relationships/footer" Target="footer52.xml"/><Relationship Id="rId364" Type="http://schemas.openxmlformats.org/officeDocument/2006/relationships/footer" Target="footer58.xml"/><Relationship Id="rId61" Type="http://schemas.openxmlformats.org/officeDocument/2006/relationships/hyperlink" Target="file:///\\Ncs01_pool01_server\vol01\DATI\camera01\STUDI-COMITATO\XVII\RAPPORTO_FORMISANO\0018_AC_2607_delega_protezione_civile.docx" TargetMode="External"/><Relationship Id="rId82" Type="http://schemas.openxmlformats.org/officeDocument/2006/relationships/footer" Target="footer9.xml"/><Relationship Id="rId199" Type="http://schemas.openxmlformats.org/officeDocument/2006/relationships/hyperlink" Target="file:///\\Ncs01_pool01_server\vol01\DATI\camera01\STUDI-COMITATO\XVII\RAPPORTO_FORMISANO\0014_AC_2798_Modifiche_CP_CPP.docx" TargetMode="External"/><Relationship Id="rId203" Type="http://schemas.openxmlformats.org/officeDocument/2006/relationships/hyperlink" Target="file:///\\Ncs01_pool01_server\vol01\DATI\camera01\STUDI-COMITATO\XVII\RAPPORTO_FORMISANO\0016_AC_3201_fallimenti_CC_CPC.docx" TargetMode="External"/><Relationship Id="rId385" Type="http://schemas.openxmlformats.org/officeDocument/2006/relationships/footer" Target="footer67.xml"/><Relationship Id="rId19" Type="http://schemas.openxmlformats.org/officeDocument/2006/relationships/hyperlink" Target="file:///d:\utente_locale\Desktop\Rapporto_FORMISANO_COMPLETO.doc" TargetMode="External"/><Relationship Id="rId224" Type="http://schemas.openxmlformats.org/officeDocument/2006/relationships/hyperlink" Target="http://documenti.camera.it/apps/commonServices/getDocumento.ashx?sezione=bollettini&amp;tipoDoc=comunicato&amp;idlegislatura=17&amp;anno=2015&amp;mese=01&amp;giorno=15&amp;view=filtered_48&amp;idCommissione=48&amp;ancora=data.20150115.com48.bollettino.sede00010.tit00010" TargetMode="External"/><Relationship Id="rId245" Type="http://schemas.openxmlformats.org/officeDocument/2006/relationships/footer" Target="footer22.xml"/><Relationship Id="rId266" Type="http://schemas.openxmlformats.org/officeDocument/2006/relationships/hyperlink" Target="file:///\\Ncs01_pool01_server\vol01\DATI\camera01\STUDI-COMITATO\XVII\RAPPORTO_FORMISANO\0021_AC_3194_delega_appalti.docx" TargetMode="External"/><Relationship Id="rId287" Type="http://schemas.openxmlformats.org/officeDocument/2006/relationships/header" Target="header29.xml"/><Relationship Id="rId30" Type="http://schemas.openxmlformats.org/officeDocument/2006/relationships/hyperlink" Target="http://documenti.camera.it/apps/commonServices/getDocumento.ashx?sezione=bollettini&amp;tipoDoc=comunicato&amp;idlegislatura=17&amp;anno=2015&amp;mese=02&amp;giorno=24&amp;view=filtered_48&amp;idCommissione=48&amp;ancora=data.20150224.com48.bollettino.sede00010.tit00010" TargetMode="External"/><Relationship Id="rId105" Type="http://schemas.openxmlformats.org/officeDocument/2006/relationships/hyperlink" Target="file:///\\Ncs01_pool01_server\vol01\DATI\camera01\STUDI-COMITATO\XVII\RAPPORTO_FORMISANO\0011_AC_3134_pensioni.docx" TargetMode="External"/><Relationship Id="rId126" Type="http://schemas.openxmlformats.org/officeDocument/2006/relationships/header" Target="header11.xml"/><Relationship Id="rId147" Type="http://schemas.openxmlformats.org/officeDocument/2006/relationships/hyperlink" Target="file:///\\Ncs01_pool01_server\vol01\DATI\camera01\STUDI-COMITATO\XVII\RAPPORTO_FORMISANO\0011_AC_3134_pensioni.docx" TargetMode="External"/><Relationship Id="rId168"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20.tit00010" TargetMode="External"/><Relationship Id="rId312" Type="http://schemas.openxmlformats.org/officeDocument/2006/relationships/header" Target="header34.xml"/><Relationship Id="rId333" Type="http://schemas.openxmlformats.org/officeDocument/2006/relationships/footer" Target="footer48.xml"/><Relationship Id="rId354" Type="http://schemas.openxmlformats.org/officeDocument/2006/relationships/footer" Target="footer55.xml"/><Relationship Id="rId51" Type="http://schemas.openxmlformats.org/officeDocument/2006/relationships/hyperlink" Target="file:///\\Ncs01_pool01_server\vol01\DATI\camera01\STUDI-COMITATO\XVII\RAPPORTO_FORMISANO\0013_AC_3123_L_delegaz_UE_2014.docx" TargetMode="External"/><Relationship Id="rId72" Type="http://schemas.openxmlformats.org/officeDocument/2006/relationships/hyperlink" Target="http://documenti.camera.it/apps/commonServices/getDocumento.ashx?sezione=bollettini&amp;tipoDoc=comunicato&amp;idlegislatura=17&amp;anno=2015&amp;mese=10&amp;giorno=07&amp;view=filtered_48&amp;idCommissione=48&amp;ancora=data.20151007.com48.bollettino.sede00010.tit00010" TargetMode="External"/><Relationship Id="rId93" Type="http://schemas.openxmlformats.org/officeDocument/2006/relationships/hyperlink" Target="file:///\\Ncs01_pool01_server\vol01\DATI\camera01\STUDI-COMITATO\XVII\RAPPORTO_FORMISANO\0004_AC_2893_terrorismo_missioni.docx" TargetMode="External"/><Relationship Id="rId189" Type="http://schemas.openxmlformats.org/officeDocument/2006/relationships/hyperlink" Target="file:///\\Ncs01_pool01_server\vol01\DATI\camera01\STUDI-COMITATO\XVII\RAPPORTO_FORMISANO\0006_TU_3bis_B_elez_Camera.docx" TargetMode="External"/><Relationship Id="rId375" Type="http://schemas.openxmlformats.org/officeDocument/2006/relationships/footer" Target="footer63.xml"/><Relationship Id="rId396" Type="http://schemas.openxmlformats.org/officeDocument/2006/relationships/hyperlink" Target="http://documenti.camera.it/apps/commonServices/getDocumento.ashx?idLegislatura=17&amp;sezione=lavori&amp;tipoDoc=pdl&amp;idDocumento=3272" TargetMode="External"/><Relationship Id="rId3" Type="http://schemas.openxmlformats.org/officeDocument/2006/relationships/styles" Target="styles.xml"/><Relationship Id="rId214"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20.tit00010" TargetMode="External"/><Relationship Id="rId235" Type="http://schemas.openxmlformats.org/officeDocument/2006/relationships/hyperlink" Target="file:///\\Ncs01_pool01_server\vol01\DATI\camera01\STUDI-COMITATO\XVII\RAPPORTO_FORMISANO\0009_AC_2994_buona_scuola.docx" TargetMode="External"/><Relationship Id="rId256"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10" TargetMode="External"/><Relationship Id="rId277" Type="http://schemas.openxmlformats.org/officeDocument/2006/relationships/header" Target="header26.xml"/><Relationship Id="rId298" Type="http://schemas.openxmlformats.org/officeDocument/2006/relationships/footer" Target="footer34.xml"/><Relationship Id="rId400" Type="http://schemas.openxmlformats.org/officeDocument/2006/relationships/hyperlink" Target="http://documenti.camera.it/apps/commonServices/getDocumento.ashx?idLegislatura=17&amp;sezione=lavori&amp;tipoDoc=pdl&amp;idDocumento=2613-B" TargetMode="External"/><Relationship Id="rId116" Type="http://schemas.openxmlformats.org/officeDocument/2006/relationships/hyperlink" Target="http://documenti.camera.it/apps/commonServices/getDocumento.ashx?sezione=bollettini&amp;tipoDoc=comunicato&amp;idlegislatura=17&amp;anno=2015&amp;mese=07&amp;giorno=30&amp;view=filtered_48&amp;idCommissione=48&amp;ancora=data.20150730.com48.bollettino.sede00010.tit00010" TargetMode="External"/><Relationship Id="rId137" Type="http://schemas.openxmlformats.org/officeDocument/2006/relationships/hyperlink" Target="file:///\\Ncs01_pool01_server\vol01\DATI\camera01\STUDI-COMITATO\XVII\RAPPORTO_FORMISANO\0003_AC_2894_ILVA_Taranto.docx" TargetMode="External"/><Relationship Id="rId158" Type="http://schemas.openxmlformats.org/officeDocument/2006/relationships/hyperlink" Target="http://documenti.camera.it/apps/commonServices/getDocumento.ashx?sezione=bollettini&amp;tipoDoc=comunicato&amp;idlegislatura=17&amp;anno=2015&amp;mese=07&amp;giorno=15&amp;view=filtered_48&amp;idCommissione=48&amp;ancora=data.20150715.com48.bollettino.sede00010.tit00010" TargetMode="External"/><Relationship Id="rId302" Type="http://schemas.openxmlformats.org/officeDocument/2006/relationships/header" Target="header32.xml"/><Relationship Id="rId323" Type="http://schemas.openxmlformats.org/officeDocument/2006/relationships/footer" Target="footer44.xml"/><Relationship Id="rId344" Type="http://schemas.openxmlformats.org/officeDocument/2006/relationships/footer" Target="footer53.xml"/><Relationship Id="rId20" Type="http://schemas.openxmlformats.org/officeDocument/2006/relationships/footer" Target="footer6.xml"/><Relationship Id="rId41" Type="http://schemas.openxmlformats.org/officeDocument/2006/relationships/hyperlink" Target="file:///\\Ncs01_pool01_server\vol01\DATI\camera01\STUDI-COMITATO\XVII\RAPPORTO_FORMISANO\0008_delega_nautica_diporto.docx" TargetMode="External"/><Relationship Id="rId62" Type="http://schemas.openxmlformats.org/officeDocument/2006/relationships/hyperlink" Target="http://documenti.camera.it/apps/commonServices/getDocumento.ashx?sezione=bollettini&amp;tipoDoc=comunicato&amp;idlegislatura=17&amp;anno=2015&amp;mese=07&amp;giorno=29&amp;view=filtered_48&amp;idCommissione=48&amp;ancora=data.20150729.com48.bollettino.sede00010.tit00010" TargetMode="External"/><Relationship Id="rId83" Type="http://schemas.openxmlformats.org/officeDocument/2006/relationships/footer" Target="footer10.xml"/><Relationship Id="rId179" Type="http://schemas.openxmlformats.org/officeDocument/2006/relationships/hyperlink" Target="file:///\\Ncs01_pool01_server\vol01\DATI\camera01\STUDI-COMITATO\XVII\RAPPORTO_FORMISANO\0001_AC_2803_mille_proroghe.docx" TargetMode="External"/><Relationship Id="rId365" Type="http://schemas.openxmlformats.org/officeDocument/2006/relationships/footer" Target="footer59.xml"/><Relationship Id="rId386" Type="http://schemas.openxmlformats.org/officeDocument/2006/relationships/hyperlink" Target="http://documenti.camera.it/apps/commonServices/getDocumento.ashx?idLegislatura=17&amp;sezione=lavori&amp;tipoDoc=pdl&amp;idDocumento=3194" TargetMode="External"/><Relationship Id="rId190"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30.tit00020" TargetMode="External"/><Relationship Id="rId204" Type="http://schemas.openxmlformats.org/officeDocument/2006/relationships/hyperlink" Target="http://documenti.camera.it/apps/commonServices/getDocumento.ashx?sezione=bollettini&amp;tipoDoc=comunicato&amp;idlegislatura=17&amp;anno=2015&amp;mese=07&amp;giorno=08&amp;view=filtered_48&amp;idCommissione=48&amp;ancora=data.20150708.com48.bollettino.sede00010.tit00010" TargetMode="External"/><Relationship Id="rId225" Type="http://schemas.openxmlformats.org/officeDocument/2006/relationships/hyperlink" Target="file:///\\Ncs01_pool01_server\vol01\DATI\camera01\STUDI-COMITATO\XVII\RAPPORTO_FORMISANO\0001_AC_2803_mille_proroghe.docx" TargetMode="External"/><Relationship Id="rId246" Type="http://schemas.openxmlformats.org/officeDocument/2006/relationships/header" Target="header22.xml"/><Relationship Id="rId267" Type="http://schemas.openxmlformats.org/officeDocument/2006/relationships/hyperlink" Target="http://documenti.camera.it/apps/commonServices/getDocumento.ashx?sezione=bollettini&amp;tipoDoc=comunicato&amp;idlegislatura=17&amp;anno=2015&amp;mese=09&amp;giorno=30&amp;view=filtered_48&amp;idCommissione=48&amp;ancora=data.20150930.com48.bollettino.sede00020.tit00010" TargetMode="External"/><Relationship Id="rId288" Type="http://schemas.openxmlformats.org/officeDocument/2006/relationships/footer" Target="footer30.xml"/><Relationship Id="rId106"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10" TargetMode="External"/><Relationship Id="rId127" Type="http://schemas.openxmlformats.org/officeDocument/2006/relationships/header" Target="header12.xml"/><Relationship Id="rId313" Type="http://schemas.openxmlformats.org/officeDocument/2006/relationships/footer" Target="footer40.xml"/><Relationship Id="rId10" Type="http://schemas.openxmlformats.org/officeDocument/2006/relationships/footer" Target="footer1.xml"/><Relationship Id="rId31" Type="http://schemas.openxmlformats.org/officeDocument/2006/relationships/hyperlink" Target="file:///\\Ncs01_pool01_server\vol01\DATI\camera01\STUDI-COMITATO\XVII\RAPPORTO_FORMISANO\0003_AC_2894_ILVA_Taranto.docx" TargetMode="External"/><Relationship Id="rId52" Type="http://schemas.openxmlformats.org/officeDocument/2006/relationships/hyperlink" Target="http://documenti.camera.it/apps/commonServices/getDocumento.ashx?sezione=bollettini&amp;tipoDoc=comunicato&amp;idlegislatura=17&amp;anno=2015&amp;mese=07&amp;giorno=02&amp;view=filtered_48&amp;idCommissione=48&amp;ancora=data.20150702.com48.bollettino.sede00010.tit00010" TargetMode="External"/><Relationship Id="rId73" Type="http://schemas.openxmlformats.org/officeDocument/2006/relationships/hyperlink" Target="file:///\\Ncs01_pool01_server\vol01\DATI\camera01\STUDI-COMITATO\XVII\RAPPORTO_FORMISANO\0024_AC_3340_materia_economicosociale.docx" TargetMode="External"/><Relationship Id="rId94" Type="http://schemas.openxmlformats.org/officeDocument/2006/relationships/hyperlink" Target="http://documenti.camera.it/apps/commonServices/getDocumento.ashx?sezione=bollettini&amp;tipoDoc=comunicato&amp;idlegislatura=17&amp;anno=2015&amp;mese=03&amp;giorno=04&amp;view=filtered_48&amp;idCommissione=48&amp;ancora=data.20150304.com48.bollettino.sede00010.tit00010" TargetMode="External"/><Relationship Id="rId148" Type="http://schemas.openxmlformats.org/officeDocument/2006/relationships/hyperlink" Target="http://documenti.camera.it/apps/commonServices/getDocumento.ashx?sezione=bollettini&amp;tipoDoc=comunicato&amp;idlegislatura=17&amp;anno=2015&amp;mese=06&amp;giorno=11&amp;view=filtered_48&amp;idCommissione=48&amp;ancora=data.20150611.com48.bollettino.sede00010.tit00010" TargetMode="External"/><Relationship Id="rId169" Type="http://schemas.openxmlformats.org/officeDocument/2006/relationships/hyperlink" Target="file:///\\Ncs01_pool01_server\vol01\DATI\camera01\STUDI-COMITATO\XVII\RAPPORTO_FORMISANO\0026_AC_3386_finanza_pubblica.docx" TargetMode="External"/><Relationship Id="rId334" Type="http://schemas.openxmlformats.org/officeDocument/2006/relationships/footer" Target="footer49.xml"/><Relationship Id="rId355" Type="http://schemas.openxmlformats.org/officeDocument/2006/relationships/hyperlink" Target="http://www.camera.it/leg17/126?tab=1&amp;leg=17&amp;idDocumento=2994-B&amp;sede=&amp;tipo=" TargetMode="External"/><Relationship Id="rId376" Type="http://schemas.openxmlformats.org/officeDocument/2006/relationships/hyperlink" Target="http://documenti.camera.it/apps/commonServices/getDocumento.ashx?idLegislatura=17&amp;sezione=lavori&amp;tipoDoc=pdl&amp;idDocumento=3249" TargetMode="External"/><Relationship Id="rId397" Type="http://schemas.openxmlformats.org/officeDocument/2006/relationships/hyperlink" Target="http://documenti.camera.it/apps/commonServices/getDocumento.ashx?sezione=bollettini&amp;tipoDoc=comunicato&amp;idlegislatura=17&amp;anno=2015&amp;mese=09&amp;giorno=30&amp;view=filtered_48&amp;idCommissione=48&amp;ancora=data.20150930.com48.bollettino.sede00020.tit00010" TargetMode="External"/><Relationship Id="rId4" Type="http://schemas.microsoft.com/office/2007/relationships/stylesWithEffects" Target="stylesWithEffects.xml"/><Relationship Id="rId180" Type="http://schemas.openxmlformats.org/officeDocument/2006/relationships/hyperlink" Target="http://documenti.camera.it/apps/commonServices/getDocumento.ashx?sezione=bollettini&amp;tipoDoc=comunicato&amp;idlegislatura=17&amp;anno=2015&amp;mese=02&amp;giorno=10&amp;view=filtered_48&amp;idCommissione=48&amp;ancora=data.20150210.com48.bollettino.sede00010.tit00010" TargetMode="External"/><Relationship Id="rId215" Type="http://schemas.openxmlformats.org/officeDocument/2006/relationships/hyperlink" Target="file:///\\Ncs01_pool01_server\vol01\DATI\camera01\STUDI-COMITATO\XVII\RAPPORTO_FORMISANO\0026_AC_3386_finanza_pubblica.docx" TargetMode="External"/><Relationship Id="rId236" Type="http://schemas.openxmlformats.org/officeDocument/2006/relationships/hyperlink" Target="http://documenti.camera.it/apps/commonServices/getDocumento.ashx?sezione=bollettini&amp;tipoDoc=comunicato&amp;idlegislatura=17&amp;anno=2015&amp;mese=05&amp;giorno=13&amp;view=filtered_48&amp;idCommissione=48&amp;ancora=data.20150513.com48.bollettino.sede00010.tit00010" TargetMode="External"/><Relationship Id="rId257" Type="http://schemas.openxmlformats.org/officeDocument/2006/relationships/hyperlink" Target="file:///\\Ncs01_pool01_server\vol01\DATI\camera01\STUDI-COMITATO\XVII\RAPPORTO_FORMISANO\0012_AC_3098_delega_PA.docx" TargetMode="External"/><Relationship Id="rId278" Type="http://schemas.openxmlformats.org/officeDocument/2006/relationships/footer" Target="footer27.xml"/><Relationship Id="rId401" Type="http://schemas.openxmlformats.org/officeDocument/2006/relationships/hyperlink" Target="http://documenti.camera.it/apps/commonServices/getDocumento.ashx?sezione=bollettini&amp;tipoDoc=comunicato&amp;idlegislatura=17&amp;anno=2015&amp;mese=11&amp;giorno=04&amp;view=filtered_48&amp;idCommissione=48&amp;ancora=data.20151104.com48.bollettino.sede00010.tit00010" TargetMode="External"/><Relationship Id="rId303" Type="http://schemas.openxmlformats.org/officeDocument/2006/relationships/footer" Target="footer36.xml"/><Relationship Id="rId42" Type="http://schemas.openxmlformats.org/officeDocument/2006/relationships/hyperlink" Target="http://documenti.camera.it/apps/commonServices/getDocumento.ashx?sezione=bollettini&amp;tipoDoc=comunicato&amp;idlegislatura=17&amp;anno=2015&amp;mese=04&amp;giorno=28&amp;view=filtered_48&amp;idCommissione=48&amp;ancora=data.20150428.com48.bollettino.sede00030.tit00020" TargetMode="External"/><Relationship Id="rId84" Type="http://schemas.openxmlformats.org/officeDocument/2006/relationships/header" Target="header10.xml"/><Relationship Id="rId138" Type="http://schemas.openxmlformats.org/officeDocument/2006/relationships/hyperlink" Target="http://documenti.camera.it/apps/commonServices/getDocumento.ashx?sezione=bollettini&amp;tipoDoc=comunicato&amp;idlegislatura=17&amp;anno=2015&amp;mese=02&amp;giorno=27&amp;view=filtered_48&amp;idCommissione=48&amp;ancora=data.20150227.com48.bollettino.sede00010.tit00010" TargetMode="External"/><Relationship Id="rId345" Type="http://schemas.openxmlformats.org/officeDocument/2006/relationships/hyperlink" Target="http://www.camera.it/leg17/126?tab=&amp;leg=17&amp;idDocumento=2798&amp;sede=&amp;tipo=" TargetMode="External"/><Relationship Id="rId387" Type="http://schemas.openxmlformats.org/officeDocument/2006/relationships/hyperlink" Target="http://documenti.camera.it/apps/commonServices/getDocumento.ashx?sezione=bollettini&amp;tipoDoc=comunicato&amp;idlegislatura=17&amp;anno=2015&amp;mese=07&amp;giorno=30&amp;view=filtered_48&amp;idCommissione=48&amp;ancora=data.20150730.com48.bollettino.sede00020.tit00010" TargetMode="External"/><Relationship Id="rId191" Type="http://schemas.openxmlformats.org/officeDocument/2006/relationships/hyperlink" Target="file:///\\Ncs01_pool01_server\vol01\DATI\camera01\STUDI-COMITATO\XVII\RAPPORTO_FORMISANO\0009_AC_2994_buona_scuola.docx" TargetMode="External"/><Relationship Id="rId205" Type="http://schemas.openxmlformats.org/officeDocument/2006/relationships/hyperlink" Target="file:///\\Ncs01_pool01_server\vol01\DATI\camera01\STUDI-COMITATO\XVII\RAPPORTO_FORMISANO\0017_AC_3210_rifiuti_ILVA.docx" TargetMode="External"/><Relationship Id="rId247" Type="http://schemas.openxmlformats.org/officeDocument/2006/relationships/footer" Target="footer23.xml"/><Relationship Id="rId107" Type="http://schemas.openxmlformats.org/officeDocument/2006/relationships/hyperlink" Target="file:///\\Ncs01_pool01_server\vol01\DATI\camera01\STUDI-COMITATO\XVII\RAPPORTO_FORMISANO\0012_AC_3098_delega_PA.docx" TargetMode="External"/><Relationship Id="rId289" Type="http://schemas.openxmlformats.org/officeDocument/2006/relationships/footer" Target="footer3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C0472-7E69-4098-BB66-F8912EF0F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244</Pages>
  <Words>73195</Words>
  <Characters>417217</Characters>
  <Application>Microsoft Office Word</Application>
  <DocSecurity>0</DocSecurity>
  <Lines>3476</Lines>
  <Paragraphs>978</Paragraphs>
  <ScaleCrop>false</ScaleCrop>
  <HeadingPairs>
    <vt:vector size="2" baseType="variant">
      <vt:variant>
        <vt:lpstr>Titolo</vt:lpstr>
      </vt:variant>
      <vt:variant>
        <vt:i4>1</vt:i4>
      </vt:variant>
    </vt:vector>
  </HeadingPairs>
  <TitlesOfParts>
    <vt:vector size="1" baseType="lpstr">
      <vt:lpstr>NormalSegreteria</vt:lpstr>
    </vt:vector>
  </TitlesOfParts>
  <Company/>
  <LinksUpToDate>false</LinksUpToDate>
  <CharactersWithSpaces>489434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Cacciagrano Lucia</dc:creator>
  <cp:lastModifiedBy>sorbello_r</cp:lastModifiedBy>
  <cp:revision>33</cp:revision>
  <cp:lastPrinted>2016-01-12T17:16:00Z</cp:lastPrinted>
  <dcterms:created xsi:type="dcterms:W3CDTF">2016-01-08T14:06:00Z</dcterms:created>
  <dcterms:modified xsi:type="dcterms:W3CDTF">2016-01-13T16:04:00Z</dcterms:modified>
</cp:coreProperties>
</file>