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D33" w:rsidRDefault="00880D33">
      <w:pPr>
        <w:rPr>
          <w:noProof/>
          <w:lang w:eastAsia="it-IT"/>
        </w:rPr>
      </w:pPr>
      <w:bookmarkStart w:id="0" w:name="_GoBack"/>
      <w:bookmarkEnd w:id="0"/>
    </w:p>
    <w:p w:rsidR="00880D33" w:rsidRDefault="00880D33">
      <w:pPr>
        <w:rPr>
          <w:noProof/>
          <w:lang w:eastAsia="it-IT"/>
        </w:rPr>
      </w:pPr>
    </w:p>
    <w:p w:rsidR="00880D33" w:rsidRDefault="00880D33">
      <w:pPr>
        <w:rPr>
          <w:noProof/>
          <w:lang w:eastAsia="it-IT"/>
        </w:rPr>
      </w:pPr>
    </w:p>
    <w:p w:rsidR="00880D33" w:rsidRDefault="00880D33">
      <w:pPr>
        <w:rPr>
          <w:noProof/>
          <w:lang w:eastAsia="it-IT"/>
        </w:rPr>
      </w:pPr>
    </w:p>
    <w:p w:rsidR="00FF3DC8" w:rsidRPr="00503D23" w:rsidRDefault="00360C15">
      <w:pPr>
        <w:rPr>
          <w:noProof/>
          <w:sz w:val="22"/>
          <w:lang w:eastAsia="it-IT"/>
        </w:rPr>
      </w:pPr>
      <w:r w:rsidRPr="00503D23">
        <w:rPr>
          <w:noProof/>
          <w:lang w:eastAsia="it-IT"/>
        </w:rPr>
        <w:drawing>
          <wp:anchor distT="0" distB="0" distL="114300" distR="114300" simplePos="0" relativeHeight="251657728" behindDoc="1" locked="0" layoutInCell="1" allowOverlap="1" wp14:anchorId="0C7CB3B7" wp14:editId="27073C8A">
            <wp:simplePos x="0" y="0"/>
            <wp:positionH relativeFrom="page">
              <wp:align>center</wp:align>
            </wp:positionH>
            <wp:positionV relativeFrom="page">
              <wp:align>center</wp:align>
            </wp:positionV>
            <wp:extent cx="7569200" cy="10693400"/>
            <wp:effectExtent l="0" t="0" r="0" b="0"/>
            <wp:wrapNone/>
            <wp:docPr id="6" name="Immagine 6" descr="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DC8" w:rsidRPr="00503D23" w:rsidRDefault="00FF3DC8">
      <w:pPr>
        <w:rPr>
          <w:noProof/>
          <w:sz w:val="22"/>
          <w:lang w:eastAsia="it-IT"/>
        </w:rPr>
      </w:pPr>
    </w:p>
    <w:p w:rsidR="00FF3DC8" w:rsidRPr="00503D23" w:rsidRDefault="00FF3DC8" w:rsidP="00FF3DC8">
      <w:pPr>
        <w:ind w:left="-1304"/>
        <w:jc w:val="center"/>
        <w:rPr>
          <w:noProof/>
          <w:sz w:val="22"/>
          <w:szCs w:val="16"/>
        </w:rPr>
      </w:pPr>
    </w:p>
    <w:p w:rsidR="00FF3DC8" w:rsidRPr="00503D23" w:rsidRDefault="00FF3DC8" w:rsidP="00FF3DC8">
      <w:pPr>
        <w:jc w:val="center"/>
        <w:rPr>
          <w:b/>
          <w:color w:val="339966"/>
          <w:sz w:val="22"/>
          <w:szCs w:val="56"/>
        </w:rPr>
      </w:pPr>
    </w:p>
    <w:p w:rsidR="00FF3DC8" w:rsidRPr="00503D23" w:rsidRDefault="00FF3DC8" w:rsidP="00FF3DC8">
      <w:pPr>
        <w:jc w:val="center"/>
        <w:rPr>
          <w:b/>
          <w:color w:val="339966"/>
          <w:sz w:val="56"/>
          <w:szCs w:val="56"/>
        </w:rPr>
      </w:pPr>
    </w:p>
    <w:p w:rsidR="00FF3DC8" w:rsidRPr="00503D23" w:rsidRDefault="00F231A2" w:rsidP="00FF3DC8">
      <w:pPr>
        <w:jc w:val="center"/>
        <w:rPr>
          <w:b/>
          <w:color w:val="339966"/>
          <w:sz w:val="56"/>
          <w:szCs w:val="56"/>
        </w:rPr>
      </w:pPr>
      <w:r>
        <w:rPr>
          <w:b/>
          <w:noProof/>
          <w:color w:val="339966"/>
          <w:sz w:val="56"/>
          <w:szCs w:val="56"/>
          <w:lang w:eastAsia="it-IT"/>
        </w:rPr>
        <mc:AlternateContent>
          <mc:Choice Requires="wps">
            <w:drawing>
              <wp:inline distT="0" distB="0" distL="0" distR="0">
                <wp:extent cx="5238750" cy="285750"/>
                <wp:effectExtent l="9525" t="9525" r="6350" b="571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0" cy="285750"/>
                        </a:xfrm>
                        <a:prstGeom prst="rect">
                          <a:avLst/>
                        </a:prstGeom>
                        <a:extLst>
                          <a:ext uri="{AF507438-7753-43E0-B8FC-AC1667EBCBE1}">
                            <a14:hiddenEffects xmlns:a14="http://schemas.microsoft.com/office/drawing/2010/main">
                              <a:effectLst/>
                            </a14:hiddenEffects>
                          </a:ext>
                        </a:extLst>
                      </wps:spPr>
                      <wps:txbx>
                        <w:txbxContent>
                          <w:p w:rsidR="00F231A2" w:rsidRDefault="00F231A2" w:rsidP="00F231A2">
                            <w:pPr>
                              <w:pStyle w:val="NormaleWeb"/>
                              <w:spacing w:before="0" w:beforeAutospacing="0" w:after="0" w:afterAutospacing="0"/>
                              <w:jc w:val="center"/>
                            </w:pPr>
                            <w:r>
                              <w:rPr>
                                <w:rFonts w:ascii="Arial Black" w:hAnsi="Arial Black"/>
                                <w:color w:val="339966"/>
                                <w:spacing w:val="144"/>
                                <w:sz w:val="72"/>
                                <w:szCs w:val="72"/>
                                <w14:textOutline w14:w="9525" w14:cap="flat" w14:cmpd="sng" w14:algn="ctr">
                                  <w14:solidFill>
                                    <w14:srgbClr w14:val="000000"/>
                                  </w14:solidFill>
                                  <w14:prstDash w14:val="solid"/>
                                  <w14:round/>
                                </w14:textOutline>
                              </w:rPr>
                              <w:t>NOTE INFORMATIVE SINTETICHE</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" filled="f" stroked="f">
                <o:lock v:ext="edit" shapetype="t"/>
                <v:textbox style="mso-fit-shape-to-text:t">
                  <w:txbxContent>
                    <w:p w:rsidR="00F231A2" w:rsidRDefault="00F231A2" w:rsidP="00F231A2">
                      <w:pPr>
                        <w:pStyle w:val="NormaleWeb"/>
                        <w:spacing w:before="0" w:beforeAutospacing="0" w:after="0" w:afterAutospacing="0"/>
                        <w:jc w:val="center"/>
                      </w:pPr>
                      <w:r>
                        <w:rPr>
                          <w:rFonts w:ascii="Arial Black" w:hAnsi="Arial Black"/>
                          <w:color w:val="339966"/>
                          <w:spacing w:val="144"/>
                          <w:sz w:val="72"/>
                          <w:szCs w:val="72"/>
                          <w14:textOutline w14:w="9525" w14:cap="flat" w14:cmpd="sng" w14:algn="ctr">
                            <w14:solidFill>
                              <w14:srgbClr w14:val="000000"/>
                            </w14:solidFill>
                            <w14:prstDash w14:val="solid"/>
                            <w14:round/>
                          </w14:textOutline>
                        </w:rPr>
                        <w:t>NOTE INFORMATIVE SINTETICHE</w:t>
                      </w:r>
                    </w:p>
                  </w:txbxContent>
                </v:textbox>
                <w10:anchorlock/>
              </v:shape>
            </w:pict>
          </mc:Fallback>
        </mc:AlternateContent>
      </w:r>
    </w:p>
    <w:p w:rsidR="00FF3DC8" w:rsidRPr="00503D23" w:rsidRDefault="00FF3DC8" w:rsidP="00FF3DC8">
      <w:pPr>
        <w:ind w:left="-1304"/>
        <w:jc w:val="center"/>
        <w:rPr>
          <w:noProof/>
          <w:sz w:val="16"/>
          <w:szCs w:val="16"/>
        </w:rPr>
      </w:pPr>
    </w:p>
    <w:p w:rsidR="00FF3DC8" w:rsidRPr="00503D23" w:rsidRDefault="00FF3DC8" w:rsidP="00FF3DC8">
      <w:pPr>
        <w:ind w:left="-1304"/>
        <w:jc w:val="center"/>
        <w:rPr>
          <w:noProof/>
          <w:sz w:val="16"/>
          <w:szCs w:val="16"/>
        </w:rPr>
      </w:pPr>
    </w:p>
    <w:p w:rsidR="00FF3DC8" w:rsidRPr="00503D23" w:rsidRDefault="00FF3DC8" w:rsidP="00FF3DC8">
      <w:pPr>
        <w:ind w:left="-1304"/>
        <w:jc w:val="center"/>
        <w:rPr>
          <w:noProof/>
          <w:sz w:val="16"/>
          <w:szCs w:val="16"/>
        </w:rPr>
      </w:pPr>
    </w:p>
    <w:p w:rsidR="00FF3DC8" w:rsidRPr="00503D23" w:rsidRDefault="00FF3DC8" w:rsidP="00FF3DC8">
      <w:pPr>
        <w:pStyle w:val="NumeroDatanota"/>
        <w:outlineLvl w:val="0"/>
        <w:rPr>
          <w:noProof/>
        </w:rPr>
      </w:pPr>
      <w:r w:rsidRPr="00503D23">
        <w:rPr>
          <w:noProof/>
        </w:rPr>
        <w:t xml:space="preserve">N. </w:t>
      </w:r>
      <w:r w:rsidR="000F038A">
        <w:rPr>
          <w:noProof/>
        </w:rPr>
        <w:t>9</w:t>
      </w:r>
      <w:r w:rsidRPr="00503D23">
        <w:rPr>
          <w:noProof/>
        </w:rPr>
        <w:t xml:space="preserve"> – </w:t>
      </w:r>
      <w:r w:rsidR="000F038A">
        <w:rPr>
          <w:noProof/>
        </w:rPr>
        <w:t>9</w:t>
      </w:r>
      <w:r w:rsidR="00881AB1" w:rsidRPr="00503D23">
        <w:rPr>
          <w:noProof/>
        </w:rPr>
        <w:t xml:space="preserve"> </w:t>
      </w:r>
      <w:r w:rsidR="000F038A">
        <w:rPr>
          <w:noProof/>
        </w:rPr>
        <w:t>giugno 2021</w:t>
      </w:r>
    </w:p>
    <w:p w:rsidR="00FF3DC8" w:rsidRPr="00503D23" w:rsidRDefault="00F231A2" w:rsidP="00FF3DC8">
      <w:pPr>
        <w:rPr>
          <w:rFonts w:ascii="Georgia" w:hAnsi="Georgia"/>
          <w:noProof/>
        </w:rPr>
      </w:pPr>
      <w:r>
        <w:rPr>
          <w:rFonts w:ascii="Georgia" w:hAnsi="Georgia"/>
          <w:noProof/>
        </w:rPr>
        <w:pict>
          <v:rect id="_x0000_i1026" style="width:0;height:1.5pt" o:hralign="center" o:hrstd="t" o:hr="t" fillcolor="gray" stroked="f"/>
        </w:pict>
      </w:r>
    </w:p>
    <w:p w:rsidR="00FF3DC8" w:rsidRPr="00503D23" w:rsidRDefault="00FF3DC8" w:rsidP="00FF3DC8">
      <w:pPr>
        <w:rPr>
          <w:rFonts w:ascii="Georgia" w:hAnsi="Georgia"/>
          <w:noProof/>
        </w:rPr>
      </w:pPr>
    </w:p>
    <w:p w:rsidR="00FF3DC8" w:rsidRPr="00503D23" w:rsidRDefault="00FF3DC8" w:rsidP="001C28E3">
      <w:pPr>
        <w:spacing w:after="240"/>
        <w:jc w:val="center"/>
        <w:rPr>
          <w:rStyle w:val="Titolonota"/>
        </w:rPr>
      </w:pPr>
      <w:r w:rsidRPr="00503D23">
        <w:rPr>
          <w:rStyle w:val="Titolonota"/>
        </w:rPr>
        <w:t>A</w:t>
      </w:r>
      <w:r w:rsidR="00BA101B">
        <w:rPr>
          <w:rStyle w:val="Titolonota"/>
        </w:rPr>
        <w:t>A</w:t>
      </w:r>
      <w:r w:rsidR="00717D50" w:rsidRPr="00503D23">
        <w:rPr>
          <w:rStyle w:val="Titolonota"/>
        </w:rPr>
        <w:t>.</w:t>
      </w:r>
      <w:r w:rsidR="00BA101B">
        <w:rPr>
          <w:rStyle w:val="Titolonota"/>
        </w:rPr>
        <w:t>CC</w:t>
      </w:r>
      <w:r w:rsidR="002F2EA0">
        <w:rPr>
          <w:rStyle w:val="Titolonota"/>
        </w:rPr>
        <w:t>.</w:t>
      </w:r>
      <w:r w:rsidR="007809CD">
        <w:rPr>
          <w:rStyle w:val="Titolonota"/>
        </w:rPr>
        <w:t xml:space="preserve"> </w:t>
      </w:r>
      <w:r w:rsidR="00BA101B">
        <w:rPr>
          <w:rStyle w:val="Titolonota"/>
        </w:rPr>
        <w:t>nn.</w:t>
      </w:r>
      <w:r w:rsidR="00BA101B" w:rsidRPr="00BA101B">
        <w:rPr>
          <w:rStyle w:val="Titolonota"/>
        </w:rPr>
        <w:t xml:space="preserve"> 290-410-1314-1386-B</w:t>
      </w:r>
    </w:p>
    <w:p w:rsidR="008E6A0F" w:rsidRDefault="007809CD" w:rsidP="008E6A0F">
      <w:pPr>
        <w:pStyle w:val="NormaleWeb"/>
        <w:spacing w:before="0" w:beforeAutospacing="0" w:after="0" w:afterAutospacing="0"/>
        <w:jc w:val="center"/>
        <w:rPr>
          <w:rFonts w:ascii="Georgia" w:hAnsi="Georgia"/>
          <w:b/>
          <w:sz w:val="28"/>
          <w:szCs w:val="28"/>
        </w:rPr>
      </w:pPr>
      <w:r>
        <w:rPr>
          <w:rFonts w:ascii="Georgia" w:hAnsi="Georgia"/>
          <w:b/>
          <w:sz w:val="28"/>
          <w:szCs w:val="28"/>
        </w:rPr>
        <w:t>L’agricoltura biologica e biodinamica</w:t>
      </w:r>
    </w:p>
    <w:p w:rsidR="009B7875" w:rsidRPr="00503D23" w:rsidRDefault="008E6A0F" w:rsidP="00CF4CCE">
      <w:pPr>
        <w:pStyle w:val="NormaleWeb"/>
        <w:spacing w:before="0" w:beforeAutospacing="0" w:after="720" w:afterAutospacing="0"/>
        <w:jc w:val="center"/>
        <w:rPr>
          <w:rFonts w:ascii="Georgia" w:hAnsi="Georgia"/>
          <w:b/>
          <w:sz w:val="28"/>
          <w:szCs w:val="28"/>
        </w:rPr>
      </w:pPr>
      <w:r>
        <w:rPr>
          <w:rFonts w:ascii="Georgia" w:hAnsi="Georgia"/>
          <w:b/>
          <w:sz w:val="28"/>
          <w:szCs w:val="28"/>
        </w:rPr>
        <w:t>in Francia, Germania e Spagna</w:t>
      </w:r>
    </w:p>
    <w:p w:rsidR="000F038A" w:rsidRPr="00BA101B" w:rsidRDefault="009B7875" w:rsidP="000F038A">
      <w:pPr>
        <w:spacing w:after="120"/>
        <w:ind w:firstLine="357"/>
        <w:jc w:val="both"/>
        <w:rPr>
          <w:rFonts w:ascii="Georgia" w:hAnsi="Georgia"/>
        </w:rPr>
      </w:pPr>
      <w:r w:rsidRPr="00BA101B">
        <w:rPr>
          <w:rFonts w:ascii="Georgia" w:hAnsi="Georgia"/>
        </w:rPr>
        <w:t xml:space="preserve">In </w:t>
      </w:r>
      <w:r w:rsidRPr="00BA101B">
        <w:rPr>
          <w:rFonts w:ascii="Georgia" w:hAnsi="Georgia"/>
          <w:b/>
        </w:rPr>
        <w:t>Francia</w:t>
      </w:r>
      <w:r w:rsidRPr="00BA101B">
        <w:rPr>
          <w:rFonts w:ascii="Georgia" w:hAnsi="Georgia"/>
        </w:rPr>
        <w:t xml:space="preserve"> </w:t>
      </w:r>
      <w:r w:rsidR="000F038A" w:rsidRPr="00BA101B">
        <w:rPr>
          <w:rFonts w:ascii="Georgia" w:hAnsi="Georgia"/>
        </w:rPr>
        <w:t>i principi dell'agricoltura biologica sono stati introdotti dopo la seconda guerra mondiale. La sua prima ufficializzazione risale alla legge di orientamento agricolo (LOA) del 1980 (</w:t>
      </w:r>
      <w:hyperlink r:id="rId9" w:history="1">
        <w:r w:rsidR="000F038A" w:rsidRPr="00BA101B">
          <w:rPr>
            <w:rStyle w:val="Collegamentoipertestuale"/>
            <w:rFonts w:ascii="Georgia" w:hAnsi="Georgia"/>
            <w:bCs/>
          </w:rPr>
          <w:t>Lo</w:t>
        </w:r>
        <w:r w:rsidR="001445CC" w:rsidRPr="00BA101B">
          <w:rPr>
            <w:rStyle w:val="Collegamentoipertestuale"/>
            <w:rFonts w:ascii="Georgia" w:hAnsi="Georgia"/>
            <w:bCs/>
          </w:rPr>
          <w:t>i n° 80-502 du 4 juillet 1980 d’</w:t>
        </w:r>
        <w:r w:rsidR="000F038A" w:rsidRPr="00BA101B">
          <w:rPr>
            <w:rStyle w:val="Collegamentoipertestuale"/>
            <w:rFonts w:ascii="Georgia" w:hAnsi="Georgia"/>
            <w:bCs/>
          </w:rPr>
          <w:t>orientation agricole</w:t>
        </w:r>
      </w:hyperlink>
      <w:r w:rsidR="000F038A" w:rsidRPr="00BA101B">
        <w:rPr>
          <w:rFonts w:ascii="Georgia" w:hAnsi="Georgia"/>
          <w:bCs/>
        </w:rPr>
        <w:t>)</w:t>
      </w:r>
      <w:r w:rsidR="000F038A" w:rsidRPr="00BA101B">
        <w:rPr>
          <w:rFonts w:ascii="Georgia" w:hAnsi="Georgia"/>
        </w:rPr>
        <w:t xml:space="preserve"> e il termine </w:t>
      </w:r>
      <w:r w:rsidR="001445CC" w:rsidRPr="00BA101B">
        <w:rPr>
          <w:rFonts w:ascii="Georgia" w:hAnsi="Georgia"/>
        </w:rPr>
        <w:t>“</w:t>
      </w:r>
      <w:r w:rsidR="000F038A" w:rsidRPr="00BA101B">
        <w:rPr>
          <w:rFonts w:ascii="Georgia" w:hAnsi="Georgia"/>
        </w:rPr>
        <w:t>agricoltura biologica</w:t>
      </w:r>
      <w:r w:rsidR="001445CC" w:rsidRPr="00BA101B">
        <w:rPr>
          <w:rFonts w:ascii="Georgia" w:hAnsi="Georgia"/>
        </w:rPr>
        <w:t>”</w:t>
      </w:r>
      <w:r w:rsidR="000F038A" w:rsidRPr="00BA101B">
        <w:rPr>
          <w:rFonts w:ascii="Georgia" w:hAnsi="Georgia"/>
        </w:rPr>
        <w:t xml:space="preserve"> compare nel 1991 in un regolamento europeo che riconosce ufficialmente questo modo di produzione (</w:t>
      </w:r>
      <w:r w:rsidR="00F452F0" w:rsidRPr="00BA101B">
        <w:rPr>
          <w:rFonts w:ascii="Georgia" w:hAnsi="Georgia"/>
        </w:rPr>
        <w:t>R</w:t>
      </w:r>
      <w:r w:rsidR="000F038A" w:rsidRPr="00BA101B">
        <w:rPr>
          <w:rFonts w:ascii="Georgia" w:hAnsi="Georgia"/>
        </w:rPr>
        <w:t xml:space="preserve">egolamento CEE </w:t>
      </w:r>
      <w:r w:rsidR="00F452F0" w:rsidRPr="00BA101B">
        <w:rPr>
          <w:rFonts w:ascii="Georgia" w:hAnsi="Georgia"/>
        </w:rPr>
        <w:t xml:space="preserve">n. </w:t>
      </w:r>
      <w:r w:rsidR="000F038A" w:rsidRPr="00BA101B">
        <w:rPr>
          <w:rFonts w:ascii="Georgia" w:hAnsi="Georgia"/>
        </w:rPr>
        <w:t>2092/91 del 24 giugno</w:t>
      </w:r>
      <w:r w:rsidR="00F452F0" w:rsidRPr="00BA101B">
        <w:rPr>
          <w:rFonts w:ascii="Georgia" w:hAnsi="Georgia"/>
        </w:rPr>
        <w:t xml:space="preserve"> 1991</w:t>
      </w:r>
      <w:r w:rsidR="000F038A" w:rsidRPr="00BA101B">
        <w:rPr>
          <w:rFonts w:ascii="Georgia" w:hAnsi="Georgia"/>
        </w:rPr>
        <w:t>).</w:t>
      </w:r>
    </w:p>
    <w:p w:rsidR="000F038A" w:rsidRPr="00BA101B" w:rsidRDefault="000F038A" w:rsidP="000F038A">
      <w:pPr>
        <w:spacing w:after="120"/>
        <w:ind w:firstLine="357"/>
        <w:jc w:val="both"/>
        <w:rPr>
          <w:rFonts w:ascii="Georgia" w:hAnsi="Georgia"/>
          <w:bCs/>
        </w:rPr>
      </w:pPr>
      <w:r w:rsidRPr="00BA101B">
        <w:rPr>
          <w:rFonts w:ascii="Georgia" w:hAnsi="Georgia"/>
          <w:bCs/>
        </w:rPr>
        <w:t xml:space="preserve">In particolare, gli operatori in agricoltura biologica devono </w:t>
      </w:r>
      <w:r w:rsidR="00974A8B" w:rsidRPr="00BA101B">
        <w:rPr>
          <w:rFonts w:ascii="Georgia" w:hAnsi="Georgia"/>
          <w:bCs/>
        </w:rPr>
        <w:t>notificare la loro attività all’</w:t>
      </w:r>
      <w:r w:rsidRPr="00BA101B">
        <w:rPr>
          <w:rFonts w:ascii="Georgia" w:hAnsi="Georgia"/>
          <w:b/>
          <w:bCs/>
        </w:rPr>
        <w:t>Agenzia</w:t>
      </w:r>
      <w:r w:rsidR="001445CC" w:rsidRPr="00BA101B">
        <w:rPr>
          <w:rFonts w:ascii="Georgia" w:hAnsi="Georgia"/>
          <w:b/>
          <w:bCs/>
        </w:rPr>
        <w:t xml:space="preserve"> francese per lo sviluppo e la promozione dell’agricoltura </w:t>
      </w:r>
      <w:r w:rsidR="001445CC" w:rsidRPr="00BA101B">
        <w:rPr>
          <w:rFonts w:ascii="Georgia" w:hAnsi="Georgia"/>
          <w:bCs/>
        </w:rPr>
        <w:t>biologica</w:t>
      </w:r>
      <w:r w:rsidRPr="00BA101B">
        <w:rPr>
          <w:rFonts w:ascii="Georgia" w:hAnsi="Georgia"/>
          <w:bCs/>
        </w:rPr>
        <w:t xml:space="preserve"> (</w:t>
      </w:r>
      <w:hyperlink r:id="rId10" w:history="1">
        <w:r w:rsidRPr="00BA101B">
          <w:rPr>
            <w:rStyle w:val="Collegamentoipertestuale"/>
            <w:rFonts w:ascii="Georgia" w:hAnsi="Georgia"/>
            <w:bCs/>
          </w:rPr>
          <w:t>Agence Bio</w:t>
        </w:r>
      </w:hyperlink>
      <w:r w:rsidRPr="00BA101B">
        <w:rPr>
          <w:rFonts w:ascii="Georgia" w:hAnsi="Georgia"/>
          <w:bCs/>
        </w:rPr>
        <w:t>) ogni anno. Il controllo delle condizioni di produzione, di trasformazione e di importazione è effettuato da organismi certificat</w:t>
      </w:r>
      <w:r w:rsidR="001445CC" w:rsidRPr="00BA101B">
        <w:rPr>
          <w:rFonts w:ascii="Georgia" w:hAnsi="Georgia"/>
          <w:bCs/>
        </w:rPr>
        <w:t>ori. Questi sono approvati dall’Istituto nazionale dell’</w:t>
      </w:r>
      <w:r w:rsidRPr="00BA101B">
        <w:rPr>
          <w:rFonts w:ascii="Georgia" w:hAnsi="Georgia"/>
          <w:bCs/>
        </w:rPr>
        <w:t>origine e della qualità (</w:t>
      </w:r>
      <w:hyperlink r:id="rId11" w:history="1">
        <w:r w:rsidRPr="00BA101B">
          <w:rPr>
            <w:rStyle w:val="Collegamentoipertestuale"/>
            <w:rFonts w:ascii="Georgia" w:hAnsi="Georgia"/>
            <w:bCs/>
            <w:i/>
          </w:rPr>
          <w:t>Institut national de l’origine et de la qualité - INAO</w:t>
        </w:r>
      </w:hyperlink>
      <w:r w:rsidRPr="00BA101B">
        <w:rPr>
          <w:rFonts w:ascii="Georgia" w:hAnsi="Georgia"/>
          <w:bCs/>
        </w:rPr>
        <w:t>).</w:t>
      </w:r>
    </w:p>
    <w:p w:rsidR="000F038A" w:rsidRPr="00BA101B" w:rsidRDefault="000F038A" w:rsidP="000F038A">
      <w:pPr>
        <w:spacing w:after="120"/>
        <w:ind w:firstLine="357"/>
        <w:jc w:val="both"/>
        <w:rPr>
          <w:rFonts w:ascii="Georgia" w:hAnsi="Georgia"/>
          <w:bCs/>
        </w:rPr>
      </w:pPr>
      <w:r w:rsidRPr="00BA101B">
        <w:rPr>
          <w:rFonts w:ascii="Georgia" w:hAnsi="Georgia"/>
          <w:bCs/>
        </w:rPr>
        <w:t xml:space="preserve">Il </w:t>
      </w:r>
      <w:r w:rsidRPr="00BA101B">
        <w:rPr>
          <w:rFonts w:ascii="Georgia" w:hAnsi="Georgia"/>
          <w:b/>
          <w:bCs/>
        </w:rPr>
        <w:t>marchio AB</w:t>
      </w:r>
      <w:r w:rsidRPr="00BA101B">
        <w:rPr>
          <w:rFonts w:ascii="Georgia" w:hAnsi="Georgia"/>
          <w:bCs/>
        </w:rPr>
        <w:t xml:space="preserve"> (Agricoltura biologica) è </w:t>
      </w:r>
      <w:r w:rsidR="00974A8B" w:rsidRPr="00BA101B">
        <w:rPr>
          <w:rFonts w:ascii="Georgia" w:hAnsi="Georgia"/>
          <w:bCs/>
        </w:rPr>
        <w:t>di proprietà del Ministero dell’</w:t>
      </w:r>
      <w:r w:rsidRPr="00BA101B">
        <w:rPr>
          <w:rFonts w:ascii="Georgia" w:hAnsi="Georgia"/>
          <w:bCs/>
        </w:rPr>
        <w:t xml:space="preserve">Agricoltura </w:t>
      </w:r>
      <w:r w:rsidR="00974A8B" w:rsidRPr="00BA101B">
        <w:rPr>
          <w:rFonts w:ascii="Georgia" w:hAnsi="Georgia"/>
          <w:bCs/>
        </w:rPr>
        <w:t>e dell’</w:t>
      </w:r>
      <w:r w:rsidRPr="00BA101B">
        <w:rPr>
          <w:rFonts w:ascii="Georgia" w:hAnsi="Georgia"/>
          <w:bCs/>
        </w:rPr>
        <w:t xml:space="preserve">Alimentazione. Utilizzato a fini di certificazione, permette, come il logo bio europeo, di identificare </w:t>
      </w:r>
      <w:r w:rsidRPr="00BA101B">
        <w:rPr>
          <w:rFonts w:ascii="Georgia" w:hAnsi="Georgia"/>
          <w:b/>
          <w:bCs/>
        </w:rPr>
        <w:t>prodotti 100% biologici o contenenti almeno 95% di prodotti agricoli biologici nel caso di prodotti trasformati</w:t>
      </w:r>
      <w:r w:rsidRPr="00BA101B">
        <w:rPr>
          <w:rFonts w:ascii="Georgia" w:hAnsi="Georgia"/>
          <w:bCs/>
        </w:rPr>
        <w:t xml:space="preserve">. Il logo AB può essere utilizzato a titolo facoltativo, in aggiunta al logo europeo. </w:t>
      </w:r>
    </w:p>
    <w:p w:rsidR="000F038A" w:rsidRPr="00BA101B" w:rsidRDefault="001445CC" w:rsidP="000F038A">
      <w:pPr>
        <w:spacing w:after="120"/>
        <w:ind w:firstLine="357"/>
        <w:jc w:val="both"/>
        <w:rPr>
          <w:rFonts w:ascii="Georgia" w:hAnsi="Georgia"/>
          <w:bCs/>
        </w:rPr>
      </w:pPr>
      <w:r w:rsidRPr="00BA101B">
        <w:rPr>
          <w:rFonts w:ascii="Georgia" w:hAnsi="Georgia"/>
          <w:bCs/>
        </w:rPr>
        <w:t>I</w:t>
      </w:r>
      <w:r w:rsidR="000F038A" w:rsidRPr="00BA101B">
        <w:rPr>
          <w:rFonts w:ascii="Georgia" w:hAnsi="Georgia"/>
          <w:bCs/>
        </w:rPr>
        <w:t>n base alle statistiche dell’</w:t>
      </w:r>
      <w:r w:rsidR="000F038A" w:rsidRPr="00BA101B">
        <w:rPr>
          <w:rFonts w:ascii="Georgia" w:hAnsi="Georgia"/>
          <w:bCs/>
          <w:i/>
        </w:rPr>
        <w:t>I</w:t>
      </w:r>
      <w:r w:rsidRPr="00BA101B">
        <w:rPr>
          <w:rFonts w:ascii="Georgia" w:hAnsi="Georgia"/>
          <w:bCs/>
          <w:i/>
        </w:rPr>
        <w:t>NAO</w:t>
      </w:r>
      <w:r w:rsidR="000F038A" w:rsidRPr="00BA101B">
        <w:rPr>
          <w:rFonts w:ascii="Georgia" w:hAnsi="Georgia"/>
          <w:bCs/>
        </w:rPr>
        <w:t xml:space="preserve"> </w:t>
      </w:r>
      <w:r w:rsidRPr="00BA101B">
        <w:rPr>
          <w:rFonts w:ascii="Georgia" w:hAnsi="Georgia"/>
          <w:bCs/>
        </w:rPr>
        <w:t>(</w:t>
      </w:r>
      <w:r w:rsidRPr="00BA101B">
        <w:rPr>
          <w:rFonts w:ascii="Georgia" w:hAnsi="Georgia"/>
          <w:bCs/>
          <w:i/>
        </w:rPr>
        <w:t>Institut national de l’origine e de la qualité</w:t>
      </w:r>
      <w:r w:rsidRPr="00BA101B">
        <w:rPr>
          <w:rFonts w:ascii="Georgia" w:hAnsi="Georgia"/>
          <w:bCs/>
        </w:rPr>
        <w:t>), nel 2019</w:t>
      </w:r>
      <w:r w:rsidRPr="00BA101B">
        <w:rPr>
          <w:rFonts w:ascii="Georgia" w:hAnsi="Georgia"/>
          <w:bCs/>
          <w:i/>
        </w:rPr>
        <w:t xml:space="preserve"> </w:t>
      </w:r>
      <w:r w:rsidR="000F038A" w:rsidRPr="00BA101B">
        <w:rPr>
          <w:rFonts w:ascii="Georgia" w:hAnsi="Georgia"/>
          <w:bCs/>
        </w:rPr>
        <w:t xml:space="preserve">risultano impegnati nella </w:t>
      </w:r>
      <w:r w:rsidR="00974A8B" w:rsidRPr="00BA101B">
        <w:rPr>
          <w:rFonts w:ascii="Georgia" w:hAnsi="Georgia"/>
          <w:bCs/>
        </w:rPr>
        <w:t xml:space="preserve">produzione biologica </w:t>
      </w:r>
      <w:r w:rsidRPr="00BA101B">
        <w:rPr>
          <w:rFonts w:ascii="Georgia" w:hAnsi="Georgia"/>
          <w:bCs/>
        </w:rPr>
        <w:t xml:space="preserve">2,3 milioni di ettari </w:t>
      </w:r>
      <w:r w:rsidR="00974A8B" w:rsidRPr="00BA101B">
        <w:rPr>
          <w:rFonts w:ascii="Georgia" w:hAnsi="Georgia"/>
          <w:bCs/>
        </w:rPr>
        <w:t>(ovvero l’</w:t>
      </w:r>
      <w:r w:rsidR="000F038A" w:rsidRPr="00BA101B">
        <w:rPr>
          <w:rFonts w:ascii="Georgia" w:hAnsi="Georgia"/>
          <w:bCs/>
        </w:rPr>
        <w:t>8,5% del territ</w:t>
      </w:r>
      <w:r w:rsidR="00F452F0" w:rsidRPr="00BA101B">
        <w:rPr>
          <w:rFonts w:ascii="Georgia" w:hAnsi="Georgia"/>
          <w:bCs/>
        </w:rPr>
        <w:t xml:space="preserve">orio agricolo francese); 70.322 </w:t>
      </w:r>
      <w:r w:rsidR="000F038A" w:rsidRPr="00BA101B">
        <w:rPr>
          <w:rFonts w:ascii="Georgia" w:hAnsi="Georgia"/>
          <w:bCs/>
        </w:rPr>
        <w:t>o</w:t>
      </w:r>
      <w:r w:rsidR="0083542E" w:rsidRPr="00BA101B">
        <w:rPr>
          <w:rFonts w:ascii="Georgia" w:hAnsi="Georgia"/>
          <w:bCs/>
        </w:rPr>
        <w:t xml:space="preserve">peratori certificati; </w:t>
      </w:r>
      <w:r w:rsidR="000F038A" w:rsidRPr="00BA101B">
        <w:rPr>
          <w:rFonts w:ascii="Georgia" w:hAnsi="Georgia"/>
          <w:bCs/>
        </w:rPr>
        <w:t>47.196</w:t>
      </w:r>
      <w:r w:rsidR="0083542E" w:rsidRPr="00BA101B">
        <w:rPr>
          <w:rFonts w:ascii="Georgia" w:hAnsi="Georgia"/>
          <w:bCs/>
        </w:rPr>
        <w:t xml:space="preserve"> </w:t>
      </w:r>
      <w:r w:rsidR="000F038A" w:rsidRPr="00BA101B">
        <w:rPr>
          <w:rFonts w:ascii="Georgia" w:hAnsi="Georgia"/>
          <w:bCs/>
        </w:rPr>
        <w:t>produttori (poco più del 10% delle aziende francesi); 19.311 trasformatori; 8.813 distributori; 662 importatori.</w:t>
      </w:r>
    </w:p>
    <w:p w:rsidR="000F038A" w:rsidRPr="00BA101B" w:rsidRDefault="000F038A" w:rsidP="000F038A">
      <w:pPr>
        <w:spacing w:after="120"/>
        <w:ind w:firstLine="357"/>
        <w:jc w:val="both"/>
        <w:rPr>
          <w:rFonts w:ascii="Georgia" w:hAnsi="Georgia"/>
          <w:bCs/>
        </w:rPr>
      </w:pPr>
      <w:r w:rsidRPr="00BA101B">
        <w:rPr>
          <w:rFonts w:ascii="Georgia" w:hAnsi="Georgia"/>
          <w:bCs/>
        </w:rPr>
        <w:t>In attuazione della normativa europea sono stati inoltre adottati i seguenti provvedimenti concernenti l’agricoltura biologica:</w:t>
      </w:r>
    </w:p>
    <w:p w:rsidR="000F038A" w:rsidRPr="00BA101B" w:rsidRDefault="00A006E4" w:rsidP="000F038A">
      <w:pPr>
        <w:numPr>
          <w:ilvl w:val="0"/>
          <w:numId w:val="27"/>
        </w:numPr>
        <w:spacing w:after="120"/>
        <w:ind w:left="0" w:firstLine="357"/>
        <w:jc w:val="both"/>
        <w:rPr>
          <w:rFonts w:ascii="Georgia" w:hAnsi="Georgia"/>
          <w:bCs/>
          <w:i/>
        </w:rPr>
      </w:pPr>
      <w:hyperlink r:id="rId12" w:tgtFrame="_self" w:history="1">
        <w:r w:rsidR="000F038A" w:rsidRPr="00BA101B">
          <w:rPr>
            <w:rStyle w:val="Collegamentoipertestuale"/>
            <w:rFonts w:ascii="Georgia" w:hAnsi="Georgia"/>
            <w:bCs/>
            <w:i/>
          </w:rPr>
          <w:t>Cahier des charges concernant le mode de production biologique d'animaux d'élevage et complétant les dispositions des règlements (CE) n° 834/2007 du Conseil et (CE) n° 889/2008 de la Commission</w:t>
        </w:r>
      </w:hyperlink>
    </w:p>
    <w:p w:rsidR="000F038A" w:rsidRPr="00BA101B" w:rsidRDefault="00A006E4" w:rsidP="000F038A">
      <w:pPr>
        <w:numPr>
          <w:ilvl w:val="0"/>
          <w:numId w:val="27"/>
        </w:numPr>
        <w:spacing w:after="120"/>
        <w:ind w:left="0" w:firstLine="357"/>
        <w:jc w:val="both"/>
        <w:rPr>
          <w:rFonts w:ascii="Georgia" w:hAnsi="Georgia"/>
          <w:bCs/>
          <w:i/>
        </w:rPr>
      </w:pPr>
      <w:hyperlink r:id="rId13" w:tgtFrame="_self" w:history="1">
        <w:r w:rsidR="000F038A" w:rsidRPr="00BA101B">
          <w:rPr>
            <w:rStyle w:val="Collegamentoipertestuale"/>
            <w:rFonts w:ascii="Georgia" w:hAnsi="Georgia"/>
            <w:bCs/>
            <w:i/>
          </w:rPr>
          <w:t>Cahier des charges "aliments pour animaux de compagnie à base de matières premières issues du mode de production biologique"</w:t>
        </w:r>
      </w:hyperlink>
    </w:p>
    <w:p w:rsidR="000F038A" w:rsidRPr="00BA101B" w:rsidRDefault="00A006E4" w:rsidP="000F038A">
      <w:pPr>
        <w:numPr>
          <w:ilvl w:val="0"/>
          <w:numId w:val="27"/>
        </w:numPr>
        <w:spacing w:after="120"/>
        <w:ind w:left="0" w:firstLine="357"/>
        <w:jc w:val="both"/>
        <w:rPr>
          <w:rFonts w:ascii="Georgia" w:hAnsi="Georgia"/>
          <w:bCs/>
        </w:rPr>
      </w:pPr>
      <w:hyperlink r:id="rId14" w:tgtFrame="_self" w:history="1">
        <w:r w:rsidR="000F038A" w:rsidRPr="00BA101B">
          <w:rPr>
            <w:rStyle w:val="Collegamentoipertestuale"/>
            <w:rFonts w:ascii="Georgia" w:hAnsi="Georgia"/>
            <w:bCs/>
            <w:i/>
          </w:rPr>
          <w:t>Cahier des charges pour la restauration hors foyer à caractère commercial (version en vigueur à partir du 1er janvier 2020)</w:t>
        </w:r>
      </w:hyperlink>
      <w:r w:rsidR="000F038A" w:rsidRPr="00BA101B">
        <w:rPr>
          <w:rFonts w:ascii="Georgia" w:hAnsi="Georgia"/>
          <w:bCs/>
        </w:rPr>
        <w:t>.</w:t>
      </w:r>
    </w:p>
    <w:p w:rsidR="000F038A" w:rsidRPr="00BA101B" w:rsidRDefault="000F038A" w:rsidP="000F038A">
      <w:pPr>
        <w:spacing w:after="120"/>
        <w:ind w:firstLine="357"/>
        <w:jc w:val="both"/>
        <w:rPr>
          <w:rFonts w:ascii="Georgia" w:hAnsi="Georgia"/>
          <w:bCs/>
        </w:rPr>
      </w:pPr>
      <w:r w:rsidRPr="00BA101B">
        <w:rPr>
          <w:rFonts w:ascii="Georgia" w:hAnsi="Georgia"/>
          <w:bCs/>
        </w:rPr>
        <w:t>Va precisato che</w:t>
      </w:r>
      <w:r w:rsidRPr="00BA101B">
        <w:rPr>
          <w:rFonts w:ascii="Georgia" w:hAnsi="Georgia"/>
          <w:b/>
          <w:bCs/>
        </w:rPr>
        <w:t xml:space="preserve"> in nessuno di tale provvedimenti si fa riferimento all’agricoltura biodinamica</w:t>
      </w:r>
      <w:r w:rsidRPr="00BA101B">
        <w:rPr>
          <w:rFonts w:ascii="Georgia" w:hAnsi="Georgia"/>
          <w:bCs/>
        </w:rPr>
        <w:t>.</w:t>
      </w:r>
    </w:p>
    <w:p w:rsidR="000F038A" w:rsidRPr="00BA101B" w:rsidRDefault="000F038A" w:rsidP="000F038A">
      <w:pPr>
        <w:spacing w:after="120"/>
        <w:ind w:firstLine="357"/>
        <w:jc w:val="both"/>
        <w:rPr>
          <w:rFonts w:ascii="Georgia" w:hAnsi="Georgia"/>
          <w:bCs/>
        </w:rPr>
      </w:pPr>
      <w:r w:rsidRPr="00BA101B">
        <w:rPr>
          <w:rFonts w:ascii="Georgia" w:hAnsi="Georgia"/>
          <w:bCs/>
        </w:rPr>
        <w:t xml:space="preserve">Occorre infine ricordare che lo Stato francese ha istituito un </w:t>
      </w:r>
      <w:hyperlink r:id="rId15" w:history="1">
        <w:r w:rsidR="001445CC" w:rsidRPr="00BA101B">
          <w:rPr>
            <w:rStyle w:val="Collegamentoipertestuale"/>
            <w:rFonts w:ascii="Georgia" w:hAnsi="Georgia"/>
            <w:b/>
            <w:bCs/>
          </w:rPr>
          <w:t>credito d’</w:t>
        </w:r>
        <w:r w:rsidR="00775DF9" w:rsidRPr="00BA101B">
          <w:rPr>
            <w:rStyle w:val="Collegamentoipertestuale"/>
            <w:rFonts w:ascii="Georgia" w:hAnsi="Georgia"/>
            <w:b/>
            <w:bCs/>
          </w:rPr>
          <w:t xml:space="preserve">imposta </w:t>
        </w:r>
        <w:r w:rsidRPr="00BA101B">
          <w:rPr>
            <w:rStyle w:val="Collegamentoipertestuale"/>
            <w:rFonts w:ascii="Georgia" w:hAnsi="Georgia"/>
            <w:b/>
            <w:bCs/>
          </w:rPr>
          <w:t>per agricoltori biologici</w:t>
        </w:r>
      </w:hyperlink>
      <w:r w:rsidRPr="00BA101B">
        <w:rPr>
          <w:rFonts w:ascii="Georgia" w:hAnsi="Georgia"/>
          <w:bCs/>
        </w:rPr>
        <w:t xml:space="preserve"> fin dal 2006, rinnovato nel mese di dicembre 2020 per gli esercizi 2021 e 2022. </w:t>
      </w:r>
      <w:r w:rsidR="00974A8B" w:rsidRPr="00BA101B">
        <w:rPr>
          <w:rFonts w:ascii="Georgia" w:hAnsi="Georgia"/>
          <w:bCs/>
        </w:rPr>
        <w:t>Si tratta di un aiuto forfe</w:t>
      </w:r>
      <w:r w:rsidRPr="00BA101B">
        <w:rPr>
          <w:rFonts w:ascii="Georgia" w:hAnsi="Georgia"/>
          <w:bCs/>
        </w:rPr>
        <w:t xml:space="preserve">tario di 3.500 euro. </w:t>
      </w:r>
      <w:r w:rsidR="00974A8B" w:rsidRPr="00BA101B">
        <w:rPr>
          <w:rFonts w:ascii="Georgia" w:hAnsi="Georgia"/>
          <w:bCs/>
        </w:rPr>
        <w:t>È</w:t>
      </w:r>
      <w:r w:rsidRPr="00BA101B">
        <w:rPr>
          <w:rFonts w:ascii="Georgia" w:hAnsi="Georgia"/>
          <w:bCs/>
        </w:rPr>
        <w:t xml:space="preserve"> possibile richiederlo in sede di dichiarazione dei redditi, anch</w:t>
      </w:r>
      <w:r w:rsidR="004E3088" w:rsidRPr="00BA101B">
        <w:rPr>
          <w:rFonts w:ascii="Georgia" w:hAnsi="Georgia"/>
          <w:bCs/>
        </w:rPr>
        <w:t xml:space="preserve">e se non si è soggetti passivi. </w:t>
      </w:r>
      <w:r w:rsidRPr="00BA101B">
        <w:rPr>
          <w:rFonts w:ascii="Georgia" w:hAnsi="Georgia"/>
          <w:bCs/>
        </w:rPr>
        <w:t xml:space="preserve">È necessario che il </w:t>
      </w:r>
      <w:r w:rsidR="001445CC" w:rsidRPr="00BA101B">
        <w:rPr>
          <w:rFonts w:ascii="Georgia" w:hAnsi="Georgia"/>
          <w:b/>
          <w:bCs/>
        </w:rPr>
        <w:t>40% del fatturato dell’</w:t>
      </w:r>
      <w:r w:rsidR="004E3088" w:rsidRPr="00BA101B">
        <w:rPr>
          <w:rFonts w:ascii="Georgia" w:hAnsi="Georgia"/>
          <w:b/>
          <w:bCs/>
        </w:rPr>
        <w:t xml:space="preserve">azienda derivi </w:t>
      </w:r>
      <w:r w:rsidRPr="00BA101B">
        <w:rPr>
          <w:rFonts w:ascii="Georgia" w:hAnsi="Georgia"/>
          <w:b/>
          <w:bCs/>
        </w:rPr>
        <w:t>da attività che sono state oggetto di certificazione in agricoltura biologica</w:t>
      </w:r>
      <w:r w:rsidR="004E3088" w:rsidRPr="00BA101B">
        <w:rPr>
          <w:rFonts w:ascii="Georgia" w:hAnsi="Georgia"/>
          <w:b/>
          <w:bCs/>
        </w:rPr>
        <w:t xml:space="preserve"> </w:t>
      </w:r>
      <w:r w:rsidR="00974A8B" w:rsidRPr="00BA101B">
        <w:rPr>
          <w:rFonts w:ascii="Georgia" w:hAnsi="Georgia"/>
          <w:bCs/>
        </w:rPr>
        <w:t>e che la somma dell’</w:t>
      </w:r>
      <w:r w:rsidRPr="00BA101B">
        <w:rPr>
          <w:rFonts w:ascii="Georgia" w:hAnsi="Georgia"/>
          <w:bCs/>
        </w:rPr>
        <w:t>aiuto alla conversione o al manteni</w:t>
      </w:r>
      <w:r w:rsidR="001445CC" w:rsidRPr="00BA101B">
        <w:rPr>
          <w:rFonts w:ascii="Georgia" w:hAnsi="Georgia"/>
          <w:bCs/>
        </w:rPr>
        <w:t>mento biologico e del credito d’</w:t>
      </w:r>
      <w:r w:rsidRPr="00BA101B">
        <w:rPr>
          <w:rFonts w:ascii="Georgia" w:hAnsi="Georgia"/>
          <w:bCs/>
        </w:rPr>
        <w:t>imposta non superi i 4.000 euro</w:t>
      </w:r>
      <w:r w:rsidR="00974A8B" w:rsidRPr="00BA101B">
        <w:rPr>
          <w:rFonts w:ascii="Georgia" w:hAnsi="Georgia"/>
          <w:bCs/>
        </w:rPr>
        <w:t xml:space="preserve"> </w:t>
      </w:r>
      <w:r w:rsidRPr="00BA101B">
        <w:rPr>
          <w:rFonts w:ascii="Georgia" w:hAnsi="Georgia"/>
          <w:bCs/>
        </w:rPr>
        <w:t>(</w:t>
      </w:r>
      <w:hyperlink r:id="rId16" w:history="1">
        <w:r w:rsidRPr="00BA101B">
          <w:rPr>
            <w:rStyle w:val="Collegamentoipertestuale"/>
            <w:rFonts w:ascii="Georgia" w:hAnsi="Georgia"/>
            <w:bCs/>
          </w:rPr>
          <w:t>articolo 244 quater L Code général des impôts</w:t>
        </w:r>
      </w:hyperlink>
      <w:r w:rsidR="00F30CB4" w:rsidRPr="00BA101B">
        <w:rPr>
          <w:rFonts w:ascii="Georgia" w:hAnsi="Georgia"/>
          <w:bCs/>
        </w:rPr>
        <w:t>). Il credito d’</w:t>
      </w:r>
      <w:r w:rsidRPr="00BA101B">
        <w:rPr>
          <w:rFonts w:ascii="Georgia" w:hAnsi="Georgia"/>
          <w:bCs/>
        </w:rPr>
        <w:t>i</w:t>
      </w:r>
      <w:r w:rsidR="00974A8B" w:rsidRPr="00BA101B">
        <w:rPr>
          <w:rFonts w:ascii="Georgia" w:hAnsi="Georgia"/>
          <w:bCs/>
        </w:rPr>
        <w:t>mposta è un cosiddetto</w:t>
      </w:r>
      <w:r w:rsidR="004E3088" w:rsidRPr="00BA101B">
        <w:rPr>
          <w:rFonts w:ascii="Georgia" w:hAnsi="Georgia"/>
          <w:bCs/>
        </w:rPr>
        <w:t xml:space="preserve"> aiuto </w:t>
      </w:r>
      <w:r w:rsidR="00974A8B" w:rsidRPr="00BA101B">
        <w:rPr>
          <w:rFonts w:ascii="Georgia" w:hAnsi="Georgia"/>
          <w:bCs/>
        </w:rPr>
        <w:t>“</w:t>
      </w:r>
      <w:r w:rsidR="00974A8B" w:rsidRPr="00BA101B">
        <w:rPr>
          <w:rFonts w:ascii="Georgia" w:hAnsi="Georgia"/>
          <w:bCs/>
          <w:i/>
          <w:iCs/>
        </w:rPr>
        <w:t>de minimis</w:t>
      </w:r>
      <w:r w:rsidR="00974A8B" w:rsidRPr="00BA101B">
        <w:rPr>
          <w:rFonts w:ascii="Georgia" w:hAnsi="Georgia"/>
          <w:bCs/>
          <w:iCs/>
        </w:rPr>
        <w:t>”</w:t>
      </w:r>
      <w:r w:rsidRPr="00BA101B">
        <w:rPr>
          <w:rFonts w:ascii="Georgia" w:hAnsi="Georgia"/>
          <w:bCs/>
        </w:rPr>
        <w:t>, cioè un aiuto pubblico nazionale che interviene in maniera aggiuntiva rispetto agli aiuti europei.</w:t>
      </w:r>
      <w:r w:rsidR="004E3088" w:rsidRPr="00BA101B">
        <w:rPr>
          <w:rFonts w:ascii="Georgia" w:hAnsi="Georgia"/>
          <w:bCs/>
        </w:rPr>
        <w:t xml:space="preserve"> </w:t>
      </w:r>
      <w:r w:rsidR="00F30CB4" w:rsidRPr="00BA101B">
        <w:rPr>
          <w:rFonts w:ascii="Georgia" w:hAnsi="Georgia"/>
          <w:bCs/>
        </w:rPr>
        <w:t>Gli aiuti</w:t>
      </w:r>
      <w:r w:rsidRPr="00BA101B">
        <w:rPr>
          <w:rFonts w:ascii="Georgia" w:hAnsi="Georgia"/>
          <w:bCs/>
        </w:rPr>
        <w:t> “</w:t>
      </w:r>
      <w:r w:rsidRPr="00BA101B">
        <w:rPr>
          <w:rFonts w:ascii="Georgia" w:hAnsi="Georgia"/>
          <w:bCs/>
          <w:i/>
          <w:iCs/>
        </w:rPr>
        <w:t>de minimis</w:t>
      </w:r>
      <w:r w:rsidRPr="00BA101B">
        <w:rPr>
          <w:rFonts w:ascii="Georgia" w:hAnsi="Georgia"/>
          <w:bCs/>
        </w:rPr>
        <w:t>” hanno un</w:t>
      </w:r>
      <w:r w:rsidR="004E3088" w:rsidRPr="00BA101B">
        <w:rPr>
          <w:rFonts w:ascii="Georgia" w:hAnsi="Georgia"/>
          <w:bCs/>
        </w:rPr>
        <w:t xml:space="preserve"> tetto </w:t>
      </w:r>
      <w:r w:rsidRPr="00BA101B">
        <w:rPr>
          <w:rFonts w:ascii="Georgia" w:hAnsi="Georgia"/>
          <w:bCs/>
        </w:rPr>
        <w:t>massimo di € 20.000 in 3 anni consecutivi.</w:t>
      </w:r>
    </w:p>
    <w:p w:rsidR="00880D33" w:rsidRPr="00BA101B" w:rsidRDefault="00880D33" w:rsidP="000F038A">
      <w:pPr>
        <w:spacing w:after="120"/>
        <w:ind w:firstLine="357"/>
        <w:jc w:val="both"/>
        <w:rPr>
          <w:rFonts w:ascii="Georgia" w:hAnsi="Georgia"/>
        </w:rPr>
      </w:pPr>
    </w:p>
    <w:p w:rsidR="000F038A" w:rsidRPr="00BA101B" w:rsidRDefault="009B7875" w:rsidP="000F038A">
      <w:pPr>
        <w:spacing w:after="120"/>
        <w:ind w:firstLine="357"/>
        <w:jc w:val="both"/>
        <w:rPr>
          <w:rFonts w:ascii="Georgia" w:hAnsi="Georgia"/>
        </w:rPr>
      </w:pPr>
      <w:r w:rsidRPr="00BA101B">
        <w:rPr>
          <w:rFonts w:ascii="Georgia" w:hAnsi="Georgia"/>
        </w:rPr>
        <w:t xml:space="preserve">In </w:t>
      </w:r>
      <w:r w:rsidRPr="00BA101B">
        <w:rPr>
          <w:rFonts w:ascii="Georgia" w:hAnsi="Georgia"/>
          <w:b/>
        </w:rPr>
        <w:t>Germania</w:t>
      </w:r>
      <w:r w:rsidRPr="00BA101B">
        <w:rPr>
          <w:rFonts w:ascii="Georgia" w:hAnsi="Georgia"/>
        </w:rPr>
        <w:t xml:space="preserve"> </w:t>
      </w:r>
      <w:r w:rsidR="000F038A" w:rsidRPr="00BA101B">
        <w:rPr>
          <w:rFonts w:ascii="Georgia" w:hAnsi="Georgia"/>
        </w:rPr>
        <w:t>la</w:t>
      </w:r>
      <w:r w:rsidR="004E3088" w:rsidRPr="00BA101B">
        <w:rPr>
          <w:rFonts w:ascii="Georgia" w:hAnsi="Georgia"/>
        </w:rPr>
        <w:t xml:space="preserve"> </w:t>
      </w:r>
      <w:r w:rsidR="000F038A" w:rsidRPr="00BA101B">
        <w:rPr>
          <w:rFonts w:ascii="Georgia" w:hAnsi="Georgia"/>
          <w:b/>
          <w:bCs/>
        </w:rPr>
        <w:t>Legge sull’agricoltura biologica</w:t>
      </w:r>
      <w:r w:rsidR="004E3088" w:rsidRPr="00BA101B">
        <w:rPr>
          <w:rFonts w:ascii="Georgia" w:hAnsi="Georgia"/>
          <w:b/>
          <w:bCs/>
        </w:rPr>
        <w:t xml:space="preserve"> </w:t>
      </w:r>
      <w:r w:rsidR="000F038A" w:rsidRPr="00BA101B">
        <w:rPr>
          <w:rFonts w:ascii="Georgia" w:hAnsi="Georgia"/>
        </w:rPr>
        <w:t>(</w:t>
      </w:r>
      <w:hyperlink r:id="rId17" w:tgtFrame="_blank" w:history="1">
        <w:r w:rsidR="000F038A" w:rsidRPr="00BA101B">
          <w:rPr>
            <w:rStyle w:val="Collegamentoipertestuale"/>
            <w:rFonts w:ascii="Georgia" w:hAnsi="Georgia"/>
            <w:i/>
            <w:iCs/>
          </w:rPr>
          <w:t>Öko-Landbaugesetz</w:t>
        </w:r>
        <w:r w:rsidR="004E3088" w:rsidRPr="00BA101B">
          <w:rPr>
            <w:rStyle w:val="Collegamentoipertestuale"/>
            <w:rFonts w:ascii="Georgia" w:hAnsi="Georgia"/>
            <w:i/>
            <w:iCs/>
          </w:rPr>
          <w:t xml:space="preserve"> </w:t>
        </w:r>
        <w:r w:rsidR="004E3088" w:rsidRPr="00BA101B">
          <w:rPr>
            <w:rStyle w:val="Collegamentoipertestuale"/>
            <w:rFonts w:ascii="Georgia" w:hAnsi="Georgia"/>
          </w:rPr>
          <w:t>-</w:t>
        </w:r>
        <w:r w:rsidR="000F038A" w:rsidRPr="00BA101B">
          <w:rPr>
            <w:rStyle w:val="Collegamentoipertestuale"/>
            <w:rFonts w:ascii="Georgia" w:hAnsi="Georgia"/>
            <w:i/>
            <w:iCs/>
          </w:rPr>
          <w:t>ÖLG</w:t>
        </w:r>
      </w:hyperlink>
      <w:r w:rsidR="004E3088" w:rsidRPr="00BA101B">
        <w:rPr>
          <w:rFonts w:ascii="Georgia" w:hAnsi="Georgia"/>
        </w:rPr>
        <w:t xml:space="preserve"> del </w:t>
      </w:r>
      <w:r w:rsidR="000F038A" w:rsidRPr="00BA101B">
        <w:rPr>
          <w:rFonts w:ascii="Georgia" w:hAnsi="Georgia"/>
        </w:rPr>
        <w:t xml:space="preserve">7 dicembre 2008) è stata emanata per garantire l’esecuzione delle disposizioni comunitarie in materia di agricoltura biologica contenute, in particolare, nel </w:t>
      </w:r>
      <w:r w:rsidR="004E3088" w:rsidRPr="00BA101B">
        <w:rPr>
          <w:rFonts w:ascii="Georgia" w:hAnsi="Georgia"/>
        </w:rPr>
        <w:t xml:space="preserve">“Regolamento UE n. 834/2007 del </w:t>
      </w:r>
      <w:r w:rsidR="000F038A" w:rsidRPr="00BA101B">
        <w:rPr>
          <w:rFonts w:ascii="Georgia" w:hAnsi="Georgia"/>
        </w:rPr>
        <w:t>28 giugno 2007, relativo alla produzione biologica e all’etichettatura dei prodotti biologici e che abroga il regolamento (CEE) n. 2092/91”. Con tale provvedimento (§ 4</w:t>
      </w:r>
      <w:bookmarkStart w:id="1" w:name="_Hlk74070058"/>
      <w:bookmarkEnd w:id="1"/>
      <w:r w:rsidR="004E3088" w:rsidRPr="00BA101B">
        <w:rPr>
          <w:rFonts w:ascii="Georgia" w:hAnsi="Georgia"/>
        </w:rPr>
        <w:t xml:space="preserve"> </w:t>
      </w:r>
      <w:r w:rsidR="000F038A" w:rsidRPr="00BA101B">
        <w:rPr>
          <w:rFonts w:ascii="Georgia" w:hAnsi="Georgia"/>
        </w:rPr>
        <w:t>ÖLG) è stata introdotta una procedura a livello nazionale per l’</w:t>
      </w:r>
      <w:r w:rsidR="000F038A" w:rsidRPr="00BA101B">
        <w:rPr>
          <w:rFonts w:ascii="Georgia" w:hAnsi="Georgia"/>
          <w:b/>
          <w:bCs/>
        </w:rPr>
        <w:t>accreditamento degli organismi di controllo per la verifica della qualità biologica</w:t>
      </w:r>
      <w:r w:rsidR="000F038A" w:rsidRPr="00BA101B">
        <w:rPr>
          <w:rFonts w:ascii="Georgia" w:hAnsi="Georgia"/>
        </w:rPr>
        <w:t>. Sono inoltre previste</w:t>
      </w:r>
      <w:r w:rsidR="004E3088" w:rsidRPr="00BA101B">
        <w:rPr>
          <w:rFonts w:ascii="Georgia" w:hAnsi="Georgia"/>
        </w:rPr>
        <w:t xml:space="preserve"> specifiche </w:t>
      </w:r>
      <w:r w:rsidR="000F038A" w:rsidRPr="00BA101B">
        <w:rPr>
          <w:rFonts w:ascii="Georgia" w:hAnsi="Georgia"/>
          <w:b/>
          <w:bCs/>
        </w:rPr>
        <w:t>sanzioni</w:t>
      </w:r>
      <w:r w:rsidR="004E3088" w:rsidRPr="00BA101B">
        <w:rPr>
          <w:rFonts w:ascii="Georgia" w:hAnsi="Georgia"/>
          <w:b/>
          <w:bCs/>
        </w:rPr>
        <w:t xml:space="preserve"> </w:t>
      </w:r>
      <w:r w:rsidR="000F038A" w:rsidRPr="00BA101B">
        <w:rPr>
          <w:rFonts w:ascii="Georgia" w:hAnsi="Georgia"/>
        </w:rPr>
        <w:t xml:space="preserve">in caso di violazione delle norme europee per l’agricoltura biologica. </w:t>
      </w:r>
      <w:r w:rsidR="004E3088" w:rsidRPr="00BA101B">
        <w:rPr>
          <w:rFonts w:ascii="Georgia" w:hAnsi="Georgia"/>
        </w:rPr>
        <w:t>Il</w:t>
      </w:r>
      <w:r w:rsidR="000F038A" w:rsidRPr="00BA101B">
        <w:rPr>
          <w:rFonts w:ascii="Georgia" w:hAnsi="Georgia"/>
        </w:rPr>
        <w:t xml:space="preserve"> § 12, comma 1, ÖLG stabilisce una pena detentiva della durata massima di un anno o una sanzione pecuniaria. Nelle fattispecie di infrazione o irregolarità elencate nel</w:t>
      </w:r>
      <w:r w:rsidR="004E3088" w:rsidRPr="00BA101B">
        <w:rPr>
          <w:rFonts w:ascii="Georgia" w:hAnsi="Georgia"/>
        </w:rPr>
        <w:t xml:space="preserve"> successivo</w:t>
      </w:r>
      <w:r w:rsidR="000F038A" w:rsidRPr="00BA101B">
        <w:rPr>
          <w:rFonts w:ascii="Georgia" w:hAnsi="Georgia"/>
        </w:rPr>
        <w:t xml:space="preserve"> § 13 ÖLG può essere comminata una pena pecuniaria che può arrivare, a seconda dei casi, fino a 20.000 e a 30.000 euro.</w:t>
      </w:r>
    </w:p>
    <w:p w:rsidR="000F038A" w:rsidRPr="00BA101B" w:rsidRDefault="000F038A" w:rsidP="000F038A">
      <w:pPr>
        <w:spacing w:after="120"/>
        <w:ind w:firstLine="357"/>
        <w:jc w:val="both"/>
        <w:rPr>
          <w:rFonts w:ascii="Georgia" w:hAnsi="Georgia"/>
        </w:rPr>
      </w:pPr>
      <w:r w:rsidRPr="00A006E4">
        <w:rPr>
          <w:rFonts w:ascii="Georgia" w:hAnsi="Georgia"/>
          <w:b/>
        </w:rPr>
        <w:t>Norme specifiche sull’agricoltura biodinamica o sui preparati biodinamici non sono contenute nella ÖLG o in altre fonti normative interne</w:t>
      </w:r>
      <w:r w:rsidRPr="00BA101B">
        <w:rPr>
          <w:rFonts w:ascii="Georgia" w:hAnsi="Georgia"/>
        </w:rPr>
        <w:t>, che devono comunque rispettare le disposizioni dei regolamenti europei. Il riferimento all’uso consentito dei c.d. “preparati biodinamici” (</w:t>
      </w:r>
      <w:r w:rsidRPr="00BA101B">
        <w:rPr>
          <w:rFonts w:ascii="Georgia" w:hAnsi="Georgia"/>
          <w:i/>
          <w:iCs/>
        </w:rPr>
        <w:t>biodynamische Zubereitungen</w:t>
      </w:r>
      <w:r w:rsidRPr="00BA101B">
        <w:rPr>
          <w:rFonts w:ascii="Georgia" w:hAnsi="Georgia"/>
        </w:rPr>
        <w:t>) di cui al § 12, comma 1, lettera c (Norme di produzione vegetale) del citato Regolamento UE n. 834/2007 è stato sostanzialmente mantenuto anche nel nuovo Regolamento UE n. 848/2018 del</w:t>
      </w:r>
      <w:r w:rsidR="004E3088" w:rsidRPr="00BA101B">
        <w:rPr>
          <w:rFonts w:ascii="Georgia" w:hAnsi="Georgia"/>
        </w:rPr>
        <w:t xml:space="preserve"> </w:t>
      </w:r>
      <w:r w:rsidRPr="00BA101B">
        <w:rPr>
          <w:rFonts w:ascii="Georgia" w:hAnsi="Georgia"/>
        </w:rPr>
        <w:t>30 maggio 2018, che ha anche disposto l’abrogazione del precedente regolamento. La data di decorrenza dell’applicazione del nuovo regolamento, inizialmente s</w:t>
      </w:r>
      <w:r w:rsidR="004E3088" w:rsidRPr="00BA101B">
        <w:rPr>
          <w:rFonts w:ascii="Georgia" w:hAnsi="Georgia"/>
        </w:rPr>
        <w:t xml:space="preserve">tabilita dall’art. 61 per il 1° </w:t>
      </w:r>
      <w:r w:rsidRPr="00BA101B">
        <w:rPr>
          <w:rFonts w:ascii="Georgia" w:hAnsi="Georgia"/>
        </w:rPr>
        <w:t>gennaio</w:t>
      </w:r>
      <w:r w:rsidR="004E3088" w:rsidRPr="00BA101B">
        <w:rPr>
          <w:rFonts w:ascii="Georgia" w:hAnsi="Georgia"/>
        </w:rPr>
        <w:t xml:space="preserve"> </w:t>
      </w:r>
      <w:r w:rsidRPr="00BA101B">
        <w:rPr>
          <w:rFonts w:ascii="Georgia" w:hAnsi="Georgia"/>
        </w:rPr>
        <w:t>2021</w:t>
      </w:r>
      <w:r w:rsidR="004E3088" w:rsidRPr="00BA101B">
        <w:rPr>
          <w:rFonts w:ascii="Georgia" w:hAnsi="Georgia"/>
        </w:rPr>
        <w:t xml:space="preserve"> </w:t>
      </w:r>
      <w:r w:rsidR="00633EA7" w:rsidRPr="00BA101B">
        <w:rPr>
          <w:rFonts w:ascii="Georgia" w:hAnsi="Georgia"/>
        </w:rPr>
        <w:t xml:space="preserve">al fine di </w:t>
      </w:r>
      <w:r w:rsidRPr="00BA101B">
        <w:rPr>
          <w:rFonts w:ascii="Georgia" w:hAnsi="Georgia"/>
        </w:rPr>
        <w:t>consentire agli operatori di adeguarsi ai nuovi requisiti, è stata spostata di un anno (</w:t>
      </w:r>
      <w:r w:rsidR="004E3088" w:rsidRPr="00BA101B">
        <w:rPr>
          <w:rFonts w:ascii="Georgia" w:hAnsi="Georgia"/>
          <w:b/>
          <w:bCs/>
        </w:rPr>
        <w:t xml:space="preserve">1° </w:t>
      </w:r>
      <w:r w:rsidRPr="00BA101B">
        <w:rPr>
          <w:rFonts w:ascii="Georgia" w:hAnsi="Georgia"/>
          <w:b/>
          <w:bCs/>
        </w:rPr>
        <w:t>gennaio</w:t>
      </w:r>
      <w:r w:rsidR="004E3088" w:rsidRPr="00BA101B">
        <w:rPr>
          <w:rFonts w:ascii="Georgia" w:hAnsi="Georgia"/>
          <w:b/>
          <w:bCs/>
        </w:rPr>
        <w:t xml:space="preserve"> </w:t>
      </w:r>
      <w:r w:rsidRPr="00BA101B">
        <w:rPr>
          <w:rFonts w:ascii="Georgia" w:hAnsi="Georgia"/>
          <w:b/>
          <w:bCs/>
        </w:rPr>
        <w:t>2022</w:t>
      </w:r>
      <w:r w:rsidRPr="00BA101B">
        <w:rPr>
          <w:rFonts w:ascii="Georgia" w:hAnsi="Georgia"/>
        </w:rPr>
        <w:t xml:space="preserve">) </w:t>
      </w:r>
      <w:r w:rsidR="00633EA7" w:rsidRPr="00BA101B">
        <w:rPr>
          <w:rFonts w:ascii="Georgia" w:hAnsi="Georgia"/>
        </w:rPr>
        <w:t xml:space="preserve">per le </w:t>
      </w:r>
      <w:r w:rsidRPr="00BA101B">
        <w:rPr>
          <w:rFonts w:ascii="Georgia" w:hAnsi="Georgia"/>
        </w:rPr>
        <w:t>difficoltà sopravvenute a causa della pandemia di Covid-19.</w:t>
      </w:r>
    </w:p>
    <w:p w:rsidR="000F038A" w:rsidRPr="00BA101B" w:rsidRDefault="000F038A" w:rsidP="000F038A">
      <w:pPr>
        <w:spacing w:after="120"/>
        <w:ind w:firstLine="357"/>
        <w:jc w:val="both"/>
        <w:rPr>
          <w:rFonts w:ascii="Georgia" w:hAnsi="Georgia"/>
        </w:rPr>
      </w:pPr>
      <w:r w:rsidRPr="00BA101B">
        <w:rPr>
          <w:rFonts w:ascii="Georgia" w:hAnsi="Georgia"/>
        </w:rPr>
        <w:t xml:space="preserve">Oltre alla definizione di “produzione biologica” e di “prodotto biologico” nell’art. 3 del nuovo regolamento </w:t>
      </w:r>
      <w:r w:rsidR="00F452F0" w:rsidRPr="00BA101B">
        <w:rPr>
          <w:rFonts w:ascii="Georgia" w:hAnsi="Georgia"/>
        </w:rPr>
        <w:t xml:space="preserve">europeo </w:t>
      </w:r>
      <w:r w:rsidRPr="00BA101B">
        <w:rPr>
          <w:rFonts w:ascii="Georgia" w:hAnsi="Georgia"/>
        </w:rPr>
        <w:t>compare anche la</w:t>
      </w:r>
      <w:r w:rsidR="00633EA7" w:rsidRPr="00BA101B">
        <w:rPr>
          <w:rFonts w:ascii="Georgia" w:hAnsi="Georgia"/>
        </w:rPr>
        <w:t xml:space="preserve"> </w:t>
      </w:r>
      <w:r w:rsidRPr="00BA101B">
        <w:rPr>
          <w:rFonts w:ascii="Georgia" w:hAnsi="Georgia"/>
          <w:b/>
          <w:bCs/>
        </w:rPr>
        <w:t>definizione di “preparati biodinamici”</w:t>
      </w:r>
      <w:r w:rsidR="00633EA7" w:rsidRPr="00BA101B">
        <w:rPr>
          <w:rFonts w:ascii="Georgia" w:hAnsi="Georgia"/>
        </w:rPr>
        <w:t xml:space="preserve"> </w:t>
      </w:r>
      <w:r w:rsidRPr="00BA101B">
        <w:rPr>
          <w:rFonts w:ascii="Georgia" w:hAnsi="Georgia"/>
        </w:rPr>
        <w:t>quali “miscele tradizionalmente utilizzate nell’agricoltura biodinamica”. Il riferimento all’uso consentito di tali preparati è ora contenuto al</w:t>
      </w:r>
      <w:r w:rsidR="00F452F0" w:rsidRPr="00BA101B">
        <w:rPr>
          <w:rFonts w:ascii="Georgia" w:hAnsi="Georgia"/>
        </w:rPr>
        <w:t xml:space="preserve"> </w:t>
      </w:r>
      <w:r w:rsidRPr="00BA101B">
        <w:rPr>
          <w:rFonts w:ascii="Georgia" w:hAnsi="Georgia"/>
          <w:b/>
          <w:bCs/>
        </w:rPr>
        <w:t>punto 1.9.9 dell’Allegato II</w:t>
      </w:r>
      <w:r w:rsidR="00633EA7" w:rsidRPr="00BA101B">
        <w:rPr>
          <w:rFonts w:ascii="Georgia" w:hAnsi="Georgia"/>
        </w:rPr>
        <w:t xml:space="preserve"> </w:t>
      </w:r>
      <w:r w:rsidRPr="00BA101B">
        <w:rPr>
          <w:rFonts w:ascii="Georgia" w:hAnsi="Georgia"/>
        </w:rPr>
        <w:t>nella Parte I relativa alle “Norme di produzione vegetale” cui fa rinvio l’art. 12 (rubricato come nel regolamento abrogato).</w:t>
      </w:r>
    </w:p>
    <w:p w:rsidR="000F038A" w:rsidRPr="00BA101B" w:rsidRDefault="000F038A" w:rsidP="000F038A">
      <w:pPr>
        <w:spacing w:after="120"/>
        <w:ind w:firstLine="357"/>
        <w:jc w:val="both"/>
        <w:rPr>
          <w:rFonts w:ascii="Georgia" w:hAnsi="Georgia"/>
        </w:rPr>
      </w:pPr>
      <w:r w:rsidRPr="00BA101B">
        <w:rPr>
          <w:rFonts w:ascii="Georgia" w:hAnsi="Georgia"/>
        </w:rPr>
        <w:t>In materia di</w:t>
      </w:r>
      <w:r w:rsidR="00633EA7" w:rsidRPr="00BA101B">
        <w:rPr>
          <w:rFonts w:ascii="Georgia" w:hAnsi="Georgia"/>
        </w:rPr>
        <w:t xml:space="preserve"> </w:t>
      </w:r>
      <w:r w:rsidRPr="00BA101B">
        <w:rPr>
          <w:rFonts w:ascii="Georgia" w:hAnsi="Georgia"/>
          <w:b/>
          <w:bCs/>
        </w:rPr>
        <w:t>etichettatura di prodotti biologici</w:t>
      </w:r>
      <w:r w:rsidR="00633EA7" w:rsidRPr="00BA101B">
        <w:rPr>
          <w:rFonts w:ascii="Georgia" w:hAnsi="Georgia"/>
        </w:rPr>
        <w:t xml:space="preserve"> </w:t>
      </w:r>
      <w:r w:rsidRPr="00BA101B">
        <w:rPr>
          <w:rFonts w:ascii="Georgia" w:hAnsi="Georgia"/>
        </w:rPr>
        <w:t>si segnala la Legge sull’introduzione e l’utilizzo di un’etichetta per i prodotti dell’agricoltura biologica (</w:t>
      </w:r>
      <w:hyperlink r:id="rId18" w:tgtFrame="_blank" w:history="1">
        <w:r w:rsidRPr="00BA101B">
          <w:rPr>
            <w:rStyle w:val="Collegamentoipertestuale"/>
            <w:rFonts w:ascii="Georgia" w:hAnsi="Georgia"/>
            <w:i/>
            <w:iCs/>
          </w:rPr>
          <w:t>Gesetz zur Einführung und Verwendung eines Kennzeichens für Erzeugnisse des ökologischen Landbaus</w:t>
        </w:r>
      </w:hyperlink>
      <w:r w:rsidRPr="00BA101B">
        <w:rPr>
          <w:rFonts w:ascii="Georgia" w:hAnsi="Georgia"/>
          <w:i/>
          <w:iCs/>
        </w:rPr>
        <w:t>, Öko-Kennzeichengesetz - ÖkoKennzG</w:t>
      </w:r>
      <w:r w:rsidRPr="00BA101B">
        <w:rPr>
          <w:rFonts w:ascii="Georgia" w:hAnsi="Georgia"/>
        </w:rPr>
        <w:t>)</w:t>
      </w:r>
      <w:r w:rsidR="00633EA7" w:rsidRPr="00BA101B">
        <w:rPr>
          <w:rFonts w:ascii="Georgia" w:hAnsi="Georgia"/>
        </w:rPr>
        <w:t xml:space="preserve"> del </w:t>
      </w:r>
      <w:r w:rsidRPr="00BA101B">
        <w:rPr>
          <w:rFonts w:ascii="Georgia" w:hAnsi="Georgia"/>
        </w:rPr>
        <w:t>10 dicembre 2001</w:t>
      </w:r>
      <w:r w:rsidR="00633EA7" w:rsidRPr="00BA101B">
        <w:rPr>
          <w:rFonts w:ascii="Georgia" w:hAnsi="Georgia"/>
        </w:rPr>
        <w:t xml:space="preserve">, </w:t>
      </w:r>
      <w:r w:rsidRPr="00BA101B">
        <w:rPr>
          <w:rFonts w:ascii="Georgia" w:hAnsi="Georgia"/>
        </w:rPr>
        <w:t>che per i dettagli rinvia a uno specifico</w:t>
      </w:r>
      <w:r w:rsidR="00633EA7" w:rsidRPr="00BA101B">
        <w:rPr>
          <w:rFonts w:ascii="Georgia" w:hAnsi="Georgia"/>
        </w:rPr>
        <w:t xml:space="preserve"> </w:t>
      </w:r>
      <w:r w:rsidRPr="00BA101B">
        <w:rPr>
          <w:rFonts w:ascii="Georgia" w:hAnsi="Georgia"/>
          <w:b/>
          <w:bCs/>
        </w:rPr>
        <w:t>decreto sull’etichetta ecologica</w:t>
      </w:r>
      <w:r w:rsidR="00633EA7" w:rsidRPr="00BA101B">
        <w:rPr>
          <w:rFonts w:ascii="Georgia" w:hAnsi="Georgia"/>
          <w:b/>
          <w:bCs/>
        </w:rPr>
        <w:t xml:space="preserve"> </w:t>
      </w:r>
      <w:r w:rsidRPr="00BA101B">
        <w:rPr>
          <w:rFonts w:ascii="Georgia" w:hAnsi="Georgia"/>
        </w:rPr>
        <w:t>(</w:t>
      </w:r>
      <w:hyperlink r:id="rId19" w:tgtFrame="_blank" w:history="1">
        <w:r w:rsidRPr="00BA101B">
          <w:rPr>
            <w:rStyle w:val="Collegamentoipertestuale"/>
            <w:rFonts w:ascii="Georgia" w:hAnsi="Georgia"/>
            <w:i/>
            <w:iCs/>
          </w:rPr>
          <w:t>Verordnung zur Gestaltung und Verwendung des Öko-Kennzeichens</w:t>
        </w:r>
      </w:hyperlink>
      <w:r w:rsidRPr="00BA101B">
        <w:rPr>
          <w:rFonts w:ascii="Georgia" w:hAnsi="Georgia"/>
        </w:rPr>
        <w:t>,</w:t>
      </w:r>
      <w:r w:rsidR="00633EA7" w:rsidRPr="00BA101B">
        <w:rPr>
          <w:rFonts w:ascii="Georgia" w:hAnsi="Georgia"/>
          <w:i/>
          <w:iCs/>
        </w:rPr>
        <w:t xml:space="preserve"> </w:t>
      </w:r>
      <w:r w:rsidRPr="00BA101B">
        <w:rPr>
          <w:rFonts w:ascii="Georgia" w:hAnsi="Georgia"/>
          <w:i/>
          <w:iCs/>
        </w:rPr>
        <w:t>Öko-Kennzeichen-Verordnung</w:t>
      </w:r>
      <w:r w:rsidR="00F452F0" w:rsidRPr="00BA101B">
        <w:rPr>
          <w:rFonts w:ascii="Georgia" w:hAnsi="Georgia"/>
          <w:i/>
          <w:iCs/>
        </w:rPr>
        <w:t xml:space="preserve"> </w:t>
      </w:r>
      <w:r w:rsidRPr="00BA101B">
        <w:rPr>
          <w:rFonts w:ascii="Georgia" w:hAnsi="Georgia"/>
          <w:i/>
          <w:iCs/>
        </w:rPr>
        <w:t>– ÖkoKennzV</w:t>
      </w:r>
      <w:r w:rsidR="00633EA7" w:rsidRPr="00BA101B">
        <w:rPr>
          <w:rFonts w:ascii="Georgia" w:hAnsi="Georgia"/>
          <w:i/>
          <w:iCs/>
        </w:rPr>
        <w:t xml:space="preserve"> </w:t>
      </w:r>
      <w:r w:rsidRPr="00BA101B">
        <w:rPr>
          <w:rFonts w:ascii="Georgia" w:hAnsi="Georgia"/>
        </w:rPr>
        <w:t>del</w:t>
      </w:r>
      <w:r w:rsidR="00633EA7" w:rsidRPr="00BA101B">
        <w:rPr>
          <w:rFonts w:ascii="Georgia" w:hAnsi="Georgia"/>
        </w:rPr>
        <w:t xml:space="preserve"> </w:t>
      </w:r>
      <w:r w:rsidRPr="00BA101B">
        <w:rPr>
          <w:rFonts w:ascii="Georgia" w:hAnsi="Georgia"/>
        </w:rPr>
        <w:t>6 febbraio 2002). Dal</w:t>
      </w:r>
      <w:r w:rsidR="00633EA7" w:rsidRPr="00BA101B">
        <w:rPr>
          <w:rFonts w:ascii="Georgia" w:hAnsi="Georgia"/>
        </w:rPr>
        <w:t xml:space="preserve"> </w:t>
      </w:r>
      <w:r w:rsidRPr="00BA101B">
        <w:rPr>
          <w:rFonts w:ascii="Georgia" w:hAnsi="Georgia"/>
        </w:rPr>
        <w:t>12 maggio 2012</w:t>
      </w:r>
      <w:r w:rsidR="00633EA7" w:rsidRPr="00BA101B">
        <w:rPr>
          <w:rFonts w:ascii="Georgia" w:hAnsi="Georgia"/>
        </w:rPr>
        <w:t xml:space="preserve"> </w:t>
      </w:r>
      <w:r w:rsidRPr="00BA101B">
        <w:rPr>
          <w:rFonts w:ascii="Georgia" w:hAnsi="Georgia"/>
        </w:rPr>
        <w:t>è inoltre in vigore il</w:t>
      </w:r>
      <w:r w:rsidR="00F452F0" w:rsidRPr="00BA101B">
        <w:rPr>
          <w:rFonts w:ascii="Georgia" w:hAnsi="Georgia"/>
        </w:rPr>
        <w:t xml:space="preserve"> </w:t>
      </w:r>
      <w:r w:rsidRPr="00BA101B">
        <w:rPr>
          <w:rFonts w:ascii="Georgia" w:hAnsi="Georgia"/>
          <w:b/>
          <w:bCs/>
        </w:rPr>
        <w:t>decreto sull’accreditamento degli organismi di controllo</w:t>
      </w:r>
      <w:r w:rsidR="00633EA7" w:rsidRPr="00BA101B">
        <w:rPr>
          <w:rFonts w:ascii="Georgia" w:hAnsi="Georgia"/>
        </w:rPr>
        <w:t xml:space="preserve"> </w:t>
      </w:r>
      <w:r w:rsidRPr="00BA101B">
        <w:rPr>
          <w:rFonts w:ascii="Georgia" w:hAnsi="Georgia"/>
        </w:rPr>
        <w:t>ai sensi della legge sull’agricoltura biologica (</w:t>
      </w:r>
      <w:hyperlink r:id="rId20" w:tgtFrame="_blank" w:history="1">
        <w:r w:rsidRPr="00BA101B">
          <w:rPr>
            <w:rStyle w:val="Collegamentoipertestuale"/>
            <w:rFonts w:ascii="Georgia" w:hAnsi="Georgia"/>
            <w:i/>
            <w:iCs/>
          </w:rPr>
          <w:t>Verordnung über die Zulassung von Kontrollstellen nach dem Ökolandbaugesetz</w:t>
        </w:r>
      </w:hyperlink>
      <w:r w:rsidRPr="00BA101B">
        <w:rPr>
          <w:rFonts w:ascii="Georgia" w:hAnsi="Georgia"/>
          <w:i/>
          <w:iCs/>
        </w:rPr>
        <w:t>, ÖLG-Kontrollstellen-Zulassungsverordnung – ÖLGKontrollStZulV</w:t>
      </w:r>
      <w:r w:rsidRPr="00BA101B">
        <w:rPr>
          <w:rFonts w:ascii="Georgia" w:hAnsi="Georgia"/>
        </w:rPr>
        <w:t>).</w:t>
      </w:r>
    </w:p>
    <w:p w:rsidR="000F038A" w:rsidRPr="00BA101B" w:rsidRDefault="000F038A" w:rsidP="000F038A">
      <w:pPr>
        <w:spacing w:after="120"/>
        <w:ind w:firstLine="357"/>
        <w:jc w:val="both"/>
        <w:rPr>
          <w:rFonts w:ascii="Georgia" w:hAnsi="Georgia"/>
        </w:rPr>
      </w:pPr>
      <w:r w:rsidRPr="00BA101B">
        <w:rPr>
          <w:rFonts w:ascii="Georgia" w:hAnsi="Georgia"/>
        </w:rPr>
        <w:t>A Darmstadt, in Germania, ha sede l’</w:t>
      </w:r>
      <w:r w:rsidRPr="00BA101B">
        <w:rPr>
          <w:rFonts w:ascii="Georgia" w:hAnsi="Georgia"/>
          <w:b/>
          <w:bCs/>
        </w:rPr>
        <w:t xml:space="preserve">ente di certificazione </w:t>
      </w:r>
      <w:r w:rsidRPr="00A006E4">
        <w:rPr>
          <w:rFonts w:ascii="Georgia" w:hAnsi="Georgia"/>
          <w:b/>
          <w:bCs/>
          <w:i/>
        </w:rPr>
        <w:t>Demeter International</w:t>
      </w:r>
      <w:r w:rsidR="00633EA7" w:rsidRPr="00BA101B">
        <w:rPr>
          <w:rFonts w:ascii="Georgia" w:hAnsi="Georgia"/>
        </w:rPr>
        <w:t xml:space="preserve"> </w:t>
      </w:r>
      <w:r w:rsidRPr="00A006E4">
        <w:rPr>
          <w:rFonts w:ascii="Georgia" w:hAnsi="Georgia"/>
          <w:b/>
        </w:rPr>
        <w:t>legato all’agricoltura biodinamica</w:t>
      </w:r>
      <w:r w:rsidRPr="00BA101B">
        <w:rPr>
          <w:rFonts w:ascii="Georgia" w:hAnsi="Georgia"/>
        </w:rPr>
        <w:t>. Il</w:t>
      </w:r>
      <w:r w:rsidR="00633EA7" w:rsidRPr="00BA101B">
        <w:rPr>
          <w:rFonts w:ascii="Georgia" w:hAnsi="Georgia"/>
        </w:rPr>
        <w:t xml:space="preserve"> </w:t>
      </w:r>
      <w:r w:rsidRPr="00BA101B">
        <w:rPr>
          <w:rFonts w:ascii="Georgia" w:hAnsi="Georgia"/>
          <w:b/>
          <w:bCs/>
        </w:rPr>
        <w:t xml:space="preserve">marchio </w:t>
      </w:r>
      <w:r w:rsidRPr="00A006E4">
        <w:rPr>
          <w:rFonts w:ascii="Georgia" w:hAnsi="Georgia"/>
          <w:b/>
          <w:bCs/>
          <w:i/>
        </w:rPr>
        <w:t>Demeter</w:t>
      </w:r>
      <w:r w:rsidR="00633EA7" w:rsidRPr="00BA101B">
        <w:rPr>
          <w:rFonts w:ascii="Georgia" w:hAnsi="Georgia"/>
          <w:b/>
          <w:bCs/>
        </w:rPr>
        <w:t xml:space="preserve"> </w:t>
      </w:r>
      <w:r w:rsidRPr="00BA101B">
        <w:rPr>
          <w:rFonts w:ascii="Georgia" w:hAnsi="Georgia"/>
        </w:rPr>
        <w:t>- che fa riferimento a Demetra, dea della fertilità e della terra – è stato ideato nel</w:t>
      </w:r>
      <w:r w:rsidR="00633EA7" w:rsidRPr="00BA101B">
        <w:rPr>
          <w:rFonts w:ascii="Georgia" w:hAnsi="Georgia"/>
        </w:rPr>
        <w:t xml:space="preserve"> </w:t>
      </w:r>
      <w:r w:rsidRPr="00BA101B">
        <w:rPr>
          <w:rFonts w:ascii="Georgia" w:hAnsi="Georgia"/>
          <w:b/>
          <w:bCs/>
        </w:rPr>
        <w:t>1927</w:t>
      </w:r>
      <w:r w:rsidR="00633EA7" w:rsidRPr="00BA101B">
        <w:rPr>
          <w:rFonts w:ascii="Georgia" w:hAnsi="Georgia"/>
        </w:rPr>
        <w:t xml:space="preserve"> </w:t>
      </w:r>
      <w:r w:rsidRPr="00BA101B">
        <w:rPr>
          <w:rFonts w:ascii="Georgia" w:hAnsi="Georgia"/>
        </w:rPr>
        <w:t>quando alcuni agricoltori che coltivavano la loro terra seguendo i principi della biodinamica decisero di tutelare i l</w:t>
      </w:r>
      <w:r w:rsidR="00633EA7" w:rsidRPr="00BA101B">
        <w:rPr>
          <w:rFonts w:ascii="Georgia" w:hAnsi="Georgia"/>
        </w:rPr>
        <w:t xml:space="preserve">oro prodotti e le loro aziende. </w:t>
      </w:r>
      <w:r w:rsidRPr="00BA101B">
        <w:rPr>
          <w:rFonts w:ascii="Georgia" w:hAnsi="Georgia"/>
        </w:rPr>
        <w:t>Oggi</w:t>
      </w:r>
      <w:r w:rsidR="00633EA7" w:rsidRPr="00BA101B">
        <w:rPr>
          <w:rFonts w:ascii="Georgia" w:hAnsi="Georgia"/>
        </w:rPr>
        <w:t xml:space="preserve"> </w:t>
      </w:r>
      <w:r w:rsidRPr="00BA101B">
        <w:rPr>
          <w:rFonts w:ascii="Georgia" w:hAnsi="Georgia"/>
        </w:rPr>
        <w:t xml:space="preserve">il marchio </w:t>
      </w:r>
      <w:r w:rsidRPr="00A006E4">
        <w:rPr>
          <w:rFonts w:ascii="Georgia" w:hAnsi="Georgia"/>
          <w:i/>
        </w:rPr>
        <w:t>Demeter</w:t>
      </w:r>
      <w:r w:rsidRPr="00BA101B">
        <w:rPr>
          <w:rFonts w:ascii="Georgia" w:hAnsi="Georgia"/>
        </w:rPr>
        <w:t>, utilizzato in 43 paesi, viene attribuito ai prodotti agricoli o di allevamento ottenuti applicando le teorie antroposofiche del teosofo austriaco Rudolf Steiner. Si tratta di una</w:t>
      </w:r>
      <w:r w:rsidR="00F452F0" w:rsidRPr="00BA101B">
        <w:rPr>
          <w:rFonts w:ascii="Georgia" w:hAnsi="Georgia"/>
        </w:rPr>
        <w:t xml:space="preserve"> </w:t>
      </w:r>
      <w:r w:rsidRPr="00BA101B">
        <w:rPr>
          <w:rFonts w:ascii="Georgia" w:hAnsi="Georgia"/>
          <w:b/>
          <w:bCs/>
        </w:rPr>
        <w:t>certificazione ulteriore</w:t>
      </w:r>
      <w:r w:rsidR="00633EA7" w:rsidRPr="00BA101B">
        <w:rPr>
          <w:rFonts w:ascii="Georgia" w:hAnsi="Georgia"/>
          <w:bCs/>
        </w:rPr>
        <w:t xml:space="preserve"> </w:t>
      </w:r>
      <w:r w:rsidRPr="00BA101B">
        <w:rPr>
          <w:rFonts w:ascii="Georgia" w:hAnsi="Georgia"/>
        </w:rPr>
        <w:t>rispetto a quella già prevista dal Regolamento UE n. 834/2007 per l’agricoltura biologica (le aziende biodinamiche sono infatti tutte biologiche) che impone</w:t>
      </w:r>
      <w:r w:rsidR="00633EA7" w:rsidRPr="00BA101B">
        <w:rPr>
          <w:rFonts w:ascii="Georgia" w:hAnsi="Georgia"/>
        </w:rPr>
        <w:t xml:space="preserve"> </w:t>
      </w:r>
      <w:r w:rsidRPr="00BA101B">
        <w:rPr>
          <w:rFonts w:ascii="Georgia" w:hAnsi="Georgia"/>
          <w:b/>
          <w:bCs/>
        </w:rPr>
        <w:t>standard più restrittivi e specifici</w:t>
      </w:r>
      <w:r w:rsidR="00633EA7" w:rsidRPr="00BA101B">
        <w:rPr>
          <w:rFonts w:ascii="Georgia" w:hAnsi="Georgia"/>
        </w:rPr>
        <w:t xml:space="preserve"> </w:t>
      </w:r>
      <w:r w:rsidRPr="00BA101B">
        <w:rPr>
          <w:rFonts w:ascii="Georgia" w:hAnsi="Georgia"/>
        </w:rPr>
        <w:t>rispetto alle norme comunitarie.</w:t>
      </w:r>
      <w:r w:rsidR="00633EA7" w:rsidRPr="00BA101B">
        <w:rPr>
          <w:rFonts w:ascii="Georgia" w:hAnsi="Georgia"/>
        </w:rPr>
        <w:t xml:space="preserve"> </w:t>
      </w:r>
      <w:r w:rsidRPr="00BA101B">
        <w:rPr>
          <w:rFonts w:ascii="Georgia" w:hAnsi="Georgia"/>
        </w:rPr>
        <w:t xml:space="preserve">I prodotti biodinamici rappresentano quindi una sicurezza in più per il consumatore essendo verificati sia dagli organismi di controllo per il biologico sia dalla </w:t>
      </w:r>
      <w:r w:rsidRPr="00A006E4">
        <w:rPr>
          <w:rFonts w:ascii="Georgia" w:hAnsi="Georgia"/>
          <w:i/>
        </w:rPr>
        <w:t>Demeter</w:t>
      </w:r>
      <w:r w:rsidRPr="00BA101B">
        <w:rPr>
          <w:rFonts w:ascii="Georgia" w:hAnsi="Georgia"/>
        </w:rPr>
        <w:t>.</w:t>
      </w:r>
      <w:r w:rsidR="00633EA7" w:rsidRPr="00BA101B">
        <w:rPr>
          <w:rFonts w:ascii="Georgia" w:hAnsi="Georgia"/>
        </w:rPr>
        <w:t xml:space="preserve"> </w:t>
      </w:r>
      <w:r w:rsidRPr="00BA101B">
        <w:rPr>
          <w:rFonts w:ascii="Georgia" w:hAnsi="Georgia"/>
        </w:rPr>
        <w:t>I requisiti che le aziende devono rispettare per ottenere il marchio riguardano sia la produzione vegetale (come l’uso di compost, il rispetto dell’ecosistema e della biodiversità, la cura del suolo e il divieto assoluto degli organismi geneticamente modificati) sia la lavorazione della carne, la produzione di latticini e formaggi</w:t>
      </w:r>
      <w:r w:rsidR="00633EA7" w:rsidRPr="00BA101B">
        <w:rPr>
          <w:rFonts w:ascii="Georgia" w:hAnsi="Georgia"/>
        </w:rPr>
        <w:t>,</w:t>
      </w:r>
      <w:r w:rsidRPr="00BA101B">
        <w:rPr>
          <w:rFonts w:ascii="Georgia" w:hAnsi="Georgia"/>
        </w:rPr>
        <w:t xml:space="preserve"> ma anche pane, frutta, verdure, spezie, erbe aromatiche, prodotti tessili e cosmetici. Gli standard, se necessario, vengono modificati e aggiornati ogni anno seguendo l’evoluzione della biodinamica, dell’amb</w:t>
      </w:r>
      <w:r w:rsidR="00F452F0" w:rsidRPr="00BA101B">
        <w:rPr>
          <w:rFonts w:ascii="Georgia" w:hAnsi="Georgia"/>
        </w:rPr>
        <w:t xml:space="preserve">iente e dell’economia mondiale. </w:t>
      </w:r>
      <w:r w:rsidRPr="00BA101B">
        <w:rPr>
          <w:rFonts w:ascii="Georgia" w:hAnsi="Georgia"/>
        </w:rPr>
        <w:t>Le</w:t>
      </w:r>
      <w:r w:rsidR="00F452F0" w:rsidRPr="00BA101B">
        <w:rPr>
          <w:rFonts w:ascii="Georgia" w:hAnsi="Georgia"/>
        </w:rPr>
        <w:t xml:space="preserve"> </w:t>
      </w:r>
      <w:r w:rsidRPr="00BA101B">
        <w:rPr>
          <w:rFonts w:ascii="Georgia" w:hAnsi="Georgia"/>
          <w:b/>
          <w:bCs/>
        </w:rPr>
        <w:t>Linee guida 2021 per la certificazione “</w:t>
      </w:r>
      <w:r w:rsidRPr="00A006E4">
        <w:rPr>
          <w:rFonts w:ascii="Georgia" w:hAnsi="Georgia"/>
          <w:b/>
          <w:bCs/>
          <w:i/>
        </w:rPr>
        <w:t>Demeter</w:t>
      </w:r>
      <w:r w:rsidRPr="00BA101B">
        <w:rPr>
          <w:rFonts w:ascii="Georgia" w:hAnsi="Georgia"/>
          <w:b/>
          <w:bCs/>
        </w:rPr>
        <w:t>” e “biodinamica”</w:t>
      </w:r>
      <w:r w:rsidR="00F452F0" w:rsidRPr="00BA101B">
        <w:rPr>
          <w:rFonts w:ascii="Georgia" w:hAnsi="Georgia"/>
          <w:b/>
          <w:bCs/>
        </w:rPr>
        <w:t xml:space="preserve"> </w:t>
      </w:r>
      <w:r w:rsidRPr="00BA101B">
        <w:rPr>
          <w:rFonts w:ascii="Georgia" w:hAnsi="Georgia"/>
        </w:rPr>
        <w:t>(</w:t>
      </w:r>
      <w:hyperlink r:id="rId21" w:tgtFrame="_blank" w:history="1">
        <w:r w:rsidRPr="00BA101B">
          <w:rPr>
            <w:rStyle w:val="Collegamentoipertestuale"/>
            <w:rFonts w:ascii="Georgia" w:hAnsi="Georgia"/>
            <w:i/>
            <w:iCs/>
          </w:rPr>
          <w:t>Richtlinien 2021 für die Zertifizierung “Demeter” und “Biodynamisch”</w:t>
        </w:r>
      </w:hyperlink>
      <w:r w:rsidRPr="00BA101B">
        <w:rPr>
          <w:rFonts w:ascii="Georgia" w:hAnsi="Georgia"/>
        </w:rPr>
        <w:t>), in vigore dal 1°</w:t>
      </w:r>
      <w:r w:rsidR="00F452F0" w:rsidRPr="00BA101B">
        <w:rPr>
          <w:rFonts w:ascii="Georgia" w:hAnsi="Georgia"/>
        </w:rPr>
        <w:t xml:space="preserve"> </w:t>
      </w:r>
      <w:r w:rsidRPr="00BA101B">
        <w:rPr>
          <w:rFonts w:ascii="Georgia" w:hAnsi="Georgia"/>
        </w:rPr>
        <w:t>gennaio 2021, sono pubblicate sul sito della Demeter.de.</w:t>
      </w:r>
    </w:p>
    <w:p w:rsidR="000F038A" w:rsidRPr="00BA101B" w:rsidRDefault="000F038A" w:rsidP="000F038A">
      <w:pPr>
        <w:spacing w:after="120"/>
        <w:ind w:firstLine="357"/>
        <w:jc w:val="both"/>
        <w:rPr>
          <w:rFonts w:ascii="Georgia" w:hAnsi="Georgia"/>
        </w:rPr>
      </w:pPr>
      <w:r w:rsidRPr="00BA101B">
        <w:rPr>
          <w:rFonts w:ascii="Georgia" w:hAnsi="Georgia"/>
        </w:rPr>
        <w:t>Il grande interesse della Germania per l’agricoltura biodinamica, infine, è dimostrato anche dal fatto che la biodinamica viene introdotta in tutte le</w:t>
      </w:r>
      <w:r w:rsidR="00684B56" w:rsidRPr="00BA101B">
        <w:rPr>
          <w:rFonts w:ascii="Georgia" w:hAnsi="Georgia"/>
        </w:rPr>
        <w:t xml:space="preserve"> </w:t>
      </w:r>
      <w:r w:rsidRPr="00BA101B">
        <w:rPr>
          <w:rFonts w:ascii="Georgia" w:hAnsi="Georgia"/>
          <w:b/>
          <w:bCs/>
        </w:rPr>
        <w:t>facoltà di agraria</w:t>
      </w:r>
      <w:r w:rsidRPr="00BA101B">
        <w:rPr>
          <w:rFonts w:ascii="Georgia" w:hAnsi="Georgia"/>
        </w:rPr>
        <w:t>, in particolare si insegna nell’Università di Kassel, nell’Università di Bonn e nell’Università di Hohenheim che dispone di una propria azienda agricola (denominata “</w:t>
      </w:r>
      <w:hyperlink r:id="rId22" w:tgtFrame="_blank" w:history="1">
        <w:r w:rsidRPr="00BA101B">
          <w:rPr>
            <w:rStyle w:val="Collegamentoipertestuale"/>
            <w:rFonts w:ascii="Georgia" w:hAnsi="Georgia"/>
            <w:i/>
            <w:iCs/>
          </w:rPr>
          <w:t>Kleinhohenheim</w:t>
        </w:r>
      </w:hyperlink>
      <w:r w:rsidR="00684B56" w:rsidRPr="00BA101B">
        <w:rPr>
          <w:rFonts w:ascii="Georgia" w:hAnsi="Georgia"/>
        </w:rPr>
        <w:t>”</w:t>
      </w:r>
      <w:r w:rsidRPr="00BA101B">
        <w:rPr>
          <w:rFonts w:ascii="Georgia" w:hAnsi="Georgia"/>
        </w:rPr>
        <w:t>) condotta con metodo biodinamico e dedicata alla ricerca in biodinamica.</w:t>
      </w:r>
    </w:p>
    <w:p w:rsidR="00880D33" w:rsidRPr="00BA101B" w:rsidRDefault="00880D33" w:rsidP="000F038A">
      <w:pPr>
        <w:spacing w:after="120"/>
        <w:jc w:val="both"/>
        <w:rPr>
          <w:rFonts w:ascii="Georgia" w:hAnsi="Georgia"/>
        </w:rPr>
      </w:pPr>
    </w:p>
    <w:p w:rsidR="00974A8B" w:rsidRPr="00BA101B" w:rsidRDefault="00A57613" w:rsidP="00974A8B">
      <w:pPr>
        <w:spacing w:after="120"/>
        <w:ind w:firstLine="357"/>
        <w:jc w:val="both"/>
        <w:rPr>
          <w:rFonts w:ascii="Georgia" w:hAnsi="Georgia"/>
        </w:rPr>
      </w:pPr>
      <w:r w:rsidRPr="00BA101B">
        <w:rPr>
          <w:rFonts w:ascii="Georgia" w:hAnsi="Georgia"/>
        </w:rPr>
        <w:t xml:space="preserve">In </w:t>
      </w:r>
      <w:r w:rsidRPr="00BA101B">
        <w:rPr>
          <w:rFonts w:ascii="Georgia" w:hAnsi="Georgia"/>
          <w:b/>
        </w:rPr>
        <w:t>Spagna</w:t>
      </w:r>
      <w:r w:rsidRPr="00BA101B">
        <w:rPr>
          <w:rFonts w:ascii="Georgia" w:hAnsi="Georgia"/>
        </w:rPr>
        <w:t xml:space="preserve"> </w:t>
      </w:r>
      <w:r w:rsidR="00BA101B" w:rsidRPr="00BA101B">
        <w:rPr>
          <w:rFonts w:ascii="Georgia" w:hAnsi="Georgia"/>
        </w:rPr>
        <w:t>l</w:t>
      </w:r>
      <w:r w:rsidR="00974A8B" w:rsidRPr="00BA101B">
        <w:rPr>
          <w:rFonts w:ascii="Georgia" w:hAnsi="Georgia"/>
        </w:rPr>
        <w:t xml:space="preserve">a </w:t>
      </w:r>
      <w:hyperlink r:id="rId23" w:history="1">
        <w:r w:rsidR="00974A8B" w:rsidRPr="00BA101B">
          <w:rPr>
            <w:rStyle w:val="Collegamentoipertestuale"/>
            <w:rFonts w:ascii="Georgia" w:hAnsi="Georgia"/>
            <w:b/>
          </w:rPr>
          <w:t>produzione ecologica</w:t>
        </w:r>
      </w:hyperlink>
      <w:r w:rsidR="00974A8B" w:rsidRPr="00BA101B">
        <w:rPr>
          <w:rFonts w:ascii="Georgia" w:hAnsi="Georgia"/>
        </w:rPr>
        <w:t xml:space="preserve">, detta anche </w:t>
      </w:r>
      <w:r w:rsidR="00974A8B" w:rsidRPr="00BA101B">
        <w:rPr>
          <w:rFonts w:ascii="Georgia" w:hAnsi="Georgia"/>
          <w:b/>
        </w:rPr>
        <w:t>biologica o organica</w:t>
      </w:r>
      <w:r w:rsidR="00974A8B" w:rsidRPr="00BA101B">
        <w:rPr>
          <w:rFonts w:ascii="Georgia" w:hAnsi="Georgia"/>
        </w:rPr>
        <w:t>, è un sistema di gestione e produzione agroalimentare che combina le migliori pratiche ambientali con un alto livello di biodiversità e conservazione delle risorse naturali, nonché l’applicazione di standard esigenti sul benessere degli animali, al fine di ottenere una produzione conforme alle preferenze di determinati consumatori per prodotti ottenuti da sostanze e processi naturali.</w:t>
      </w:r>
    </w:p>
    <w:p w:rsidR="00974A8B" w:rsidRPr="00BA101B" w:rsidRDefault="00974A8B" w:rsidP="00974A8B">
      <w:pPr>
        <w:spacing w:after="120"/>
        <w:ind w:firstLine="357"/>
        <w:jc w:val="both"/>
        <w:rPr>
          <w:rFonts w:ascii="Georgia" w:hAnsi="Georgia"/>
        </w:rPr>
      </w:pPr>
      <w:r w:rsidRPr="00BA101B">
        <w:rPr>
          <w:rFonts w:ascii="Georgia" w:hAnsi="Georgia"/>
        </w:rPr>
        <w:t xml:space="preserve">La produzione biologica è regolamentata in Spagna dal 1988, mediante il Real Decreto 759/1988. Il </w:t>
      </w:r>
      <w:hyperlink r:id="rId24" w:history="1">
        <w:r w:rsidRPr="00BA101B">
          <w:rPr>
            <w:rStyle w:val="Collegamentoipertestuale"/>
            <w:rFonts w:ascii="Georgia" w:hAnsi="Georgia"/>
            <w:i/>
          </w:rPr>
          <w:t>Real Decreto 833/2014</w:t>
        </w:r>
      </w:hyperlink>
      <w:r w:rsidRPr="00BA101B">
        <w:rPr>
          <w:rFonts w:ascii="Georgia" w:hAnsi="Georgia"/>
          <w:i/>
        </w:rPr>
        <w:t xml:space="preserve">, de 3 de octubre, por el que se establece y regula el Registro General de Operadores Ecológicos y se crea la Mesa de coordinación de la producción ecológica </w:t>
      </w:r>
      <w:r w:rsidRPr="00BA101B">
        <w:rPr>
          <w:rFonts w:ascii="Georgia" w:hAnsi="Georgia"/>
        </w:rPr>
        <w:t>ha previsto l’istituzione di una banca dati nazionale denominata Registro generale degli operatori ecologici (</w:t>
      </w:r>
      <w:r w:rsidRPr="00BA101B">
        <w:rPr>
          <w:rFonts w:ascii="Georgia" w:hAnsi="Georgia"/>
          <w:i/>
        </w:rPr>
        <w:t>Registro General de Operadores Ecológicos</w:t>
      </w:r>
      <w:r w:rsidRPr="00BA101B">
        <w:rPr>
          <w:rFonts w:ascii="Georgia" w:hAnsi="Georgia"/>
        </w:rPr>
        <w:t>, REGOE), con il compito di incorporare i dati negli archivi o nei sistemi informativi delle autorità competenti delle Comunità autonome. Il REGOE si configura come un modello anagrafico versatile che consente l’identificazione inequivocabile di tutte le tipologie di operatori biologici, indipendentemente dal tipo di attività svolte nell’ambito della produzione biologica, che a sua volta diventa un nucleo dinamico in grado di adattarsi facilmente alle modifiche delle normative comunitarie che regolano la produzione biologica.</w:t>
      </w:r>
    </w:p>
    <w:p w:rsidR="00974A8B" w:rsidRPr="00BA101B" w:rsidRDefault="00974A8B" w:rsidP="00974A8B">
      <w:pPr>
        <w:spacing w:after="120"/>
        <w:ind w:firstLine="357"/>
        <w:jc w:val="both"/>
        <w:rPr>
          <w:rFonts w:ascii="Georgia" w:hAnsi="Georgia"/>
        </w:rPr>
      </w:pPr>
      <w:r w:rsidRPr="00BA101B">
        <w:rPr>
          <w:rFonts w:ascii="Georgia" w:hAnsi="Georgia"/>
        </w:rPr>
        <w:t xml:space="preserve">Per quanto concerne la cosiddetta </w:t>
      </w:r>
      <w:r w:rsidRPr="00A006E4">
        <w:rPr>
          <w:rFonts w:ascii="Georgia" w:hAnsi="Georgia"/>
          <w:b/>
        </w:rPr>
        <w:t>“agricoltura biodinamica”</w:t>
      </w:r>
      <w:r w:rsidRPr="00BA101B">
        <w:rPr>
          <w:rFonts w:ascii="Georgia" w:hAnsi="Georgia"/>
        </w:rPr>
        <w:t xml:space="preserve">, pur non rinvenendosi disposizioni normative in materia, essa </w:t>
      </w:r>
      <w:r w:rsidRPr="00A006E4">
        <w:rPr>
          <w:rFonts w:ascii="Georgia" w:hAnsi="Georgia"/>
          <w:b/>
        </w:rPr>
        <w:t>risulta comunque praticata</w:t>
      </w:r>
      <w:r w:rsidRPr="00BA101B">
        <w:rPr>
          <w:rFonts w:ascii="Georgia" w:hAnsi="Georgia"/>
        </w:rPr>
        <w:t>.</w:t>
      </w:r>
    </w:p>
    <w:p w:rsidR="00974A8B" w:rsidRPr="00BA101B" w:rsidRDefault="00974A8B" w:rsidP="00974A8B">
      <w:pPr>
        <w:spacing w:after="120"/>
        <w:ind w:firstLine="357"/>
        <w:jc w:val="both"/>
        <w:rPr>
          <w:rFonts w:ascii="Georgia" w:hAnsi="Georgia"/>
        </w:rPr>
      </w:pPr>
      <w:r w:rsidRPr="00BA101B">
        <w:rPr>
          <w:rFonts w:ascii="Georgia" w:hAnsi="Georgia"/>
        </w:rPr>
        <w:t>Esiste una “</w:t>
      </w:r>
      <w:hyperlink r:id="rId25" w:history="1">
        <w:r w:rsidRPr="00BA101B">
          <w:rPr>
            <w:rStyle w:val="Collegamentoipertestuale"/>
            <w:rFonts w:ascii="Georgia" w:hAnsi="Georgia"/>
            <w:i/>
          </w:rPr>
          <w:t>Asociación para la agricultura biodinámica en España</w:t>
        </w:r>
      </w:hyperlink>
      <w:r w:rsidRPr="00BA101B">
        <w:rPr>
          <w:rFonts w:ascii="Georgia" w:hAnsi="Georgia"/>
        </w:rPr>
        <w:t xml:space="preserve">”, che si richiama alle teorie di Rudolf Steiner. L’Associazione è stata fondata sull’isola di Gran Canaria nel 1981. L’Ufficio di certificazione </w:t>
      </w:r>
      <w:r w:rsidRPr="00A006E4">
        <w:rPr>
          <w:rFonts w:ascii="Georgia" w:hAnsi="Georgia"/>
          <w:i/>
        </w:rPr>
        <w:t>Demeter</w:t>
      </w:r>
      <w:r w:rsidRPr="00BA101B">
        <w:rPr>
          <w:rFonts w:ascii="Georgia" w:hAnsi="Georgia"/>
        </w:rPr>
        <w:t xml:space="preserve"> Spagna (</w:t>
      </w:r>
      <w:hyperlink r:id="rId26" w:history="1">
        <w:r w:rsidRPr="00BA101B">
          <w:rPr>
            <w:rStyle w:val="Collegamentoipertestuale"/>
            <w:rFonts w:ascii="Georgia" w:hAnsi="Georgia"/>
            <w:i/>
          </w:rPr>
          <w:t>Oficina de Certificación Demeter España</w:t>
        </w:r>
      </w:hyperlink>
      <w:r w:rsidRPr="00BA101B">
        <w:rPr>
          <w:rFonts w:ascii="Georgia" w:hAnsi="Georgia"/>
        </w:rPr>
        <w:t xml:space="preserve">) è un ufficio all’interno di tale Associazione. Gli agricoltori e distributori con un contratto </w:t>
      </w:r>
      <w:r w:rsidRPr="00A006E4">
        <w:rPr>
          <w:rFonts w:ascii="Georgia" w:hAnsi="Georgia"/>
          <w:i/>
        </w:rPr>
        <w:t xml:space="preserve">Demeter </w:t>
      </w:r>
      <w:r w:rsidRPr="00BA101B">
        <w:rPr>
          <w:rFonts w:ascii="Georgia" w:hAnsi="Georgia"/>
        </w:rPr>
        <w:t>Spagna sono membri di questa associazione, inoltre l’associazione ha altri membri che sono consumatori, agricoltori biologici o tecnici agricoli.</w:t>
      </w:r>
    </w:p>
    <w:p w:rsidR="00974A8B" w:rsidRPr="00BA101B" w:rsidRDefault="00BA101B" w:rsidP="00974A8B">
      <w:pPr>
        <w:spacing w:after="120"/>
        <w:ind w:firstLine="357"/>
        <w:jc w:val="both"/>
        <w:rPr>
          <w:rFonts w:ascii="Georgia" w:hAnsi="Georgia"/>
        </w:rPr>
      </w:pPr>
      <w:r w:rsidRPr="00BA101B">
        <w:rPr>
          <w:rFonts w:ascii="Georgia" w:hAnsi="Georgia"/>
        </w:rPr>
        <w:t xml:space="preserve">Come già detto in riferimento alla Germania, </w:t>
      </w:r>
      <w:r w:rsidRPr="00A006E4">
        <w:rPr>
          <w:rFonts w:ascii="Georgia" w:hAnsi="Georgia"/>
          <w:i/>
        </w:rPr>
        <w:t>Demeter International</w:t>
      </w:r>
      <w:r w:rsidRPr="00BA101B">
        <w:rPr>
          <w:rFonts w:ascii="Georgia" w:hAnsi="Georgia"/>
        </w:rPr>
        <w:t xml:space="preserve"> è l</w:t>
      </w:r>
      <w:r w:rsidR="00974A8B" w:rsidRPr="00BA101B">
        <w:rPr>
          <w:rFonts w:ascii="Georgia" w:hAnsi="Georgia"/>
        </w:rPr>
        <w:t xml:space="preserve">’associazione multinazionale che costituisce il più grande organismo di certificazione dell’agricoltura biodinamica, il marchio </w:t>
      </w:r>
      <w:r w:rsidR="00974A8B" w:rsidRPr="00A006E4">
        <w:rPr>
          <w:rFonts w:ascii="Georgia" w:hAnsi="Georgia"/>
          <w:i/>
        </w:rPr>
        <w:t>Demeter</w:t>
      </w:r>
      <w:r w:rsidR="00974A8B" w:rsidRPr="00BA101B">
        <w:rPr>
          <w:rFonts w:ascii="Georgia" w:hAnsi="Georgia"/>
        </w:rPr>
        <w:t xml:space="preserve"> viene rilasciato per contrassegnare i prodotti agricoli o di allevamento ottenuti secondo i metodi certificati dall’azienda, a loro avviso rispondenti alle direttive indicate in materia da Steiner.</w:t>
      </w:r>
    </w:p>
    <w:p w:rsidR="00A57613" w:rsidRPr="00BA101B" w:rsidRDefault="00A57613" w:rsidP="000F038A">
      <w:pPr>
        <w:spacing w:after="120"/>
        <w:ind w:firstLine="357"/>
        <w:jc w:val="both"/>
        <w:rPr>
          <w:rFonts w:ascii="Georgia" w:hAnsi="Georgia"/>
        </w:rPr>
      </w:pPr>
    </w:p>
    <w:p w:rsidR="009B7875" w:rsidRPr="00974A8B" w:rsidRDefault="009B7875" w:rsidP="00257AFA">
      <w:pPr>
        <w:pStyle w:val="NormaleWeb"/>
        <w:spacing w:before="0" w:beforeAutospacing="0" w:after="120" w:afterAutospacing="0"/>
        <w:rPr>
          <w:rFonts w:ascii="Georgia" w:hAnsi="Georgia"/>
          <w:bCs/>
        </w:rPr>
      </w:pPr>
    </w:p>
    <w:p w:rsidR="009B7875" w:rsidRPr="00503D23" w:rsidRDefault="009B7875" w:rsidP="009B7875">
      <w:pPr>
        <w:pStyle w:val="NormaleWeb"/>
        <w:spacing w:before="0" w:beforeAutospacing="0" w:after="120" w:afterAutospacing="0"/>
        <w:ind w:firstLine="357"/>
        <w:rPr>
          <w:rFonts w:ascii="Georgia" w:hAnsi="Georgia"/>
          <w:bCs/>
        </w:rPr>
      </w:pPr>
    </w:p>
    <w:p w:rsidR="009B7875" w:rsidRPr="00503D23" w:rsidRDefault="009B7875" w:rsidP="009B7875">
      <w:pPr>
        <w:pStyle w:val="NormaleWeb"/>
        <w:spacing w:before="0" w:beforeAutospacing="0" w:after="120" w:afterAutospacing="0"/>
        <w:ind w:firstLine="357"/>
        <w:rPr>
          <w:rFonts w:ascii="Georgia" w:hAnsi="Georgia"/>
          <w:bCs/>
        </w:rPr>
      </w:pPr>
    </w:p>
    <w:p w:rsidR="009B7875" w:rsidRPr="00503D23" w:rsidRDefault="009B7875" w:rsidP="009B7875">
      <w:pPr>
        <w:pStyle w:val="NormaleWeb"/>
        <w:spacing w:before="0" w:beforeAutospacing="0" w:after="120" w:afterAutospacing="0"/>
        <w:ind w:firstLine="357"/>
        <w:rPr>
          <w:rFonts w:ascii="Georgia" w:hAnsi="Georgia"/>
          <w:bCs/>
        </w:rPr>
      </w:pPr>
    </w:p>
    <w:p w:rsidR="009B7875" w:rsidRPr="00503D23" w:rsidRDefault="009B7875" w:rsidP="009B7875">
      <w:pPr>
        <w:pStyle w:val="Normale1"/>
        <w:pBdr>
          <w:top w:val="single" w:sz="6" w:space="2" w:color="008000"/>
          <w:left w:val="single" w:sz="6" w:space="3" w:color="008000"/>
          <w:bottom w:val="single" w:sz="6" w:space="2" w:color="008000"/>
          <w:right w:val="single" w:sz="6" w:space="2" w:color="008000"/>
        </w:pBdr>
        <w:tabs>
          <w:tab w:val="left" w:pos="4464"/>
        </w:tabs>
        <w:ind w:firstLine="0"/>
        <w:rPr>
          <w:rFonts w:ascii="Georgia" w:hAnsi="Georgia"/>
          <w:b/>
          <w:noProof/>
          <w:color w:val="339966"/>
          <w:szCs w:val="24"/>
        </w:rPr>
      </w:pPr>
      <w:r w:rsidRPr="00503D23">
        <w:rPr>
          <w:rFonts w:ascii="Georgia" w:hAnsi="Georgia"/>
          <w:b/>
          <w:smallCaps/>
          <w:noProof/>
          <w:color w:val="339966"/>
          <w:szCs w:val="24"/>
        </w:rPr>
        <w:t xml:space="preserve">SERVIZIO BIBLIOTECA - </w:t>
      </w:r>
      <w:r w:rsidRPr="00503D23">
        <w:rPr>
          <w:rFonts w:ascii="Georgia" w:hAnsi="Georgia"/>
          <w:b/>
          <w:noProof/>
          <w:color w:val="339966"/>
          <w:szCs w:val="24"/>
        </w:rPr>
        <w:t>Ufficio Legislazione Straniera</w:t>
      </w:r>
      <w:r w:rsidRPr="00503D23">
        <w:rPr>
          <w:rFonts w:ascii="Georgia" w:hAnsi="Georgia"/>
          <w:b/>
          <w:i/>
          <w:smallCaps/>
          <w:noProof/>
          <w:color w:val="339966"/>
          <w:szCs w:val="24"/>
        </w:rPr>
        <w:t xml:space="preserve"> </w:t>
      </w:r>
    </w:p>
    <w:p w:rsidR="009B7875" w:rsidRPr="00503D23" w:rsidRDefault="009B7875" w:rsidP="009B7875">
      <w:pPr>
        <w:pStyle w:val="Normale1"/>
        <w:pBdr>
          <w:top w:val="single" w:sz="6" w:space="2" w:color="008000"/>
          <w:left w:val="single" w:sz="6" w:space="3" w:color="008000"/>
          <w:bottom w:val="single" w:sz="6" w:space="2" w:color="008000"/>
          <w:right w:val="single" w:sz="6" w:space="2" w:color="008000"/>
        </w:pBdr>
        <w:tabs>
          <w:tab w:val="left" w:pos="4464"/>
        </w:tabs>
        <w:ind w:firstLine="0"/>
        <w:rPr>
          <w:rFonts w:ascii="Georgia" w:hAnsi="Georgia"/>
          <w:b/>
          <w:i/>
          <w:noProof/>
          <w:color w:val="339966"/>
          <w:szCs w:val="24"/>
        </w:rPr>
      </w:pPr>
      <w:r w:rsidRPr="00503D23">
        <w:rPr>
          <w:rFonts w:ascii="Georgia" w:hAnsi="Georgia"/>
          <w:b/>
          <w:i/>
          <w:noProof/>
          <w:color w:val="339966"/>
          <w:szCs w:val="24"/>
        </w:rPr>
        <w:t>tel. 06/6760. 2278 – 3242 ; mail: LS_segreteria@camera.it</w:t>
      </w:r>
    </w:p>
    <w:p w:rsidR="00FF3DC8" w:rsidRPr="00503D23" w:rsidRDefault="00FF3DC8" w:rsidP="00C9617C">
      <w:pPr>
        <w:jc w:val="center"/>
      </w:pPr>
    </w:p>
    <w:sectPr w:rsidR="00FF3DC8" w:rsidRPr="00503D23" w:rsidSect="00FF3DC8">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0B" w:rsidRDefault="0070140B">
      <w:r>
        <w:separator/>
      </w:r>
    </w:p>
  </w:endnote>
  <w:endnote w:type="continuationSeparator" w:id="0">
    <w:p w:rsidR="0070140B" w:rsidRDefault="0070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0B" w:rsidRDefault="0070140B">
      <w:r>
        <w:separator/>
      </w:r>
    </w:p>
  </w:footnote>
  <w:footnote w:type="continuationSeparator" w:id="0">
    <w:p w:rsidR="0070140B" w:rsidRDefault="007014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5936"/>
    <w:multiLevelType w:val="hybridMultilevel"/>
    <w:tmpl w:val="3E0E03FE"/>
    <w:lvl w:ilvl="0" w:tplc="A3323E74">
      <w:start w:val="1"/>
      <w:numFmt w:val="decimal"/>
      <w:lvlText w:val="%1."/>
      <w:lvlJc w:val="left"/>
      <w:pPr>
        <w:tabs>
          <w:tab w:val="num" w:pos="1077"/>
        </w:tabs>
        <w:ind w:left="1077" w:hanging="360"/>
      </w:pPr>
      <w:rPr>
        <w:i/>
      </w:rPr>
    </w:lvl>
    <w:lvl w:ilvl="1" w:tplc="04100019">
      <w:start w:val="1"/>
      <w:numFmt w:val="lowerLetter"/>
      <w:lvlText w:val="%2."/>
      <w:lvlJc w:val="left"/>
      <w:pPr>
        <w:tabs>
          <w:tab w:val="num" w:pos="1797"/>
        </w:tabs>
        <w:ind w:left="1797" w:hanging="360"/>
      </w:pPr>
    </w:lvl>
    <w:lvl w:ilvl="2" w:tplc="0410001B">
      <w:start w:val="1"/>
      <w:numFmt w:val="lowerRoman"/>
      <w:lvlText w:val="%3."/>
      <w:lvlJc w:val="right"/>
      <w:pPr>
        <w:tabs>
          <w:tab w:val="num" w:pos="2517"/>
        </w:tabs>
        <w:ind w:left="2517" w:hanging="180"/>
      </w:pPr>
    </w:lvl>
    <w:lvl w:ilvl="3" w:tplc="0410000F">
      <w:start w:val="1"/>
      <w:numFmt w:val="decimal"/>
      <w:lvlText w:val="%4."/>
      <w:lvlJc w:val="left"/>
      <w:pPr>
        <w:tabs>
          <w:tab w:val="num" w:pos="3237"/>
        </w:tabs>
        <w:ind w:left="3237" w:hanging="360"/>
      </w:pPr>
    </w:lvl>
    <w:lvl w:ilvl="4" w:tplc="04100019">
      <w:start w:val="1"/>
      <w:numFmt w:val="lowerLetter"/>
      <w:lvlText w:val="%5."/>
      <w:lvlJc w:val="left"/>
      <w:pPr>
        <w:tabs>
          <w:tab w:val="num" w:pos="3957"/>
        </w:tabs>
        <w:ind w:left="3957" w:hanging="360"/>
      </w:pPr>
    </w:lvl>
    <w:lvl w:ilvl="5" w:tplc="0410001B">
      <w:start w:val="1"/>
      <w:numFmt w:val="lowerRoman"/>
      <w:lvlText w:val="%6."/>
      <w:lvlJc w:val="right"/>
      <w:pPr>
        <w:tabs>
          <w:tab w:val="num" w:pos="4677"/>
        </w:tabs>
        <w:ind w:left="4677" w:hanging="180"/>
      </w:pPr>
    </w:lvl>
    <w:lvl w:ilvl="6" w:tplc="0410000F">
      <w:start w:val="1"/>
      <w:numFmt w:val="decimal"/>
      <w:lvlText w:val="%7."/>
      <w:lvlJc w:val="left"/>
      <w:pPr>
        <w:tabs>
          <w:tab w:val="num" w:pos="5397"/>
        </w:tabs>
        <w:ind w:left="5397" w:hanging="360"/>
      </w:pPr>
    </w:lvl>
    <w:lvl w:ilvl="7" w:tplc="04100019">
      <w:start w:val="1"/>
      <w:numFmt w:val="lowerLetter"/>
      <w:lvlText w:val="%8."/>
      <w:lvlJc w:val="left"/>
      <w:pPr>
        <w:tabs>
          <w:tab w:val="num" w:pos="6117"/>
        </w:tabs>
        <w:ind w:left="6117" w:hanging="360"/>
      </w:pPr>
    </w:lvl>
    <w:lvl w:ilvl="8" w:tplc="0410001B">
      <w:start w:val="1"/>
      <w:numFmt w:val="lowerRoman"/>
      <w:lvlText w:val="%9."/>
      <w:lvlJc w:val="right"/>
      <w:pPr>
        <w:tabs>
          <w:tab w:val="num" w:pos="6837"/>
        </w:tabs>
        <w:ind w:left="6837" w:hanging="180"/>
      </w:pPr>
    </w:lvl>
  </w:abstractNum>
  <w:abstractNum w:abstractNumId="1" w15:restartNumberingAfterBreak="0">
    <w:nsid w:val="1DA566E7"/>
    <w:multiLevelType w:val="hybridMultilevel"/>
    <w:tmpl w:val="CE24B800"/>
    <w:lvl w:ilvl="0" w:tplc="41CA3D8C">
      <w:start w:val="1"/>
      <w:numFmt w:val="lowerLetter"/>
      <w:lvlText w:val="%1)"/>
      <w:lvlJc w:val="left"/>
      <w:pPr>
        <w:ind w:left="1120" w:hanging="552"/>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20621293"/>
    <w:multiLevelType w:val="hybridMultilevel"/>
    <w:tmpl w:val="97F419FC"/>
    <w:lvl w:ilvl="0" w:tplc="65529AB4">
      <w:start w:val="1"/>
      <w:numFmt w:val="lowerLetter"/>
      <w:lvlText w:val="%1)"/>
      <w:lvlJc w:val="left"/>
      <w:pPr>
        <w:ind w:left="872" w:hanging="588"/>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4725177"/>
    <w:multiLevelType w:val="multilevel"/>
    <w:tmpl w:val="FC18E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A0F57"/>
    <w:multiLevelType w:val="hybridMultilevel"/>
    <w:tmpl w:val="DE58706E"/>
    <w:lvl w:ilvl="0" w:tplc="7D08057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1B48E7"/>
    <w:multiLevelType w:val="hybridMultilevel"/>
    <w:tmpl w:val="9D041F72"/>
    <w:lvl w:ilvl="0" w:tplc="6902FD1A">
      <w:start w:val="2"/>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2D1255DE"/>
    <w:multiLevelType w:val="hybridMultilevel"/>
    <w:tmpl w:val="BDA6441E"/>
    <w:lvl w:ilvl="0" w:tplc="64F69FA4">
      <w:start w:val="1"/>
      <w:numFmt w:val="lowerLetter"/>
      <w:lvlText w:val="%1)"/>
      <w:lvlJc w:val="left"/>
      <w:pPr>
        <w:ind w:left="1076" w:hanging="792"/>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D235B9F"/>
    <w:multiLevelType w:val="hybridMultilevel"/>
    <w:tmpl w:val="712C20C8"/>
    <w:lvl w:ilvl="0" w:tplc="9C668660">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cs="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cs="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2F3834F2"/>
    <w:multiLevelType w:val="hybridMultilevel"/>
    <w:tmpl w:val="CE00540E"/>
    <w:lvl w:ilvl="0" w:tplc="65529AB4">
      <w:start w:val="1"/>
      <w:numFmt w:val="lowerLetter"/>
      <w:lvlText w:val="%1)"/>
      <w:lvlJc w:val="left"/>
      <w:pPr>
        <w:ind w:left="1156" w:hanging="588"/>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80603F4"/>
    <w:multiLevelType w:val="hybridMultilevel"/>
    <w:tmpl w:val="A89AA72E"/>
    <w:lvl w:ilvl="0" w:tplc="B1E2E1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947796"/>
    <w:multiLevelType w:val="hybridMultilevel"/>
    <w:tmpl w:val="047452F8"/>
    <w:lvl w:ilvl="0" w:tplc="32AE9BC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C204BE7"/>
    <w:multiLevelType w:val="hybridMultilevel"/>
    <w:tmpl w:val="2A34524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 w15:restartNumberingAfterBreak="0">
    <w:nsid w:val="3E2D0766"/>
    <w:multiLevelType w:val="hybridMultilevel"/>
    <w:tmpl w:val="19E6F89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E463CB3"/>
    <w:multiLevelType w:val="hybridMultilevel"/>
    <w:tmpl w:val="AB72BC8A"/>
    <w:lvl w:ilvl="0" w:tplc="32AE9BC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3FA6000F"/>
    <w:multiLevelType w:val="hybridMultilevel"/>
    <w:tmpl w:val="FD02C53A"/>
    <w:lvl w:ilvl="0" w:tplc="0410000F">
      <w:start w:val="1"/>
      <w:numFmt w:val="decimal"/>
      <w:lvlText w:val="%1."/>
      <w:lvlJc w:val="left"/>
      <w:pPr>
        <w:tabs>
          <w:tab w:val="num" w:pos="1077"/>
        </w:tabs>
        <w:ind w:left="1077" w:hanging="360"/>
      </w:pPr>
    </w:lvl>
    <w:lvl w:ilvl="1" w:tplc="8CE4814A">
      <w:start w:val="1"/>
      <w:numFmt w:val="lowerLetter"/>
      <w:lvlText w:val="%2."/>
      <w:lvlJc w:val="left"/>
      <w:pPr>
        <w:tabs>
          <w:tab w:val="num" w:pos="1797"/>
        </w:tabs>
        <w:ind w:left="1797" w:hanging="360"/>
      </w:pPr>
    </w:lvl>
    <w:lvl w:ilvl="2" w:tplc="0410001B">
      <w:start w:val="1"/>
      <w:numFmt w:val="lowerRoman"/>
      <w:lvlText w:val="%3."/>
      <w:lvlJc w:val="right"/>
      <w:pPr>
        <w:tabs>
          <w:tab w:val="num" w:pos="2517"/>
        </w:tabs>
        <w:ind w:left="2517" w:hanging="180"/>
      </w:pPr>
    </w:lvl>
    <w:lvl w:ilvl="3" w:tplc="0410000F">
      <w:start w:val="1"/>
      <w:numFmt w:val="decimal"/>
      <w:lvlText w:val="%4."/>
      <w:lvlJc w:val="left"/>
      <w:pPr>
        <w:tabs>
          <w:tab w:val="num" w:pos="3237"/>
        </w:tabs>
        <w:ind w:left="3237" w:hanging="360"/>
      </w:pPr>
    </w:lvl>
    <w:lvl w:ilvl="4" w:tplc="04100019">
      <w:start w:val="1"/>
      <w:numFmt w:val="lowerLetter"/>
      <w:lvlText w:val="%5."/>
      <w:lvlJc w:val="left"/>
      <w:pPr>
        <w:tabs>
          <w:tab w:val="num" w:pos="3957"/>
        </w:tabs>
        <w:ind w:left="3957" w:hanging="360"/>
      </w:pPr>
    </w:lvl>
    <w:lvl w:ilvl="5" w:tplc="0410001B">
      <w:start w:val="1"/>
      <w:numFmt w:val="lowerRoman"/>
      <w:lvlText w:val="%6."/>
      <w:lvlJc w:val="right"/>
      <w:pPr>
        <w:tabs>
          <w:tab w:val="num" w:pos="4677"/>
        </w:tabs>
        <w:ind w:left="4677" w:hanging="180"/>
      </w:pPr>
    </w:lvl>
    <w:lvl w:ilvl="6" w:tplc="0410000F">
      <w:start w:val="1"/>
      <w:numFmt w:val="decimal"/>
      <w:lvlText w:val="%7."/>
      <w:lvlJc w:val="left"/>
      <w:pPr>
        <w:tabs>
          <w:tab w:val="num" w:pos="5397"/>
        </w:tabs>
        <w:ind w:left="5397" w:hanging="360"/>
      </w:pPr>
    </w:lvl>
    <w:lvl w:ilvl="7" w:tplc="04100019">
      <w:start w:val="1"/>
      <w:numFmt w:val="lowerLetter"/>
      <w:lvlText w:val="%8."/>
      <w:lvlJc w:val="left"/>
      <w:pPr>
        <w:tabs>
          <w:tab w:val="num" w:pos="6117"/>
        </w:tabs>
        <w:ind w:left="6117" w:hanging="360"/>
      </w:pPr>
    </w:lvl>
    <w:lvl w:ilvl="8" w:tplc="0410001B">
      <w:start w:val="1"/>
      <w:numFmt w:val="lowerRoman"/>
      <w:lvlText w:val="%9."/>
      <w:lvlJc w:val="right"/>
      <w:pPr>
        <w:tabs>
          <w:tab w:val="num" w:pos="6837"/>
        </w:tabs>
        <w:ind w:left="6837" w:hanging="180"/>
      </w:pPr>
    </w:lvl>
  </w:abstractNum>
  <w:abstractNum w:abstractNumId="15" w15:restartNumberingAfterBreak="0">
    <w:nsid w:val="3FB00382"/>
    <w:multiLevelType w:val="hybridMultilevel"/>
    <w:tmpl w:val="1D5CA04A"/>
    <w:lvl w:ilvl="0" w:tplc="69F69B02">
      <w:start w:val="1"/>
      <w:numFmt w:val="lowerLetter"/>
      <w:lvlText w:val="%1)"/>
      <w:lvlJc w:val="left"/>
      <w:pPr>
        <w:ind w:left="884" w:hanging="60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43DA5264"/>
    <w:multiLevelType w:val="hybridMultilevel"/>
    <w:tmpl w:val="2DEAE5FE"/>
    <w:lvl w:ilvl="0" w:tplc="04100001">
      <w:start w:val="1"/>
      <w:numFmt w:val="bullet"/>
      <w:lvlText w:val=""/>
      <w:lvlJc w:val="left"/>
      <w:pPr>
        <w:tabs>
          <w:tab w:val="num" w:pos="1004"/>
        </w:tabs>
        <w:ind w:left="1004"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6991AB1"/>
    <w:multiLevelType w:val="hybridMultilevel"/>
    <w:tmpl w:val="78528088"/>
    <w:lvl w:ilvl="0" w:tplc="32AE9BC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4A1C9C"/>
    <w:multiLevelType w:val="hybridMultilevel"/>
    <w:tmpl w:val="7B98D1E4"/>
    <w:lvl w:ilvl="0" w:tplc="6D9C65F8">
      <w:numFmt w:val="bullet"/>
      <w:lvlText w:val="-"/>
      <w:lvlJc w:val="left"/>
      <w:pPr>
        <w:ind w:left="717" w:hanging="360"/>
      </w:pPr>
      <w:rPr>
        <w:rFonts w:ascii="Georgia" w:eastAsia="Times New Roman" w:hAnsi="Georgia"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9" w15:restartNumberingAfterBreak="0">
    <w:nsid w:val="50CD1014"/>
    <w:multiLevelType w:val="hybridMultilevel"/>
    <w:tmpl w:val="FD1EEAAC"/>
    <w:lvl w:ilvl="0" w:tplc="9C668660">
      <w:start w:val="1"/>
      <w:numFmt w:val="bullet"/>
      <w:lvlText w:val=""/>
      <w:lvlJc w:val="left"/>
      <w:pPr>
        <w:tabs>
          <w:tab w:val="num" w:pos="1077"/>
        </w:tabs>
        <w:ind w:left="1077" w:hanging="360"/>
      </w:pPr>
      <w:rPr>
        <w:rFonts w:ascii="Symbol" w:hAnsi="Symbol" w:hint="default"/>
      </w:rPr>
    </w:lvl>
    <w:lvl w:ilvl="1" w:tplc="04100003">
      <w:start w:val="1"/>
      <w:numFmt w:val="bullet"/>
      <w:lvlText w:val="o"/>
      <w:lvlJc w:val="left"/>
      <w:pPr>
        <w:tabs>
          <w:tab w:val="num" w:pos="1797"/>
        </w:tabs>
        <w:ind w:left="1797" w:hanging="360"/>
      </w:pPr>
      <w:rPr>
        <w:rFonts w:ascii="Courier New" w:hAnsi="Courier New" w:cs="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cs="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cs="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AA113AB"/>
    <w:multiLevelType w:val="hybridMultilevel"/>
    <w:tmpl w:val="885A5F46"/>
    <w:lvl w:ilvl="0" w:tplc="94A4CC5E">
      <w:start w:val="3"/>
      <w:numFmt w:val="decimal"/>
      <w:lvlText w:val="%1."/>
      <w:lvlJc w:val="left"/>
      <w:pPr>
        <w:tabs>
          <w:tab w:val="num" w:pos="1077"/>
        </w:tabs>
        <w:ind w:left="1077"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658D1EB3"/>
    <w:multiLevelType w:val="hybridMultilevel"/>
    <w:tmpl w:val="6EF297D4"/>
    <w:lvl w:ilvl="0" w:tplc="41CA3D8C">
      <w:start w:val="1"/>
      <w:numFmt w:val="lowerLetter"/>
      <w:lvlText w:val="%1)"/>
      <w:lvlJc w:val="left"/>
      <w:pPr>
        <w:ind w:left="836" w:hanging="552"/>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70DD19E2"/>
    <w:multiLevelType w:val="hybridMultilevel"/>
    <w:tmpl w:val="D45082C2"/>
    <w:lvl w:ilvl="0" w:tplc="32AE9BC2">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3" w15:restartNumberingAfterBreak="0">
    <w:nsid w:val="74FC3BCA"/>
    <w:multiLevelType w:val="hybridMultilevel"/>
    <w:tmpl w:val="EADA41BC"/>
    <w:lvl w:ilvl="0" w:tplc="69F69B02">
      <w:start w:val="1"/>
      <w:numFmt w:val="lowerLetter"/>
      <w:lvlText w:val="%1)"/>
      <w:lvlJc w:val="left"/>
      <w:pPr>
        <w:ind w:left="1168" w:hanging="60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15:restartNumberingAfterBreak="0">
    <w:nsid w:val="7A9338C5"/>
    <w:multiLevelType w:val="hybridMultilevel"/>
    <w:tmpl w:val="275654C2"/>
    <w:lvl w:ilvl="0" w:tplc="32AE9BC2">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7DB14AF4"/>
    <w:multiLevelType w:val="multilevel"/>
    <w:tmpl w:val="8862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8"/>
  </w:num>
  <w:num w:numId="4">
    <w:abstractNumId w:val="24"/>
  </w:num>
  <w:num w:numId="5">
    <w:abstractNumId w:val="13"/>
  </w:num>
  <w:num w:numId="6">
    <w:abstractNumId w:val="10"/>
  </w:num>
  <w:num w:numId="7">
    <w:abstractNumId w:val="12"/>
  </w:num>
  <w:num w:numId="8">
    <w:abstractNumId w:val="11"/>
  </w:num>
  <w:num w:numId="9">
    <w:abstractNumId w:val="2"/>
  </w:num>
  <w:num w:numId="10">
    <w:abstractNumId w:val="8"/>
  </w:num>
  <w:num w:numId="11">
    <w:abstractNumId w:val="21"/>
  </w:num>
  <w:num w:numId="12">
    <w:abstractNumId w:val="1"/>
  </w:num>
  <w:num w:numId="13">
    <w:abstractNumId w:val="15"/>
  </w:num>
  <w:num w:numId="14">
    <w:abstractNumId w:val="23"/>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num>
  <w:num w:numId="22">
    <w:abstractNumId w:val="25"/>
  </w:num>
  <w:num w:numId="23">
    <w:abstractNumId w:val="0"/>
  </w:num>
  <w:num w:numId="24">
    <w:abstractNumId w:val="22"/>
  </w:num>
  <w:num w:numId="25">
    <w:abstractNumId w:val="17"/>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F0"/>
    <w:rsid w:val="00025F30"/>
    <w:rsid w:val="00084EB6"/>
    <w:rsid w:val="00086D79"/>
    <w:rsid w:val="000C5062"/>
    <w:rsid w:val="000E347F"/>
    <w:rsid w:val="000E5D64"/>
    <w:rsid w:val="000F038A"/>
    <w:rsid w:val="000F1BEA"/>
    <w:rsid w:val="00113084"/>
    <w:rsid w:val="00124B3E"/>
    <w:rsid w:val="001445CC"/>
    <w:rsid w:val="00172995"/>
    <w:rsid w:val="0019320A"/>
    <w:rsid w:val="001A6187"/>
    <w:rsid w:val="001B0EB1"/>
    <w:rsid w:val="001C28E3"/>
    <w:rsid w:val="001D28ED"/>
    <w:rsid w:val="0020381D"/>
    <w:rsid w:val="00222D59"/>
    <w:rsid w:val="00236EC1"/>
    <w:rsid w:val="002403C8"/>
    <w:rsid w:val="00242F50"/>
    <w:rsid w:val="002550A7"/>
    <w:rsid w:val="00257AFA"/>
    <w:rsid w:val="002904B5"/>
    <w:rsid w:val="002D2038"/>
    <w:rsid w:val="002D6187"/>
    <w:rsid w:val="002F2EA0"/>
    <w:rsid w:val="002F56A4"/>
    <w:rsid w:val="00302C9B"/>
    <w:rsid w:val="0030369B"/>
    <w:rsid w:val="003066FE"/>
    <w:rsid w:val="003135BA"/>
    <w:rsid w:val="0032698C"/>
    <w:rsid w:val="0034524D"/>
    <w:rsid w:val="003604A4"/>
    <w:rsid w:val="00360C15"/>
    <w:rsid w:val="0036473B"/>
    <w:rsid w:val="00372BD8"/>
    <w:rsid w:val="0038239A"/>
    <w:rsid w:val="003902DB"/>
    <w:rsid w:val="003D0509"/>
    <w:rsid w:val="00401382"/>
    <w:rsid w:val="004163BA"/>
    <w:rsid w:val="00416BC1"/>
    <w:rsid w:val="00427FFC"/>
    <w:rsid w:val="0044624D"/>
    <w:rsid w:val="0045033C"/>
    <w:rsid w:val="00450DD3"/>
    <w:rsid w:val="00452746"/>
    <w:rsid w:val="00455D85"/>
    <w:rsid w:val="00493217"/>
    <w:rsid w:val="004A4933"/>
    <w:rsid w:val="004B71D9"/>
    <w:rsid w:val="004C5470"/>
    <w:rsid w:val="004E3088"/>
    <w:rsid w:val="004F7ED7"/>
    <w:rsid w:val="00503D23"/>
    <w:rsid w:val="0052194B"/>
    <w:rsid w:val="00530D66"/>
    <w:rsid w:val="005433AD"/>
    <w:rsid w:val="00573A2E"/>
    <w:rsid w:val="005832AB"/>
    <w:rsid w:val="0058421D"/>
    <w:rsid w:val="005D6782"/>
    <w:rsid w:val="005E2905"/>
    <w:rsid w:val="005F4BC3"/>
    <w:rsid w:val="006001F0"/>
    <w:rsid w:val="00633EA7"/>
    <w:rsid w:val="00647A0F"/>
    <w:rsid w:val="00652E84"/>
    <w:rsid w:val="00684B56"/>
    <w:rsid w:val="00690A40"/>
    <w:rsid w:val="006A703E"/>
    <w:rsid w:val="006D2FD0"/>
    <w:rsid w:val="006D6E69"/>
    <w:rsid w:val="006E5730"/>
    <w:rsid w:val="006F07D1"/>
    <w:rsid w:val="006F65D9"/>
    <w:rsid w:val="0070140B"/>
    <w:rsid w:val="00715EF3"/>
    <w:rsid w:val="00717D50"/>
    <w:rsid w:val="00721672"/>
    <w:rsid w:val="00727968"/>
    <w:rsid w:val="0076687F"/>
    <w:rsid w:val="00775DF9"/>
    <w:rsid w:val="007809CD"/>
    <w:rsid w:val="007B6438"/>
    <w:rsid w:val="007B76A8"/>
    <w:rsid w:val="007E7EC2"/>
    <w:rsid w:val="0080505D"/>
    <w:rsid w:val="0081177C"/>
    <w:rsid w:val="008117C2"/>
    <w:rsid w:val="00811C04"/>
    <w:rsid w:val="008175F9"/>
    <w:rsid w:val="00830726"/>
    <w:rsid w:val="0083542E"/>
    <w:rsid w:val="0087227C"/>
    <w:rsid w:val="00880D33"/>
    <w:rsid w:val="00881AB1"/>
    <w:rsid w:val="00887D4D"/>
    <w:rsid w:val="008D5978"/>
    <w:rsid w:val="008E6A0F"/>
    <w:rsid w:val="008F0F60"/>
    <w:rsid w:val="00906CC5"/>
    <w:rsid w:val="00917AF2"/>
    <w:rsid w:val="00944EA6"/>
    <w:rsid w:val="00950DCE"/>
    <w:rsid w:val="009666E0"/>
    <w:rsid w:val="009746A6"/>
    <w:rsid w:val="00974A8B"/>
    <w:rsid w:val="009A1692"/>
    <w:rsid w:val="009B7875"/>
    <w:rsid w:val="009C1232"/>
    <w:rsid w:val="009C21A5"/>
    <w:rsid w:val="009D4810"/>
    <w:rsid w:val="00A006E4"/>
    <w:rsid w:val="00A275B5"/>
    <w:rsid w:val="00A44BCD"/>
    <w:rsid w:val="00A44C70"/>
    <w:rsid w:val="00A53280"/>
    <w:rsid w:val="00A57613"/>
    <w:rsid w:val="00A9453A"/>
    <w:rsid w:val="00A977AD"/>
    <w:rsid w:val="00AD3FD3"/>
    <w:rsid w:val="00AF1FEF"/>
    <w:rsid w:val="00B14A07"/>
    <w:rsid w:val="00B14B8F"/>
    <w:rsid w:val="00B44ABA"/>
    <w:rsid w:val="00B82F68"/>
    <w:rsid w:val="00BA101B"/>
    <w:rsid w:val="00BA2016"/>
    <w:rsid w:val="00BA6439"/>
    <w:rsid w:val="00BF2E49"/>
    <w:rsid w:val="00C11523"/>
    <w:rsid w:val="00C25D6A"/>
    <w:rsid w:val="00C9617C"/>
    <w:rsid w:val="00CB5C6A"/>
    <w:rsid w:val="00CD16FC"/>
    <w:rsid w:val="00CD25B7"/>
    <w:rsid w:val="00CD3A39"/>
    <w:rsid w:val="00CF1C02"/>
    <w:rsid w:val="00CF4CCE"/>
    <w:rsid w:val="00D105B7"/>
    <w:rsid w:val="00D16902"/>
    <w:rsid w:val="00D44235"/>
    <w:rsid w:val="00D625D1"/>
    <w:rsid w:val="00D97D15"/>
    <w:rsid w:val="00DA4934"/>
    <w:rsid w:val="00DC53FF"/>
    <w:rsid w:val="00DD6F01"/>
    <w:rsid w:val="00DE3E44"/>
    <w:rsid w:val="00DF0885"/>
    <w:rsid w:val="00DF4ABB"/>
    <w:rsid w:val="00E03212"/>
    <w:rsid w:val="00E078E0"/>
    <w:rsid w:val="00E10363"/>
    <w:rsid w:val="00E10E7B"/>
    <w:rsid w:val="00E12304"/>
    <w:rsid w:val="00E63FD4"/>
    <w:rsid w:val="00E9046D"/>
    <w:rsid w:val="00E9550E"/>
    <w:rsid w:val="00ED0ED5"/>
    <w:rsid w:val="00ED37FD"/>
    <w:rsid w:val="00ED635C"/>
    <w:rsid w:val="00ED6FA8"/>
    <w:rsid w:val="00F20E16"/>
    <w:rsid w:val="00F231A2"/>
    <w:rsid w:val="00F30CB4"/>
    <w:rsid w:val="00F44A2E"/>
    <w:rsid w:val="00F452F0"/>
    <w:rsid w:val="00FA7D7F"/>
    <w:rsid w:val="00FB3FC6"/>
    <w:rsid w:val="00FB5680"/>
    <w:rsid w:val="00FC0FF9"/>
    <w:rsid w:val="00FC1551"/>
    <w:rsid w:val="00FF3DC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300"/>
  <w15:docId w15:val="{C21059B6-D329-41ED-9FD2-202525CA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91019"/>
    <w:rPr>
      <w:sz w:val="24"/>
      <w:szCs w:val="24"/>
      <w:lang w:eastAsia="en-US"/>
    </w:rPr>
  </w:style>
  <w:style w:type="paragraph" w:styleId="Titolo1">
    <w:name w:val="heading 1"/>
    <w:basedOn w:val="Normale"/>
    <w:next w:val="Normale"/>
    <w:link w:val="Titolo1Carattere"/>
    <w:uiPriority w:val="9"/>
    <w:qFormat/>
    <w:rsid w:val="00360C15"/>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360C15"/>
    <w:pPr>
      <w:overflowPunct w:val="0"/>
      <w:autoSpaceDE w:val="0"/>
      <w:autoSpaceDN w:val="0"/>
      <w:adjustRightInd w:val="0"/>
      <w:spacing w:after="720"/>
      <w:jc w:val="center"/>
      <w:textAlignment w:val="baseline"/>
      <w:outlineLvl w:val="1"/>
    </w:pPr>
    <w:rPr>
      <w:rFonts w:ascii="Times New Roman" w:eastAsia="Times New Roman" w:hAnsi="Times New Roman"/>
      <w:b/>
      <w:caps/>
      <w:sz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link w:val="Normale1Carattere"/>
    <w:rsid w:val="00AE7C16"/>
    <w:pPr>
      <w:spacing w:after="120"/>
      <w:ind w:firstLine="1134"/>
      <w:jc w:val="both"/>
    </w:pPr>
    <w:rPr>
      <w:rFonts w:ascii="Times New Roman" w:eastAsia="Times New Roman" w:hAnsi="Times New Roman"/>
      <w:sz w:val="24"/>
    </w:rPr>
  </w:style>
  <w:style w:type="paragraph" w:styleId="Testonotaapidipagina">
    <w:name w:val="footnote text"/>
    <w:basedOn w:val="Normale"/>
    <w:link w:val="TestonotaapidipaginaCarattere"/>
    <w:uiPriority w:val="99"/>
    <w:rsid w:val="00AE7C16"/>
    <w:rPr>
      <w:rFonts w:ascii="Times New Roman" w:eastAsia="Times New Roman" w:hAnsi="Times New Roman"/>
      <w:sz w:val="20"/>
      <w:szCs w:val="20"/>
      <w:lang w:eastAsia="it-IT"/>
    </w:rPr>
  </w:style>
  <w:style w:type="character" w:styleId="Rimandonotaapidipagina">
    <w:name w:val="footnote reference"/>
    <w:aliases w:val="(Footnote Reference),SUPERS,Times 10 Point,Exposant 3 Point,Footnote symbol,Footnote reference number,EN Footnote Refer,BVI fnr,Footnote,Voetnootverwijzing,note TESI,EN Footnote Reference,Footnote number,fr,o,Footnotemark,FR"/>
    <w:uiPriority w:val="99"/>
    <w:rsid w:val="00AE7C16"/>
    <w:rPr>
      <w:vertAlign w:val="superscript"/>
    </w:rPr>
  </w:style>
  <w:style w:type="paragraph" w:customStyle="1" w:styleId="Testonota">
    <w:name w:val="Testo nota"/>
    <w:basedOn w:val="Normale1"/>
    <w:rsid w:val="00AE7C16"/>
    <w:pPr>
      <w:ind w:firstLine="284"/>
    </w:pPr>
    <w:rPr>
      <w:rFonts w:ascii="Georgia" w:hAnsi="Georgia"/>
    </w:rPr>
  </w:style>
  <w:style w:type="character" w:customStyle="1" w:styleId="Titolonota">
    <w:name w:val="Titolo nota"/>
    <w:rsid w:val="00AE7C16"/>
    <w:rPr>
      <w:rFonts w:ascii="Georgia" w:hAnsi="Georgia"/>
      <w:sz w:val="28"/>
    </w:rPr>
  </w:style>
  <w:style w:type="paragraph" w:customStyle="1" w:styleId="NumeroDatanota">
    <w:name w:val="Numero/Data nota"/>
    <w:basedOn w:val="Normale"/>
    <w:rsid w:val="00AE7C16"/>
    <w:pPr>
      <w:jc w:val="center"/>
    </w:pPr>
    <w:rPr>
      <w:rFonts w:ascii="Georgia" w:eastAsia="Times New Roman" w:hAnsi="Georgia"/>
      <w:sz w:val="28"/>
      <w:szCs w:val="20"/>
      <w:lang w:eastAsia="it-IT"/>
    </w:rPr>
  </w:style>
  <w:style w:type="paragraph" w:customStyle="1" w:styleId="NOWEB">
    <w:name w:val="NOWEB"/>
    <w:basedOn w:val="Normale"/>
    <w:rsid w:val="00AE7C16"/>
    <w:pPr>
      <w:spacing w:line="300" w:lineRule="atLeast"/>
      <w:ind w:firstLine="284"/>
      <w:jc w:val="both"/>
    </w:pPr>
    <w:rPr>
      <w:rFonts w:ascii="Arial" w:eastAsia="Times New Roman" w:hAnsi="Arial"/>
      <w:b/>
      <w:vanish/>
      <w:color w:val="FF0000"/>
      <w:sz w:val="22"/>
      <w:szCs w:val="22"/>
      <w:u w:val="single"/>
      <w:lang w:eastAsia="it-IT"/>
    </w:rPr>
  </w:style>
  <w:style w:type="character" w:styleId="Collegamentoipertestuale">
    <w:name w:val="Hyperlink"/>
    <w:rsid w:val="00CD5FF6"/>
    <w:rPr>
      <w:color w:val="0000FF"/>
      <w:u w:val="single"/>
    </w:rPr>
  </w:style>
  <w:style w:type="character" w:styleId="Collegamentovisitato">
    <w:name w:val="FollowedHyperlink"/>
    <w:rsid w:val="003D0509"/>
    <w:rPr>
      <w:color w:val="800080"/>
      <w:u w:val="single"/>
    </w:rPr>
  </w:style>
  <w:style w:type="character" w:customStyle="1" w:styleId="Titolo2Carattere">
    <w:name w:val="Titolo 2 Carattere"/>
    <w:basedOn w:val="Carpredefinitoparagrafo"/>
    <w:link w:val="Titolo2"/>
    <w:rsid w:val="00360C15"/>
    <w:rPr>
      <w:rFonts w:ascii="Times New Roman" w:eastAsia="Times New Roman" w:hAnsi="Times New Roman"/>
      <w:b/>
      <w:caps/>
      <w:sz w:val="26"/>
      <w:szCs w:val="24"/>
    </w:rPr>
  </w:style>
  <w:style w:type="paragraph" w:styleId="NormaleWeb">
    <w:name w:val="Normal (Web)"/>
    <w:basedOn w:val="Normale"/>
    <w:uiPriority w:val="99"/>
    <w:rsid w:val="00360C15"/>
    <w:pPr>
      <w:spacing w:before="100" w:beforeAutospacing="1" w:after="100" w:afterAutospacing="1"/>
    </w:pPr>
    <w:rPr>
      <w:rFonts w:ascii="Times New Roman" w:eastAsia="Times New Roman" w:hAnsi="Times New Roman"/>
      <w:lang w:eastAsia="it-IT"/>
    </w:rPr>
  </w:style>
  <w:style w:type="character" w:styleId="Enfasigrassetto">
    <w:name w:val="Strong"/>
    <w:uiPriority w:val="22"/>
    <w:qFormat/>
    <w:rsid w:val="00360C15"/>
    <w:rPr>
      <w:b/>
      <w:bCs/>
    </w:rPr>
  </w:style>
  <w:style w:type="paragraph" w:customStyle="1" w:styleId="Testodellascheda">
    <w:name w:val="Testo della scheda"/>
    <w:basedOn w:val="Normale"/>
    <w:rsid w:val="00360C15"/>
    <w:pPr>
      <w:pBdr>
        <w:top w:val="single" w:sz="6" w:space="8" w:color="auto"/>
        <w:left w:val="single" w:sz="6" w:space="8" w:color="auto"/>
        <w:bottom w:val="single" w:sz="6" w:space="8" w:color="auto"/>
        <w:right w:val="single" w:sz="6" w:space="8" w:color="auto"/>
      </w:pBdr>
      <w:jc w:val="both"/>
    </w:pPr>
    <w:rPr>
      <w:rFonts w:ascii="Times New Roman" w:eastAsia="Times New Roman" w:hAnsi="Times New Roman"/>
      <w:sz w:val="22"/>
      <w:szCs w:val="20"/>
      <w:lang w:eastAsia="it-IT"/>
    </w:rPr>
  </w:style>
  <w:style w:type="character" w:customStyle="1" w:styleId="Heading2Char">
    <w:name w:val="Heading 2 Char"/>
    <w:locked/>
    <w:rsid w:val="00360C15"/>
    <w:rPr>
      <w:rFonts w:eastAsia="Calibri"/>
      <w:b/>
      <w:caps/>
      <w:sz w:val="26"/>
      <w:szCs w:val="24"/>
      <w:lang w:val="it-IT" w:eastAsia="it-IT" w:bidi="ar-SA"/>
    </w:rPr>
  </w:style>
  <w:style w:type="character" w:customStyle="1" w:styleId="apple-converted-space">
    <w:name w:val="apple-converted-space"/>
    <w:rsid w:val="00360C15"/>
  </w:style>
  <w:style w:type="character" w:customStyle="1" w:styleId="TestonotaapidipaginaCarattere">
    <w:name w:val="Testo nota a piè di pagina Carattere"/>
    <w:link w:val="Testonotaapidipagina"/>
    <w:uiPriority w:val="99"/>
    <w:rsid w:val="00360C15"/>
    <w:rPr>
      <w:rFonts w:ascii="Times New Roman" w:eastAsia="Times New Roman" w:hAnsi="Times New Roman"/>
    </w:rPr>
  </w:style>
  <w:style w:type="character" w:customStyle="1" w:styleId="Titolo1Carattere">
    <w:name w:val="Titolo 1 Carattere"/>
    <w:basedOn w:val="Carpredefinitoparagrafo"/>
    <w:link w:val="Titolo1"/>
    <w:uiPriority w:val="9"/>
    <w:rsid w:val="00360C15"/>
    <w:rPr>
      <w:rFonts w:asciiTheme="majorHAnsi" w:eastAsiaTheme="majorEastAsia" w:hAnsiTheme="majorHAnsi" w:cstheme="majorBidi"/>
      <w:b/>
      <w:bCs/>
      <w:kern w:val="32"/>
      <w:sz w:val="32"/>
      <w:szCs w:val="32"/>
      <w:lang w:eastAsia="en-US"/>
    </w:rPr>
  </w:style>
  <w:style w:type="paragraph" w:styleId="Paragrafoelenco">
    <w:name w:val="List Paragraph"/>
    <w:basedOn w:val="Normale"/>
    <w:uiPriority w:val="72"/>
    <w:qFormat/>
    <w:rsid w:val="006D6E69"/>
    <w:pPr>
      <w:ind w:left="720"/>
      <w:contextualSpacing/>
    </w:pPr>
  </w:style>
  <w:style w:type="character" w:customStyle="1" w:styleId="Normale1Carattere">
    <w:name w:val="Normale1 Carattere"/>
    <w:basedOn w:val="Carpredefinitoparagrafo"/>
    <w:link w:val="Normale1"/>
    <w:locked/>
    <w:rsid w:val="0044624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4244">
      <w:bodyDiv w:val="1"/>
      <w:marLeft w:val="0"/>
      <w:marRight w:val="0"/>
      <w:marTop w:val="0"/>
      <w:marBottom w:val="0"/>
      <w:divBdr>
        <w:top w:val="none" w:sz="0" w:space="0" w:color="auto"/>
        <w:left w:val="none" w:sz="0" w:space="0" w:color="auto"/>
        <w:bottom w:val="none" w:sz="0" w:space="0" w:color="auto"/>
        <w:right w:val="none" w:sz="0" w:space="0" w:color="auto"/>
      </w:divBdr>
    </w:div>
    <w:div w:id="360060851">
      <w:bodyDiv w:val="1"/>
      <w:marLeft w:val="0"/>
      <w:marRight w:val="0"/>
      <w:marTop w:val="0"/>
      <w:marBottom w:val="0"/>
      <w:divBdr>
        <w:top w:val="none" w:sz="0" w:space="0" w:color="auto"/>
        <w:left w:val="none" w:sz="0" w:space="0" w:color="auto"/>
        <w:bottom w:val="none" w:sz="0" w:space="0" w:color="auto"/>
        <w:right w:val="none" w:sz="0" w:space="0" w:color="auto"/>
      </w:divBdr>
    </w:div>
    <w:div w:id="455953703">
      <w:bodyDiv w:val="1"/>
      <w:marLeft w:val="0"/>
      <w:marRight w:val="0"/>
      <w:marTop w:val="0"/>
      <w:marBottom w:val="0"/>
      <w:divBdr>
        <w:top w:val="none" w:sz="0" w:space="0" w:color="auto"/>
        <w:left w:val="none" w:sz="0" w:space="0" w:color="auto"/>
        <w:bottom w:val="none" w:sz="0" w:space="0" w:color="auto"/>
        <w:right w:val="none" w:sz="0" w:space="0" w:color="auto"/>
      </w:divBdr>
    </w:div>
    <w:div w:id="634214184">
      <w:bodyDiv w:val="1"/>
      <w:marLeft w:val="0"/>
      <w:marRight w:val="0"/>
      <w:marTop w:val="0"/>
      <w:marBottom w:val="0"/>
      <w:divBdr>
        <w:top w:val="none" w:sz="0" w:space="0" w:color="auto"/>
        <w:left w:val="none" w:sz="0" w:space="0" w:color="auto"/>
        <w:bottom w:val="none" w:sz="0" w:space="0" w:color="auto"/>
        <w:right w:val="none" w:sz="0" w:space="0" w:color="auto"/>
      </w:divBdr>
    </w:div>
    <w:div w:id="942146710">
      <w:bodyDiv w:val="1"/>
      <w:marLeft w:val="0"/>
      <w:marRight w:val="0"/>
      <w:marTop w:val="0"/>
      <w:marBottom w:val="0"/>
      <w:divBdr>
        <w:top w:val="none" w:sz="0" w:space="0" w:color="auto"/>
        <w:left w:val="none" w:sz="0" w:space="0" w:color="auto"/>
        <w:bottom w:val="none" w:sz="0" w:space="0" w:color="auto"/>
        <w:right w:val="none" w:sz="0" w:space="0" w:color="auto"/>
      </w:divBdr>
    </w:div>
    <w:div w:id="1028990891">
      <w:bodyDiv w:val="1"/>
      <w:marLeft w:val="0"/>
      <w:marRight w:val="0"/>
      <w:marTop w:val="0"/>
      <w:marBottom w:val="0"/>
      <w:divBdr>
        <w:top w:val="none" w:sz="0" w:space="0" w:color="auto"/>
        <w:left w:val="none" w:sz="0" w:space="0" w:color="auto"/>
        <w:bottom w:val="none" w:sz="0" w:space="0" w:color="auto"/>
        <w:right w:val="none" w:sz="0" w:space="0" w:color="auto"/>
      </w:divBdr>
    </w:div>
    <w:div w:id="1036201888">
      <w:bodyDiv w:val="1"/>
      <w:marLeft w:val="0"/>
      <w:marRight w:val="0"/>
      <w:marTop w:val="0"/>
      <w:marBottom w:val="0"/>
      <w:divBdr>
        <w:top w:val="none" w:sz="0" w:space="0" w:color="auto"/>
        <w:left w:val="none" w:sz="0" w:space="0" w:color="auto"/>
        <w:bottom w:val="none" w:sz="0" w:space="0" w:color="auto"/>
        <w:right w:val="none" w:sz="0" w:space="0" w:color="auto"/>
      </w:divBdr>
    </w:div>
    <w:div w:id="1062102044">
      <w:bodyDiv w:val="1"/>
      <w:marLeft w:val="0"/>
      <w:marRight w:val="0"/>
      <w:marTop w:val="0"/>
      <w:marBottom w:val="0"/>
      <w:divBdr>
        <w:top w:val="none" w:sz="0" w:space="0" w:color="auto"/>
        <w:left w:val="none" w:sz="0" w:space="0" w:color="auto"/>
        <w:bottom w:val="none" w:sz="0" w:space="0" w:color="auto"/>
        <w:right w:val="none" w:sz="0" w:space="0" w:color="auto"/>
      </w:divBdr>
    </w:div>
    <w:div w:id="1292401011">
      <w:bodyDiv w:val="1"/>
      <w:marLeft w:val="0"/>
      <w:marRight w:val="0"/>
      <w:marTop w:val="0"/>
      <w:marBottom w:val="0"/>
      <w:divBdr>
        <w:top w:val="none" w:sz="0" w:space="0" w:color="auto"/>
        <w:left w:val="none" w:sz="0" w:space="0" w:color="auto"/>
        <w:bottom w:val="none" w:sz="0" w:space="0" w:color="auto"/>
        <w:right w:val="none" w:sz="0" w:space="0" w:color="auto"/>
      </w:divBdr>
    </w:div>
    <w:div w:id="1925065440">
      <w:bodyDiv w:val="1"/>
      <w:marLeft w:val="0"/>
      <w:marRight w:val="0"/>
      <w:marTop w:val="0"/>
      <w:marBottom w:val="0"/>
      <w:divBdr>
        <w:top w:val="none" w:sz="0" w:space="0" w:color="auto"/>
        <w:left w:val="none" w:sz="0" w:space="0" w:color="auto"/>
        <w:bottom w:val="none" w:sz="0" w:space="0" w:color="auto"/>
        <w:right w:val="none" w:sz="0" w:space="0" w:color="auto"/>
      </w:divBdr>
    </w:div>
    <w:div w:id="2042896818">
      <w:bodyDiv w:val="1"/>
      <w:marLeft w:val="0"/>
      <w:marRight w:val="0"/>
      <w:marTop w:val="0"/>
      <w:marBottom w:val="0"/>
      <w:divBdr>
        <w:top w:val="none" w:sz="0" w:space="0" w:color="auto"/>
        <w:left w:val="none" w:sz="0" w:space="0" w:color="auto"/>
        <w:bottom w:val="none" w:sz="0" w:space="0" w:color="auto"/>
        <w:right w:val="none" w:sz="0" w:space="0" w:color="auto"/>
      </w:divBdr>
    </w:div>
    <w:div w:id="21175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ao.gouv.fr/content/download/290/2244/version/1/file/AB-CC-animaux-de-compagnie.pdf" TargetMode="External"/><Relationship Id="rId18" Type="http://schemas.openxmlformats.org/officeDocument/2006/relationships/hyperlink" Target="https://www.gesetze-im-internet.de/_kokennzg/index.html" TargetMode="External"/><Relationship Id="rId26" Type="http://schemas.openxmlformats.org/officeDocument/2006/relationships/hyperlink" Target="https://www.demeter.es/oficina-certificacion-demeter-espana/" TargetMode="External"/><Relationship Id="rId3" Type="http://schemas.openxmlformats.org/officeDocument/2006/relationships/styles" Target="styles.xml"/><Relationship Id="rId21" Type="http://schemas.openxmlformats.org/officeDocument/2006/relationships/hyperlink" Target="https://www.demeter.de/sites/default/files/richtlinien/richtlinien_gesamt.pdf" TargetMode="External"/><Relationship Id="rId7" Type="http://schemas.openxmlformats.org/officeDocument/2006/relationships/endnotes" Target="endnotes.xml"/><Relationship Id="rId12" Type="http://schemas.openxmlformats.org/officeDocument/2006/relationships/hyperlink" Target="https://www.inao.gouv.fr/content/download/801/7238/version/4/file/CCF-consolid%C3%A9-ao%C3%BBt2020.pdf" TargetMode="External"/><Relationship Id="rId17" Type="http://schemas.openxmlformats.org/officeDocument/2006/relationships/hyperlink" Target="https://www.gesetze-im-internet.de/_lg_2009/" TargetMode="External"/><Relationship Id="rId25" Type="http://schemas.openxmlformats.org/officeDocument/2006/relationships/hyperlink" Target="https://biodinamica.es/el-impulso-de-rudolf-steiner/" TargetMode="External"/><Relationship Id="rId2" Type="http://schemas.openxmlformats.org/officeDocument/2006/relationships/numbering" Target="numbering.xml"/><Relationship Id="rId16" Type="http://schemas.openxmlformats.org/officeDocument/2006/relationships/hyperlink" Target="https://www.legifrance.gouv.fr/codes/article_lc/LEGIARTI000042913845/2022-01-01" TargetMode="External"/><Relationship Id="rId20" Type="http://schemas.openxmlformats.org/officeDocument/2006/relationships/hyperlink" Target="http://www.gesetze-im-internet.de/_lgkontrollstzu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ao.gouv.fr/Les-signes-officiels-de-la-qualite-et-de-l-origine-SIQO/Agriculture-Biologique" TargetMode="External"/><Relationship Id="rId24" Type="http://schemas.openxmlformats.org/officeDocument/2006/relationships/hyperlink" Target="https://www.boe.es/buscar/act.php?id=BOE-A-2014-10522" TargetMode="External"/><Relationship Id="rId5" Type="http://schemas.openxmlformats.org/officeDocument/2006/relationships/webSettings" Target="webSettings.xml"/><Relationship Id="rId15" Type="http://schemas.openxmlformats.org/officeDocument/2006/relationships/hyperlink" Target="https://www.produire-bio.fr/les-aides/credit-impot-bio/" TargetMode="External"/><Relationship Id="rId23" Type="http://schemas.openxmlformats.org/officeDocument/2006/relationships/hyperlink" Target="https://www.mapa.gob.es/es/alimentacion/temas/produccion-eco/" TargetMode="External"/><Relationship Id="rId28" Type="http://schemas.openxmlformats.org/officeDocument/2006/relationships/theme" Target="theme/theme1.xml"/><Relationship Id="rId10" Type="http://schemas.openxmlformats.org/officeDocument/2006/relationships/hyperlink" Target="https://www.agencebio.org/" TargetMode="External"/><Relationship Id="rId19" Type="http://schemas.openxmlformats.org/officeDocument/2006/relationships/hyperlink" Target="http://www.gesetze-im-internet.de/_kokennzv/" TargetMode="External"/><Relationship Id="rId4" Type="http://schemas.openxmlformats.org/officeDocument/2006/relationships/settings" Target="settings.xml"/><Relationship Id="rId9" Type="http://schemas.openxmlformats.org/officeDocument/2006/relationships/hyperlink" Target="https://www.legifrance.gouv.fr/loda/id/JORFTEXT000000705202/" TargetMode="External"/><Relationship Id="rId14" Type="http://schemas.openxmlformats.org/officeDocument/2006/relationships/hyperlink" Target="https://www.inao.gouv.fr/content/download/3158/28682/version/1/file/CdC-RestauCoBIO-JORF-envigueur%201-01-20.pdf" TargetMode="External"/><Relationship Id="rId22" Type="http://schemas.openxmlformats.org/officeDocument/2006/relationships/hyperlink" Target="https://oeko.uni-hohenheim.de/versuchsstation_kleinhohenheim"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50820-0843-41A1-9554-39161E81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B1BA15C6</Template>
  <TotalTime>2</TotalTime>
  <Pages>6</Pages>
  <Words>1925</Words>
  <Characters>10973</Characters>
  <Application>Microsoft Office Word</Application>
  <DocSecurity>4</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Camera dei Deputati</Company>
  <LinksUpToDate>false</LinksUpToDate>
  <CharactersWithSpaces>12873</CharactersWithSpaces>
  <SharedDoc>false</SharedDoc>
  <HLinks>
    <vt:vector size="6" baseType="variant">
      <vt:variant>
        <vt:i4>458760</vt:i4>
      </vt:variant>
      <vt:variant>
        <vt:i4>0</vt:i4>
      </vt:variant>
      <vt:variant>
        <vt:i4>0</vt:i4>
      </vt:variant>
      <vt:variant>
        <vt:i4>5</vt:i4>
      </vt:variant>
      <vt:variant>
        <vt:lpwstr>mailto:LS_segreteria@camera.it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Utente_Locale</dc:creator>
  <cp:lastModifiedBy>Gizzi, Giuseppe</cp:lastModifiedBy>
  <cp:revision>2</cp:revision>
  <cp:lastPrinted>2009-02-27T11:57:00Z</cp:lastPrinted>
  <dcterms:created xsi:type="dcterms:W3CDTF">2021-06-09T18:05:00Z</dcterms:created>
  <dcterms:modified xsi:type="dcterms:W3CDTF">2021-06-09T18:05:00Z</dcterms:modified>
</cp:coreProperties>
</file>