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F46" w:rsidRDefault="005F3333" w:rsidP="007D6CEA">
      <w:pPr>
        <w:pStyle w:val="Titolo"/>
        <w:spacing w:befor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B55F46">
        <w:rPr>
          <w:rFonts w:ascii="Arial" w:hAnsi="Arial" w:cs="Arial"/>
          <w:sz w:val="28"/>
          <w:szCs w:val="28"/>
        </w:rPr>
        <w:t>asi di i</w:t>
      </w:r>
      <w:r w:rsidR="00B55F46" w:rsidRPr="00F42C73">
        <w:rPr>
          <w:rFonts w:ascii="Arial" w:hAnsi="Arial" w:cs="Arial"/>
          <w:sz w:val="28"/>
          <w:szCs w:val="28"/>
        </w:rPr>
        <w:t>neleggibilità</w:t>
      </w:r>
      <w:r w:rsidR="0081145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B55F46">
        <w:rPr>
          <w:rFonts w:ascii="Arial" w:hAnsi="Arial" w:cs="Arial"/>
          <w:sz w:val="28"/>
          <w:szCs w:val="28"/>
        </w:rPr>
        <w:t>incandidabilità</w:t>
      </w:r>
      <w:proofErr w:type="spellEnd"/>
      <w:r w:rsidR="0081145C">
        <w:rPr>
          <w:rFonts w:ascii="Arial" w:hAnsi="Arial" w:cs="Arial"/>
          <w:sz w:val="28"/>
          <w:szCs w:val="28"/>
        </w:rPr>
        <w:t>, incompatibilità</w:t>
      </w:r>
      <w:r w:rsidR="00494EB8" w:rsidRPr="00494EB8">
        <w:rPr>
          <w:rStyle w:val="Rimandonotaapidipagina"/>
          <w:rFonts w:ascii="Arial" w:hAnsi="Arial" w:cs="Arial"/>
          <w:sz w:val="20"/>
        </w:rPr>
        <w:footnoteReference w:id="1"/>
      </w:r>
      <w:r w:rsidR="00B55F46" w:rsidRPr="00494EB8">
        <w:rPr>
          <w:rFonts w:ascii="Arial" w:hAnsi="Arial" w:cs="Arial"/>
          <w:sz w:val="28"/>
          <w:szCs w:val="28"/>
        </w:rPr>
        <w:t xml:space="preserve"> </w:t>
      </w:r>
      <w:r w:rsidR="00B55F46" w:rsidRPr="00F42C73">
        <w:rPr>
          <w:rFonts w:ascii="Arial" w:hAnsi="Arial" w:cs="Arial"/>
          <w:sz w:val="28"/>
          <w:szCs w:val="28"/>
        </w:rPr>
        <w:t>parlamentare</w:t>
      </w:r>
    </w:p>
    <w:p w:rsidR="00DC3D08" w:rsidRPr="00DC3D08" w:rsidRDefault="00DC3D08" w:rsidP="00DC3D08"/>
    <w:p w:rsidR="00B55F46" w:rsidRDefault="00B55F46" w:rsidP="00B55F46">
      <w:pPr>
        <w:jc w:val="center"/>
        <w:rPr>
          <w:rFonts w:ascii="Arial" w:hAnsi="Arial" w:cs="Arial"/>
          <w:b/>
          <w:smallCaps/>
          <w:sz w:val="20"/>
        </w:rPr>
      </w:pPr>
    </w:p>
    <w:p w:rsidR="00DC3D08" w:rsidRDefault="00DC3D08" w:rsidP="00B55F46">
      <w:pPr>
        <w:jc w:val="center"/>
        <w:rPr>
          <w:rFonts w:ascii="Arial" w:hAnsi="Arial" w:cs="Arial"/>
          <w:b/>
          <w:smallCaps/>
          <w:sz w:val="20"/>
        </w:rPr>
      </w:pPr>
    </w:p>
    <w:p w:rsidR="00CD7DA2" w:rsidRDefault="00CD7DA2" w:rsidP="00822521">
      <w:pPr>
        <w:ind w:firstLine="142"/>
        <w:jc w:val="left"/>
        <w:rPr>
          <w:rFonts w:ascii="Arial" w:hAnsi="Arial" w:cs="Arial"/>
          <w:b/>
          <w:smallCaps/>
          <w:sz w:val="20"/>
        </w:rPr>
      </w:pPr>
      <w:r>
        <w:rPr>
          <w:rFonts w:ascii="Arial" w:hAnsi="Arial" w:cs="Arial"/>
          <w:b/>
          <w:smallCaps/>
          <w:sz w:val="20"/>
        </w:rPr>
        <w:t xml:space="preserve">LEGENDA </w:t>
      </w:r>
    </w:p>
    <w:p w:rsidR="00DC3D08" w:rsidRDefault="00DC3D08" w:rsidP="00822521">
      <w:pPr>
        <w:ind w:firstLine="142"/>
        <w:jc w:val="left"/>
        <w:rPr>
          <w:rFonts w:ascii="Arial" w:hAnsi="Arial" w:cs="Arial"/>
          <w:b/>
          <w:smallCaps/>
          <w:sz w:val="20"/>
        </w:rPr>
      </w:pPr>
    </w:p>
    <w:p w:rsidR="00DC3D08" w:rsidRDefault="00DC3D08" w:rsidP="00822521">
      <w:pPr>
        <w:ind w:firstLine="142"/>
        <w:jc w:val="left"/>
        <w:rPr>
          <w:rFonts w:ascii="Arial" w:hAnsi="Arial" w:cs="Arial"/>
          <w:b/>
          <w:smallCaps/>
          <w:sz w:val="20"/>
        </w:rPr>
      </w:pPr>
    </w:p>
    <w:p w:rsidR="00DC3D08" w:rsidRDefault="00DC3D08" w:rsidP="00822521">
      <w:pPr>
        <w:ind w:firstLine="142"/>
        <w:jc w:val="left"/>
        <w:rPr>
          <w:rFonts w:ascii="Arial" w:hAnsi="Arial" w:cs="Arial"/>
          <w:b/>
          <w:smallCaps/>
          <w:sz w:val="20"/>
        </w:rPr>
      </w:pPr>
    </w:p>
    <w:p w:rsidR="00DC3D08" w:rsidRPr="00DC3D08" w:rsidRDefault="00CD7DA2" w:rsidP="00DC3D08">
      <w:pPr>
        <w:spacing w:before="120" w:after="120"/>
        <w:ind w:left="113" w:right="113" w:firstLine="0"/>
        <w:rPr>
          <w:rFonts w:ascii="Arial" w:hAnsi="Arial" w:cs="Arial"/>
          <w:color w:val="00B050"/>
          <w:sz w:val="20"/>
        </w:rPr>
      </w:pPr>
      <w:r w:rsidRPr="00CD7DA2">
        <w:rPr>
          <w:rFonts w:ascii="Arial" w:hAnsi="Arial" w:cs="Arial"/>
          <w:b/>
          <w:color w:val="00B050"/>
        </w:rPr>
        <w:t>√</w:t>
      </w:r>
      <w:r w:rsidRPr="00CD7DA2">
        <w:rPr>
          <w:rFonts w:ascii="Arial" w:hAnsi="Arial" w:cs="Arial"/>
          <w:color w:val="00B050"/>
          <w:sz w:val="20"/>
        </w:rPr>
        <w:t xml:space="preserve"> ineleggibile</w:t>
      </w:r>
      <w:r>
        <w:rPr>
          <w:rFonts w:ascii="Arial" w:hAnsi="Arial" w:cs="Arial"/>
          <w:color w:val="00B050"/>
          <w:sz w:val="20"/>
        </w:rPr>
        <w:t xml:space="preserve">, salvo che la causa dell’ineleggibilità sia cessata </w:t>
      </w:r>
      <w:r w:rsidRPr="00CD7DA2">
        <w:rPr>
          <w:rFonts w:ascii="Arial" w:hAnsi="Arial" w:cs="Arial"/>
          <w:color w:val="00B050"/>
          <w:sz w:val="20"/>
        </w:rPr>
        <w:t xml:space="preserve">almeno 180 giorni prima della data di scadenza della legislatura (D.P.R 361/1957, art. 7, terzo comma). In caso di scioglimento delle Camere che ne anticipi la scadenza di oltre 120 giorni, le ineleggibilità non hanno effetto se le funzioni siano cessate entro i 7 giorni successivi alla data di pubblicazione del decreto di scioglimento nella Gazzetta Ufficiale (D.P.R. 361/1957, art. 7, </w:t>
      </w:r>
      <w:proofErr w:type="spellStart"/>
      <w:r w:rsidRPr="00CD7DA2">
        <w:rPr>
          <w:rFonts w:ascii="Arial" w:hAnsi="Arial" w:cs="Arial"/>
          <w:color w:val="00B050"/>
          <w:sz w:val="20"/>
        </w:rPr>
        <w:t>u.c.</w:t>
      </w:r>
      <w:proofErr w:type="spellEnd"/>
      <w:r w:rsidRPr="00CD7DA2">
        <w:rPr>
          <w:rFonts w:ascii="Arial" w:hAnsi="Arial" w:cs="Arial"/>
          <w:color w:val="00B050"/>
          <w:sz w:val="20"/>
        </w:rPr>
        <w:t>).</w:t>
      </w:r>
      <w:r w:rsidR="00AC71A3">
        <w:rPr>
          <w:rFonts w:ascii="Arial" w:hAnsi="Arial" w:cs="Arial"/>
          <w:color w:val="00B050"/>
          <w:sz w:val="20"/>
        </w:rPr>
        <w:t xml:space="preserve"> </w:t>
      </w:r>
      <w:r w:rsidR="001A4430">
        <w:rPr>
          <w:rFonts w:ascii="Arial" w:hAnsi="Arial" w:cs="Arial"/>
          <w:color w:val="00B050"/>
          <w:sz w:val="20"/>
        </w:rPr>
        <w:t>Per sindaci e presidenti di provincia l</w:t>
      </w:r>
      <w:bookmarkStart w:id="0" w:name="_GoBack"/>
      <w:bookmarkEnd w:id="0"/>
      <w:r w:rsidR="00AC71A3">
        <w:rPr>
          <w:rFonts w:ascii="Arial" w:hAnsi="Arial" w:cs="Arial"/>
          <w:color w:val="00B050"/>
          <w:sz w:val="20"/>
        </w:rPr>
        <w:t>’accettazione della candidatura comporta comunque la decadenza dalla carica.</w:t>
      </w:r>
    </w:p>
    <w:p w:rsidR="00CD7DA2" w:rsidRDefault="007C0608" w:rsidP="007C0608">
      <w:pPr>
        <w:spacing w:before="120" w:after="120"/>
        <w:ind w:left="113" w:right="113" w:firstLine="0"/>
        <w:rPr>
          <w:rFonts w:ascii="Arial" w:hAnsi="Arial" w:cs="Arial"/>
          <w:color w:val="FF0000"/>
          <w:sz w:val="20"/>
        </w:rPr>
      </w:pPr>
      <w:r w:rsidRPr="007C0608">
        <w:rPr>
          <w:rFonts w:ascii="Arial" w:hAnsi="Arial" w:cs="Arial"/>
          <w:color w:val="FF0000"/>
          <w:sz w:val="20"/>
        </w:rPr>
        <w:t>√ ineleggibile</w:t>
      </w:r>
    </w:p>
    <w:p w:rsidR="007C0608" w:rsidRDefault="007C0608" w:rsidP="007C0608">
      <w:pPr>
        <w:spacing w:before="120" w:after="120"/>
        <w:ind w:left="113" w:right="113" w:firstLine="0"/>
        <w:rPr>
          <w:rFonts w:ascii="Arial" w:hAnsi="Arial" w:cs="Arial"/>
          <w:color w:val="000000" w:themeColor="text1"/>
          <w:sz w:val="20"/>
        </w:rPr>
      </w:pPr>
      <w:r w:rsidRPr="00CD7DA2">
        <w:rPr>
          <w:rFonts w:ascii="Arial" w:hAnsi="Arial" w:cs="Arial"/>
          <w:color w:val="000000" w:themeColor="text1"/>
          <w:sz w:val="20"/>
        </w:rPr>
        <w:t>√</w:t>
      </w:r>
      <w:r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</w:rPr>
        <w:t>incandidabile</w:t>
      </w:r>
      <w:proofErr w:type="spellEnd"/>
    </w:p>
    <w:p w:rsidR="007F6508" w:rsidRPr="007F6508" w:rsidRDefault="007F6508" w:rsidP="007C0608">
      <w:pPr>
        <w:spacing w:before="120" w:after="120"/>
        <w:ind w:left="113" w:right="113" w:firstLine="0"/>
        <w:rPr>
          <w:rFonts w:ascii="Arial" w:hAnsi="Arial" w:cs="Arial"/>
          <w:color w:val="00B0F0"/>
          <w:sz w:val="20"/>
        </w:rPr>
      </w:pPr>
      <w:r w:rsidRPr="007F6508">
        <w:rPr>
          <w:rFonts w:ascii="Arial" w:hAnsi="Arial" w:cs="Arial"/>
          <w:color w:val="00B0F0"/>
          <w:sz w:val="20"/>
        </w:rPr>
        <w:t>√</w:t>
      </w:r>
      <w:r>
        <w:rPr>
          <w:rFonts w:ascii="Arial" w:hAnsi="Arial" w:cs="Arial"/>
          <w:color w:val="00B0F0"/>
          <w:sz w:val="20"/>
        </w:rPr>
        <w:t xml:space="preserve"> incompatibile</w:t>
      </w:r>
      <w:r w:rsidR="00761B40">
        <w:rPr>
          <w:rFonts w:ascii="Arial" w:hAnsi="Arial" w:cs="Arial"/>
          <w:color w:val="00B0F0"/>
          <w:sz w:val="20"/>
        </w:rPr>
        <w:t xml:space="preserve">, ferma </w:t>
      </w:r>
      <w:r w:rsidR="00A31A06">
        <w:rPr>
          <w:rFonts w:ascii="Arial" w:hAnsi="Arial" w:cs="Arial"/>
          <w:color w:val="00B0F0"/>
          <w:sz w:val="20"/>
        </w:rPr>
        <w:t xml:space="preserve">restando </w:t>
      </w:r>
      <w:r w:rsidR="00761B40">
        <w:rPr>
          <w:rFonts w:ascii="Arial" w:hAnsi="Arial" w:cs="Arial"/>
          <w:color w:val="00B0F0"/>
          <w:sz w:val="20"/>
        </w:rPr>
        <w:t>la possibilità di collocamento in aspettativa per i dipendenti delle P.A. (</w:t>
      </w:r>
      <w:r w:rsidR="00761B40" w:rsidRPr="00761B40">
        <w:rPr>
          <w:rFonts w:ascii="Arial" w:hAnsi="Arial" w:cs="Arial"/>
          <w:color w:val="00B0F0"/>
          <w:sz w:val="20"/>
        </w:rPr>
        <w:t>art. 19, co</w:t>
      </w:r>
      <w:r w:rsidR="00761B40">
        <w:rPr>
          <w:rFonts w:ascii="Arial" w:hAnsi="Arial" w:cs="Arial"/>
          <w:color w:val="00B0F0"/>
          <w:sz w:val="20"/>
        </w:rPr>
        <w:t>mma</w:t>
      </w:r>
      <w:r w:rsidR="00761B40" w:rsidRPr="00761B40">
        <w:rPr>
          <w:rFonts w:ascii="Arial" w:hAnsi="Arial" w:cs="Arial"/>
          <w:color w:val="00B0F0"/>
          <w:sz w:val="20"/>
        </w:rPr>
        <w:t xml:space="preserve"> 2</w:t>
      </w:r>
      <w:r w:rsidR="00761B40">
        <w:rPr>
          <w:rFonts w:ascii="Arial" w:hAnsi="Arial" w:cs="Arial"/>
          <w:color w:val="00B0F0"/>
          <w:sz w:val="20"/>
        </w:rPr>
        <w:t xml:space="preserve">, </w:t>
      </w:r>
      <w:r w:rsidR="00761B40" w:rsidRPr="00761B40">
        <w:rPr>
          <w:rFonts w:ascii="Arial" w:hAnsi="Arial" w:cs="Arial"/>
          <w:color w:val="00B0F0"/>
          <w:sz w:val="20"/>
        </w:rPr>
        <w:t xml:space="preserve">D.lgs. </w:t>
      </w:r>
      <w:r w:rsidR="00761B40">
        <w:rPr>
          <w:rFonts w:ascii="Arial" w:hAnsi="Arial" w:cs="Arial"/>
          <w:color w:val="00B0F0"/>
          <w:sz w:val="20"/>
        </w:rPr>
        <w:t xml:space="preserve">n. </w:t>
      </w:r>
      <w:r w:rsidR="00761B40" w:rsidRPr="00761B40">
        <w:rPr>
          <w:rFonts w:ascii="Arial" w:hAnsi="Arial" w:cs="Arial"/>
          <w:color w:val="00B0F0"/>
          <w:sz w:val="20"/>
        </w:rPr>
        <w:t>39</w:t>
      </w:r>
      <w:r w:rsidR="00761B40">
        <w:rPr>
          <w:rFonts w:ascii="Arial" w:hAnsi="Arial" w:cs="Arial"/>
          <w:color w:val="00B0F0"/>
          <w:sz w:val="20"/>
        </w:rPr>
        <w:t xml:space="preserve"> del </w:t>
      </w:r>
      <w:r w:rsidR="00761B40" w:rsidRPr="00761B40">
        <w:rPr>
          <w:rFonts w:ascii="Arial" w:hAnsi="Arial" w:cs="Arial"/>
          <w:color w:val="00B0F0"/>
          <w:sz w:val="20"/>
        </w:rPr>
        <w:t>2013</w:t>
      </w:r>
      <w:r w:rsidR="00761B40">
        <w:rPr>
          <w:rFonts w:ascii="Arial" w:hAnsi="Arial" w:cs="Arial"/>
          <w:color w:val="00B0F0"/>
          <w:sz w:val="20"/>
        </w:rPr>
        <w:t>)</w:t>
      </w:r>
      <w:r w:rsidR="000F7C8A">
        <w:rPr>
          <w:rFonts w:ascii="Arial" w:hAnsi="Arial" w:cs="Arial"/>
          <w:color w:val="00B0F0"/>
          <w:sz w:val="20"/>
        </w:rPr>
        <w:t>. In caso di incompatibilità il Parlamentare deve optare tra il mandato parlamentare e l’incarico incompatibile, alla Camera, entro 30 giorni dalla delibera della Giunta delle elezioni e, al Senato, entro il termine perentorio deliberato al riguardo dalla Giunta delle elezioni e delle immunità (art. 15 e 17 del Regolamento della Giunta delle elezioni della Camera; art. 18 del Regolamento per la verifica dei poteri del Senato)</w:t>
      </w:r>
    </w:p>
    <w:p w:rsidR="00494EB8" w:rsidRDefault="00494EB8">
      <w:pPr>
        <w:ind w:firstLine="0"/>
        <w:jc w:val="left"/>
        <w:rPr>
          <w:rFonts w:ascii="Arial" w:hAnsi="Arial" w:cs="Arial"/>
          <w:b/>
          <w:smallCaps/>
          <w:sz w:val="20"/>
        </w:rPr>
      </w:pPr>
      <w:r>
        <w:rPr>
          <w:rFonts w:ascii="Arial" w:hAnsi="Arial" w:cs="Arial"/>
          <w:b/>
          <w:smallCaps/>
          <w:sz w:val="20"/>
        </w:rPr>
        <w:br w:type="page"/>
      </w:r>
    </w:p>
    <w:p w:rsidR="00494EB8" w:rsidRPr="008B7008" w:rsidRDefault="00494EB8" w:rsidP="00761B40">
      <w:pPr>
        <w:rPr>
          <w:rFonts w:ascii="Arial" w:hAnsi="Arial" w:cs="Arial"/>
          <w:b/>
          <w:smallCaps/>
          <w:sz w:val="20"/>
        </w:rPr>
      </w:pPr>
    </w:p>
    <w:tbl>
      <w:tblPr>
        <w:tblpPr w:leftFromText="141" w:rightFromText="141" w:vertAnchor="text" w:tblpX="-1281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694"/>
        <w:gridCol w:w="2977"/>
        <w:gridCol w:w="2408"/>
      </w:tblGrid>
      <w:tr w:rsidR="007F6508" w:rsidRPr="003E6808" w:rsidTr="007F6508">
        <w:tc>
          <w:tcPr>
            <w:tcW w:w="2122" w:type="dxa"/>
            <w:shd w:val="clear" w:color="auto" w:fill="auto"/>
          </w:tcPr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sz w:val="20"/>
              </w:rPr>
            </w:pPr>
            <w:r w:rsidRPr="003E6808">
              <w:rPr>
                <w:rFonts w:ascii="Arial" w:hAnsi="Arial" w:cs="Arial"/>
                <w:b/>
                <w:i/>
                <w:sz w:val="20"/>
              </w:rPr>
              <w:t>incarichi</w:t>
            </w:r>
          </w:p>
        </w:tc>
        <w:tc>
          <w:tcPr>
            <w:tcW w:w="2694" w:type="dxa"/>
            <w:shd w:val="clear" w:color="auto" w:fill="auto"/>
          </w:tcPr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ineleggibilità</w:t>
            </w:r>
          </w:p>
        </w:tc>
        <w:tc>
          <w:tcPr>
            <w:tcW w:w="2977" w:type="dxa"/>
          </w:tcPr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0"/>
              </w:rPr>
              <w:t>incandidabilità</w:t>
            </w:r>
            <w:proofErr w:type="spellEnd"/>
          </w:p>
        </w:tc>
        <w:tc>
          <w:tcPr>
            <w:tcW w:w="2408" w:type="dxa"/>
          </w:tcPr>
          <w:p w:rsidR="007F6508" w:rsidRDefault="00270E84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I</w:t>
            </w:r>
            <w:r w:rsidR="007F6508">
              <w:rPr>
                <w:rFonts w:ascii="Arial" w:hAnsi="Arial" w:cs="Arial"/>
                <w:b/>
                <w:i/>
                <w:sz w:val="20"/>
              </w:rPr>
              <w:t>nc</w:t>
            </w:r>
            <w:r>
              <w:rPr>
                <w:rFonts w:ascii="Arial" w:hAnsi="Arial" w:cs="Arial"/>
                <w:b/>
                <w:i/>
                <w:sz w:val="20"/>
              </w:rPr>
              <w:t>ompatibilità</w:t>
            </w:r>
          </w:p>
          <w:p w:rsidR="00270E84" w:rsidRPr="00234221" w:rsidRDefault="00270E84" w:rsidP="00270E84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b/>
                <w:sz w:val="20"/>
              </w:rPr>
            </w:pPr>
          </w:p>
        </w:tc>
      </w:tr>
      <w:tr w:rsidR="007F6508" w:rsidRPr="003E6808" w:rsidTr="007F6508">
        <w:trPr>
          <w:tblHeader/>
        </w:trPr>
        <w:tc>
          <w:tcPr>
            <w:tcW w:w="2122" w:type="dxa"/>
            <w:shd w:val="clear" w:color="auto" w:fill="auto"/>
          </w:tcPr>
          <w:p w:rsidR="007F6508" w:rsidRPr="00CC4C37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 w:rsidRPr="003E6808">
              <w:rPr>
                <w:rFonts w:ascii="Arial" w:hAnsi="Arial" w:cs="Arial"/>
                <w:sz w:val="20"/>
              </w:rPr>
              <w:t>giudici costituzionali</w:t>
            </w:r>
          </w:p>
        </w:tc>
        <w:tc>
          <w:tcPr>
            <w:tcW w:w="2694" w:type="dxa"/>
            <w:shd w:val="clear" w:color="auto" w:fill="auto"/>
          </w:tcPr>
          <w:p w:rsidR="007F6508" w:rsidRPr="00CC4C37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DD6464">
              <w:rPr>
                <w:rFonts w:ascii="Arial" w:hAnsi="Arial" w:cs="Arial"/>
                <w:b/>
                <w:color w:val="FF000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FF0000"/>
              </w:rPr>
              <w:footnoteReference w:id="2"/>
            </w:r>
          </w:p>
        </w:tc>
        <w:tc>
          <w:tcPr>
            <w:tcW w:w="2977" w:type="dxa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</w:tc>
        <w:tc>
          <w:tcPr>
            <w:tcW w:w="2408" w:type="dxa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</w:tc>
      </w:tr>
      <w:tr w:rsidR="004636AA" w:rsidRPr="003E6808" w:rsidTr="007F6508">
        <w:trPr>
          <w:tblHeader/>
        </w:trPr>
        <w:tc>
          <w:tcPr>
            <w:tcW w:w="2122" w:type="dxa"/>
            <w:shd w:val="clear" w:color="auto" w:fill="auto"/>
          </w:tcPr>
          <w:p w:rsidR="004636AA" w:rsidRPr="003E6808" w:rsidRDefault="004636AA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membri del Parlamento europeo spettanti all’Italia</w:t>
            </w:r>
          </w:p>
        </w:tc>
        <w:tc>
          <w:tcPr>
            <w:tcW w:w="2694" w:type="dxa"/>
            <w:shd w:val="clear" w:color="auto" w:fill="auto"/>
          </w:tcPr>
          <w:p w:rsidR="004636AA" w:rsidRPr="00DD6464" w:rsidRDefault="004636AA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977" w:type="dxa"/>
          </w:tcPr>
          <w:p w:rsidR="004636AA" w:rsidRDefault="004636AA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</w:tc>
        <w:tc>
          <w:tcPr>
            <w:tcW w:w="2408" w:type="dxa"/>
          </w:tcPr>
          <w:p w:rsidR="004636AA" w:rsidRDefault="004636AA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3"/>
            </w:r>
          </w:p>
        </w:tc>
      </w:tr>
      <w:tr w:rsidR="007F6508" w:rsidRPr="003E6808" w:rsidTr="007F6508">
        <w:trPr>
          <w:tblHeader/>
        </w:trPr>
        <w:tc>
          <w:tcPr>
            <w:tcW w:w="2122" w:type="dxa"/>
            <w:shd w:val="clear" w:color="auto" w:fill="auto"/>
          </w:tcPr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presidenti delle regioni, assessori e consiglieri regionali </w:t>
            </w:r>
          </w:p>
        </w:tc>
        <w:tc>
          <w:tcPr>
            <w:tcW w:w="2694" w:type="dxa"/>
            <w:shd w:val="clear" w:color="auto" w:fill="auto"/>
          </w:tcPr>
          <w:p w:rsidR="007F6508" w:rsidRPr="00DD6464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977" w:type="dxa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</w:tc>
        <w:tc>
          <w:tcPr>
            <w:tcW w:w="2408" w:type="dxa"/>
          </w:tcPr>
          <w:p w:rsidR="007F6508" w:rsidRP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 w:rsidR="00234221"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4"/>
            </w:r>
          </w:p>
        </w:tc>
      </w:tr>
      <w:tr w:rsidR="007F6508" w:rsidRPr="003E6808" w:rsidTr="007F6508">
        <w:trPr>
          <w:tblHeader/>
        </w:trPr>
        <w:tc>
          <w:tcPr>
            <w:tcW w:w="2122" w:type="dxa"/>
            <w:shd w:val="clear" w:color="auto" w:fill="auto"/>
          </w:tcPr>
          <w:p w:rsidR="007F6508" w:rsidRPr="00CC4C37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presidenti delle province</w:t>
            </w: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 w:rsidRPr="008C706E">
              <w:rPr>
                <w:rStyle w:val="Rimandonotaapidipagina"/>
                <w:rFonts w:ascii="Arial" w:hAnsi="Arial" w:cs="Arial"/>
                <w:color w:val="00B050"/>
                <w:sz w:val="20"/>
              </w:rPr>
              <w:footnoteReference w:id="5"/>
            </w:r>
          </w:p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2977" w:type="dxa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>√ (per 10 anni)</w:t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 responsabili del dissesto finanziario dell’ente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6"/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 xml:space="preserve">√ (per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2 turni elettorali</w:t>
            </w:r>
            <w:r w:rsidRPr="00CD7DA2">
              <w:rPr>
                <w:rFonts w:ascii="Arial" w:hAnsi="Arial" w:cs="Arial"/>
                <w:color w:val="000000" w:themeColor="text1"/>
                <w:sz w:val="20"/>
              </w:rPr>
              <w:t>)</w:t>
            </w:r>
          </w:p>
          <w:p w:rsidR="007F6508" w:rsidRPr="00CC4C37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 responsabili di condotte causa di scioglimento enti per infiltrazioni e condizionamento mafiosi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7"/>
            </w:r>
          </w:p>
        </w:tc>
        <w:tc>
          <w:tcPr>
            <w:tcW w:w="2408" w:type="dxa"/>
          </w:tcPr>
          <w:p w:rsidR="006D0872" w:rsidRPr="00424149" w:rsidRDefault="006D0872" w:rsidP="006D0872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</w:rPr>
            </w:pPr>
            <w:r w:rsidRPr="00424149">
              <w:rPr>
                <w:rFonts w:ascii="Arial" w:hAnsi="Arial" w:cs="Arial"/>
                <w:b/>
                <w:color w:val="00B0F0"/>
              </w:rPr>
              <w:t>√</w:t>
            </w:r>
            <w:r w:rsidRPr="00424149">
              <w:rPr>
                <w:rStyle w:val="Rimandonotaapidipagina"/>
                <w:rFonts w:ascii="Arial" w:hAnsi="Arial" w:cs="Arial"/>
                <w:color w:val="00B0F0"/>
                <w:sz w:val="20"/>
              </w:rPr>
              <w:footnoteReference w:id="8"/>
            </w:r>
          </w:p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sindaci</w:t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50"/>
              </w:rPr>
              <w:footnoteReference w:id="9"/>
            </w:r>
          </w:p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B050"/>
                <w:sz w:val="20"/>
              </w:rPr>
            </w:pPr>
            <w:r w:rsidRPr="00EB428F">
              <w:rPr>
                <w:rFonts w:ascii="Arial" w:hAnsi="Arial" w:cs="Arial"/>
                <w:color w:val="00B050"/>
                <w:sz w:val="20"/>
              </w:rPr>
              <w:t>(</w:t>
            </w:r>
            <w:r w:rsidRPr="00CD7DA2">
              <w:rPr>
                <w:rFonts w:ascii="Arial" w:hAnsi="Arial" w:cs="Arial"/>
                <w:color w:val="00B050"/>
                <w:sz w:val="20"/>
              </w:rPr>
              <w:t>per comuni superiori ai 20.000 abitanti)</w:t>
            </w:r>
          </w:p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977" w:type="dxa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>√ (per 10 anni)</w:t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 responsabili del dissesto finanziario dell’ente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10"/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 xml:space="preserve">√ (per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2 turni elettorali</w:t>
            </w:r>
            <w:r w:rsidRPr="00CD7DA2">
              <w:rPr>
                <w:rFonts w:ascii="Arial" w:hAnsi="Arial" w:cs="Arial"/>
                <w:color w:val="000000" w:themeColor="text1"/>
                <w:sz w:val="20"/>
              </w:rPr>
              <w:t>)</w:t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 responsabili di condotte causa di scioglimento enti per infiltrazioni e condizionamento mafiosi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11"/>
            </w:r>
          </w:p>
        </w:tc>
        <w:tc>
          <w:tcPr>
            <w:tcW w:w="2408" w:type="dxa"/>
          </w:tcPr>
          <w:p w:rsidR="00F076B7" w:rsidRPr="00F076B7" w:rsidRDefault="00F076B7" w:rsidP="00F076B7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</w:rPr>
            </w:pPr>
            <w:r w:rsidRPr="00F076B7">
              <w:rPr>
                <w:rFonts w:ascii="Arial" w:hAnsi="Arial" w:cs="Arial"/>
                <w:b/>
                <w:color w:val="00B0F0"/>
              </w:rPr>
              <w:t>√</w:t>
            </w:r>
            <w:r w:rsidRPr="00F076B7">
              <w:rPr>
                <w:rStyle w:val="Rimandonotaapidipagina"/>
                <w:rFonts w:ascii="Arial" w:hAnsi="Arial" w:cs="Arial"/>
                <w:b/>
                <w:color w:val="00B0F0"/>
              </w:rPr>
              <w:footnoteReference w:id="12"/>
            </w:r>
          </w:p>
          <w:p w:rsidR="007F6508" w:rsidRPr="00F076B7" w:rsidRDefault="00F076B7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B0F0"/>
                <w:sz w:val="20"/>
              </w:rPr>
            </w:pPr>
            <w:r>
              <w:rPr>
                <w:rFonts w:ascii="Arial" w:hAnsi="Arial" w:cs="Arial"/>
                <w:color w:val="00B0F0"/>
                <w:sz w:val="20"/>
              </w:rPr>
              <w:t>(per comuni superiori a 15.000 abitanti)</w:t>
            </w: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assessori e consiglieri comunali, provinciali e metropolitani</w:t>
            </w:r>
          </w:p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b/>
                <w:color w:val="00B050"/>
              </w:rPr>
            </w:pPr>
          </w:p>
          <w:p w:rsidR="007F6508" w:rsidRPr="00B55F46" w:rsidRDefault="007F6508" w:rsidP="007F6508">
            <w:pPr>
              <w:tabs>
                <w:tab w:val="left" w:pos="567"/>
              </w:tabs>
              <w:spacing w:before="120" w:after="120"/>
              <w:ind w:right="113" w:firstLine="0"/>
              <w:rPr>
                <w:b/>
                <w:sz w:val="20"/>
              </w:rPr>
            </w:pPr>
          </w:p>
        </w:tc>
        <w:tc>
          <w:tcPr>
            <w:tcW w:w="2977" w:type="dxa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 xml:space="preserve">√ (per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2 turni elettorali</w:t>
            </w:r>
            <w:r w:rsidRPr="00CD7DA2">
              <w:rPr>
                <w:rFonts w:ascii="Arial" w:hAnsi="Arial" w:cs="Arial"/>
                <w:color w:val="000000" w:themeColor="text1"/>
                <w:sz w:val="20"/>
              </w:rPr>
              <w:t>)</w:t>
            </w:r>
          </w:p>
          <w:p w:rsidR="007F6508" w:rsidRPr="003E68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se responsabili di condotte causa di scioglimento enti per infiltrazioni e condizionamento mafiosi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13"/>
            </w: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capo, vice capo della polizia e ispettori generali di pubblica sicurezza</w:t>
            </w: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50"/>
              </w:rPr>
              <w:footnoteReference w:id="14"/>
            </w:r>
          </w:p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977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capi di gabinetto dei ministri</w:t>
            </w: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50"/>
              </w:rPr>
              <w:footnoteReference w:id="15"/>
            </w:r>
          </w:p>
        </w:tc>
        <w:tc>
          <w:tcPr>
            <w:tcW w:w="2977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prefetti</w:t>
            </w: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50"/>
              </w:rPr>
              <w:footnoteReference w:id="16"/>
            </w:r>
          </w:p>
        </w:tc>
        <w:tc>
          <w:tcPr>
            <w:tcW w:w="2977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viceprefetti e funzionari di pubblica sicurezza</w:t>
            </w: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50"/>
              </w:rPr>
              <w:footnoteReference w:id="17"/>
            </w:r>
          </w:p>
        </w:tc>
        <w:tc>
          <w:tcPr>
            <w:tcW w:w="2977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ufficiali generali, ammiragli e ufficiali superiori delle Forze Armate nelle circoscrizioni del loro comando territoriale</w:t>
            </w:r>
          </w:p>
        </w:tc>
        <w:tc>
          <w:tcPr>
            <w:tcW w:w="2694" w:type="dxa"/>
            <w:shd w:val="clear" w:color="auto" w:fill="auto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  <w:r w:rsidRPr="00CD7DA2">
              <w:rPr>
                <w:rFonts w:ascii="Arial" w:hAnsi="Arial" w:cs="Arial"/>
                <w:b/>
                <w:color w:val="00B050"/>
              </w:rPr>
              <w:t>√</w:t>
            </w:r>
            <w:r w:rsidRPr="00970B98">
              <w:rPr>
                <w:rFonts w:ascii="Arial" w:hAnsi="Arial" w:cs="Arial"/>
                <w:b/>
                <w:color w:val="00B050"/>
                <w:vertAlign w:val="superscript"/>
              </w:rPr>
              <w:footnoteReference w:id="18"/>
            </w:r>
          </w:p>
        </w:tc>
        <w:tc>
          <w:tcPr>
            <w:tcW w:w="2977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F6508" w:rsidRPr="003E6808" w:rsidTr="007F6508">
        <w:tc>
          <w:tcPr>
            <w:tcW w:w="2122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magistrati</w:t>
            </w:r>
          </w:p>
        </w:tc>
        <w:tc>
          <w:tcPr>
            <w:tcW w:w="2694" w:type="dxa"/>
            <w:shd w:val="clear" w:color="auto" w:fill="auto"/>
          </w:tcPr>
          <w:p w:rsidR="007F6508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E475B7">
              <w:rPr>
                <w:rFonts w:ascii="Arial" w:hAnsi="Arial" w:cs="Arial"/>
                <w:color w:val="FF0000"/>
                <w:sz w:val="20"/>
              </w:rPr>
              <w:t>√</w:t>
            </w:r>
          </w:p>
          <w:p w:rsidR="007F6508" w:rsidRDefault="007F6508" w:rsidP="007F6508">
            <w:pPr>
              <w:pStyle w:val="Paragrafoelenco"/>
              <w:numPr>
                <w:ilvl w:val="0"/>
                <w:numId w:val="48"/>
              </w:numPr>
              <w:spacing w:before="120" w:after="120"/>
              <w:ind w:left="207" w:right="113" w:hanging="142"/>
              <w:rPr>
                <w:rFonts w:ascii="Arial" w:hAnsi="Arial" w:cs="Arial"/>
                <w:color w:val="FF0000"/>
                <w:sz w:val="20"/>
              </w:rPr>
            </w:pPr>
            <w:r w:rsidRPr="00760C94">
              <w:rPr>
                <w:rFonts w:ascii="Arial" w:hAnsi="Arial" w:cs="Arial"/>
                <w:color w:val="FF0000"/>
                <w:sz w:val="20"/>
              </w:rPr>
              <w:t>se prestano servizio o lo hanno prestato nei 3 anni precedenti presso sedi o uffici giudiziari con competenza, in tutto o in parte, nella regione nella quale è compresa la circoscrizione elettorale</w:t>
            </w:r>
            <w:r>
              <w:rPr>
                <w:rStyle w:val="Rimandonotaapidipagina"/>
                <w:rFonts w:ascii="Arial" w:hAnsi="Arial" w:cs="Arial"/>
                <w:color w:val="FF0000"/>
                <w:sz w:val="20"/>
              </w:rPr>
              <w:footnoteReference w:id="19"/>
            </w:r>
          </w:p>
          <w:p w:rsidR="007F6508" w:rsidRPr="00760C94" w:rsidRDefault="007F6508" w:rsidP="007F6508">
            <w:pPr>
              <w:pStyle w:val="Paragrafoelenco"/>
              <w:numPr>
                <w:ilvl w:val="0"/>
                <w:numId w:val="48"/>
              </w:numPr>
              <w:spacing w:before="120" w:after="120"/>
              <w:ind w:left="207" w:right="113" w:hanging="142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lastRenderedPageBreak/>
              <w:t>se componenti del CSM al momento in cui sono indette le elezioni o nei due anni precedenti</w:t>
            </w:r>
            <w:r>
              <w:rPr>
                <w:rStyle w:val="Rimandonotaapidipagina"/>
                <w:rFonts w:ascii="Arial" w:hAnsi="Arial" w:cs="Arial"/>
                <w:color w:val="FF0000"/>
                <w:sz w:val="20"/>
              </w:rPr>
              <w:footnoteReference w:id="20"/>
            </w:r>
          </w:p>
        </w:tc>
        <w:tc>
          <w:tcPr>
            <w:tcW w:w="2977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7F6508" w:rsidRPr="00CD7DA2" w:rsidRDefault="007F650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231909" w:rsidRPr="003E6808" w:rsidTr="007F6508">
        <w:tc>
          <w:tcPr>
            <w:tcW w:w="2122" w:type="dxa"/>
            <w:shd w:val="clear" w:color="auto" w:fill="auto"/>
          </w:tcPr>
          <w:p w:rsidR="00231909" w:rsidRPr="00B55F46" w:rsidRDefault="00017B67" w:rsidP="00017B67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="00231909">
              <w:rPr>
                <w:rFonts w:ascii="Arial" w:hAnsi="Arial" w:cs="Arial"/>
                <w:sz w:val="20"/>
              </w:rPr>
              <w:t>omponenti commissioni tributarie</w:t>
            </w:r>
          </w:p>
        </w:tc>
        <w:tc>
          <w:tcPr>
            <w:tcW w:w="2694" w:type="dxa"/>
            <w:shd w:val="clear" w:color="auto" w:fill="auto"/>
          </w:tcPr>
          <w:p w:rsidR="00231909" w:rsidRPr="00E475B7" w:rsidRDefault="00231909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231909" w:rsidRPr="00CD7DA2" w:rsidRDefault="00231909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231909" w:rsidRPr="00CD7DA2" w:rsidRDefault="00231909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21"/>
            </w:r>
          </w:p>
        </w:tc>
      </w:tr>
      <w:tr w:rsidR="00526828" w:rsidRPr="003E6808" w:rsidTr="007F6508">
        <w:tc>
          <w:tcPr>
            <w:tcW w:w="2122" w:type="dxa"/>
            <w:shd w:val="clear" w:color="auto" w:fill="auto"/>
          </w:tcPr>
          <w:p w:rsidR="008A181C" w:rsidRPr="008A181C" w:rsidRDefault="008A181C" w:rsidP="008A181C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="00347400">
              <w:rPr>
                <w:rFonts w:ascii="Arial" w:hAnsi="Arial" w:cs="Arial"/>
                <w:sz w:val="20"/>
              </w:rPr>
              <w:t>omponenti</w:t>
            </w:r>
            <w:r>
              <w:rPr>
                <w:rFonts w:ascii="Arial" w:hAnsi="Arial" w:cs="Arial"/>
                <w:sz w:val="20"/>
              </w:rPr>
              <w:t xml:space="preserve"> non magistrati</w:t>
            </w:r>
            <w:r w:rsidR="00347400">
              <w:rPr>
                <w:rFonts w:ascii="Arial" w:hAnsi="Arial" w:cs="Arial"/>
                <w:sz w:val="20"/>
              </w:rPr>
              <w:t xml:space="preserve"> del CSM</w:t>
            </w:r>
            <w:r w:rsidR="00E8125E" w:rsidRPr="00E8125E">
              <w:rPr>
                <w:rStyle w:val="Rimandonotaapidipagina"/>
              </w:rPr>
              <w:footnoteReference w:id="22"/>
            </w:r>
            <w:r w:rsidRPr="00E8125E">
              <w:rPr>
                <w:rStyle w:val="Rimandonotaapidipagina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del Consiglio di Presidenza della giustizia amministrativa</w:t>
            </w:r>
            <w:r w:rsidR="00592E88">
              <w:rPr>
                <w:rStyle w:val="Rimandonotaapidipagina"/>
                <w:rFonts w:ascii="Arial" w:hAnsi="Arial" w:cs="Arial"/>
                <w:sz w:val="20"/>
              </w:rPr>
              <w:footnoteReference w:id="23"/>
            </w:r>
            <w:r>
              <w:rPr>
                <w:rFonts w:ascii="Arial" w:hAnsi="Arial" w:cs="Arial"/>
                <w:sz w:val="20"/>
              </w:rPr>
              <w:t>, del consiglio di presidenza della Corte dei conti</w:t>
            </w:r>
            <w:r w:rsidR="00592E88">
              <w:rPr>
                <w:rStyle w:val="Rimandonotaapidipagina"/>
                <w:rFonts w:ascii="Arial" w:hAnsi="Arial" w:cs="Arial"/>
                <w:sz w:val="20"/>
              </w:rPr>
              <w:footnoteReference w:id="24"/>
            </w:r>
            <w:r>
              <w:rPr>
                <w:rFonts w:ascii="Arial" w:hAnsi="Arial" w:cs="Arial"/>
                <w:sz w:val="20"/>
              </w:rPr>
              <w:t>, del Consiglio della magistratura militare</w:t>
            </w:r>
            <w:r w:rsidR="00592E88">
              <w:rPr>
                <w:rStyle w:val="Rimandonotaapidipagina"/>
                <w:rFonts w:ascii="Arial" w:hAnsi="Arial" w:cs="Arial"/>
                <w:sz w:val="20"/>
              </w:rPr>
              <w:footnoteReference w:id="25"/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:rsidR="00526828" w:rsidRPr="008A181C" w:rsidRDefault="008A181C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8A181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526828" w:rsidRPr="00E475B7" w:rsidRDefault="0052682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526828" w:rsidRPr="00CD7DA2" w:rsidRDefault="00526828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526828" w:rsidRPr="00CD7DA2" w:rsidRDefault="00347400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</w:p>
        </w:tc>
      </w:tr>
      <w:tr w:rsidR="00612919" w:rsidRPr="003E6808" w:rsidTr="007F6508">
        <w:tc>
          <w:tcPr>
            <w:tcW w:w="2122" w:type="dxa"/>
            <w:shd w:val="clear" w:color="auto" w:fill="auto"/>
          </w:tcPr>
          <w:p w:rsidR="00612919" w:rsidRPr="00B55F46" w:rsidRDefault="00612919" w:rsidP="00526828">
            <w:pPr>
              <w:tabs>
                <w:tab w:val="left" w:pos="567"/>
              </w:tabs>
              <w:spacing w:before="120" w:after="120"/>
              <w:ind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Presidente e componenti del CNEL</w:t>
            </w:r>
          </w:p>
        </w:tc>
        <w:tc>
          <w:tcPr>
            <w:tcW w:w="2694" w:type="dxa"/>
            <w:shd w:val="clear" w:color="auto" w:fill="auto"/>
          </w:tcPr>
          <w:p w:rsidR="00612919" w:rsidRPr="00E475B7" w:rsidRDefault="00612919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12919" w:rsidRPr="00CD7DA2" w:rsidRDefault="00612919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12919" w:rsidRPr="00CD7DA2" w:rsidRDefault="00E86D0A" w:rsidP="007F6508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E86D0A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 w:rsidR="00017B67" w:rsidRPr="00E86D0A">
              <w:rPr>
                <w:rStyle w:val="Rimandonotaapidipagina"/>
                <w:rFonts w:ascii="Arial" w:hAnsi="Arial" w:cs="Arial"/>
                <w:color w:val="00B0F0"/>
                <w:sz w:val="20"/>
              </w:rPr>
              <w:footnoteReference w:id="26"/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sz w:val="20"/>
              </w:rPr>
            </w:pPr>
            <w:r w:rsidRPr="00270E84">
              <w:rPr>
                <w:rFonts w:ascii="Arial" w:hAnsi="Arial" w:cs="Arial"/>
                <w:sz w:val="20"/>
              </w:rPr>
              <w:t xml:space="preserve">elettori che ricoprono o che hanno ricoperto nei cinque anni precedenti la data delle elezioni cariche di Governo o cariche politiche elettive a qualsiasi livello o incarichi nella magistratura o nelle Forze </w:t>
            </w:r>
            <w:r w:rsidRPr="00270E84">
              <w:rPr>
                <w:rFonts w:ascii="Arial" w:hAnsi="Arial" w:cs="Arial"/>
                <w:sz w:val="20"/>
              </w:rPr>
              <w:lastRenderedPageBreak/>
              <w:t>armate in uno Stato estero</w:t>
            </w:r>
          </w:p>
        </w:tc>
        <w:tc>
          <w:tcPr>
            <w:tcW w:w="2694" w:type="dxa"/>
            <w:shd w:val="clear" w:color="auto" w:fill="auto"/>
          </w:tcPr>
          <w:p w:rsidR="006B7B2E" w:rsidRPr="00DD6464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977" w:type="dxa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27"/>
            </w:r>
          </w:p>
          <w:p w:rsidR="006B7B2E" w:rsidRPr="00270E84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(limitatamente alla circoscrizione Estero)</w:t>
            </w:r>
          </w:p>
        </w:tc>
        <w:tc>
          <w:tcPr>
            <w:tcW w:w="2408" w:type="dxa"/>
          </w:tcPr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diplomatici, consoli, vice-consoli, ufficiali addetti alle ambasciate, legazioni e consolati esteri e, in generale, tutti coloro che hanno un impiego da Governi stranieri</w:t>
            </w:r>
          </w:p>
        </w:tc>
        <w:tc>
          <w:tcPr>
            <w:tcW w:w="2694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E475B7">
              <w:rPr>
                <w:rFonts w:ascii="Arial" w:hAnsi="Arial" w:cs="Arial"/>
                <w:color w:val="FF000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color w:val="FF0000"/>
                <w:sz w:val="20"/>
              </w:rPr>
              <w:footnoteReference w:id="28"/>
            </w:r>
          </w:p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B55F46">
              <w:rPr>
                <w:rFonts w:ascii="Arial" w:hAnsi="Arial" w:cs="Arial"/>
                <w:sz w:val="20"/>
              </w:rPr>
              <w:t>titolari o legali rappresentanti di società o di imprese private vincolate con lo Stato per contratti di opere o di somministrazioni, oppure per concessioni o autorizzazioni amministrative di notevole entità economica</w:t>
            </w:r>
            <w:r>
              <w:rPr>
                <w:rFonts w:ascii="Arial" w:hAnsi="Arial" w:cs="Arial"/>
                <w:sz w:val="20"/>
              </w:rPr>
              <w:t xml:space="preserve">; </w:t>
            </w:r>
            <w:r w:rsidRPr="00B55F46">
              <w:rPr>
                <w:rFonts w:ascii="Arial" w:hAnsi="Arial" w:cs="Arial"/>
                <w:sz w:val="20"/>
              </w:rPr>
              <w:t>rappresentanti, amministratori e dirigenti di società e imprese private sussidiate dallo Stato in modo continuativo</w:t>
            </w:r>
            <w:r>
              <w:rPr>
                <w:rFonts w:ascii="Arial" w:hAnsi="Arial" w:cs="Arial"/>
                <w:sz w:val="20"/>
              </w:rPr>
              <w:t>;</w:t>
            </w:r>
            <w:r w:rsidRPr="00B55F46">
              <w:rPr>
                <w:rFonts w:ascii="Arial" w:hAnsi="Arial" w:cs="Arial"/>
                <w:sz w:val="20"/>
              </w:rPr>
              <w:t xml:space="preserve"> consulenti legali e amministrativi</w:t>
            </w:r>
            <w:r>
              <w:rPr>
                <w:rFonts w:ascii="Arial" w:hAnsi="Arial" w:cs="Arial"/>
                <w:sz w:val="20"/>
              </w:rPr>
              <w:t xml:space="preserve"> che prestino in modo permanente le loro prestazioni alle predette persone, società e imprese</w:t>
            </w:r>
          </w:p>
        </w:tc>
        <w:tc>
          <w:tcPr>
            <w:tcW w:w="2694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E475B7">
              <w:rPr>
                <w:rFonts w:ascii="Arial" w:hAnsi="Arial" w:cs="Arial"/>
                <w:color w:val="FF000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color w:val="FF0000"/>
                <w:sz w:val="20"/>
              </w:rPr>
              <w:footnoteReference w:id="29"/>
            </w:r>
          </w:p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8E28BC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titolari di </w:t>
            </w:r>
            <w:r w:rsidRPr="008E28BC">
              <w:rPr>
                <w:rFonts w:ascii="Arial" w:hAnsi="Arial" w:cs="Arial"/>
                <w:sz w:val="20"/>
              </w:rPr>
              <w:t>caric</w:t>
            </w:r>
            <w:r>
              <w:rPr>
                <w:rFonts w:ascii="Arial" w:hAnsi="Arial" w:cs="Arial"/>
                <w:sz w:val="20"/>
              </w:rPr>
              <w:t>a</w:t>
            </w:r>
            <w:r w:rsidRPr="008E28BC">
              <w:rPr>
                <w:rFonts w:ascii="Arial" w:hAnsi="Arial" w:cs="Arial"/>
                <w:sz w:val="20"/>
              </w:rPr>
              <w:t xml:space="preserve"> o ufficio in enti pubblici o privati, per nomina o designazione del Governo o di organi dell'Amministrazione dello Stato;</w:t>
            </w:r>
          </w:p>
          <w:p w:rsidR="006B7B2E" w:rsidRPr="008E28BC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8E28BC">
              <w:rPr>
                <w:rFonts w:ascii="Arial" w:hAnsi="Arial" w:cs="Arial"/>
                <w:sz w:val="20"/>
              </w:rPr>
              <w:lastRenderedPageBreak/>
              <w:t>componente di assemblee legislative o di organi esecutivi, nazionali o regionali, in Stati esteri;</w:t>
            </w:r>
          </w:p>
          <w:p w:rsidR="006B7B2E" w:rsidRPr="00B55F46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8E28BC">
              <w:rPr>
                <w:rFonts w:ascii="Arial" w:hAnsi="Arial" w:cs="Arial"/>
                <w:sz w:val="20"/>
              </w:rPr>
              <w:t xml:space="preserve">carica o funzione di amministratore, presidente, liquidatore, sindaco o revisore, direttore generale, consulente con prestazioni di carattere permanente, in associazioni o enti che gestiscano servizi per conto dello Stato o </w:t>
            </w:r>
            <w:r>
              <w:rPr>
                <w:rFonts w:ascii="Arial" w:hAnsi="Arial" w:cs="Arial"/>
                <w:sz w:val="20"/>
              </w:rPr>
              <w:t>P.A.</w:t>
            </w:r>
            <w:r w:rsidRPr="008E28BC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(</w:t>
            </w:r>
            <w:r w:rsidRPr="008E28BC">
              <w:rPr>
                <w:rFonts w:ascii="Arial" w:hAnsi="Arial" w:cs="Arial"/>
                <w:sz w:val="20"/>
              </w:rPr>
              <w:t>o ai quali lo Stato contribuisca in via ordinaria</w:t>
            </w:r>
            <w:r>
              <w:rPr>
                <w:rFonts w:ascii="Arial" w:hAnsi="Arial" w:cs="Arial"/>
                <w:sz w:val="20"/>
              </w:rPr>
              <w:t>) ovvero</w:t>
            </w:r>
            <w:r w:rsidRPr="008E28BC">
              <w:rPr>
                <w:rFonts w:ascii="Arial" w:hAnsi="Arial" w:cs="Arial"/>
                <w:sz w:val="20"/>
              </w:rPr>
              <w:t xml:space="preserve"> in istituti bancari o in società per azioni che abbiano, come scopo prevalente, l'esercizio di attività finanziarie, ad eccezione degli istituti di credito a carattere cooperativo, che operino nella loro</w:t>
            </w:r>
          </w:p>
          <w:p w:rsidR="006B7B2E" w:rsidRPr="00B55F46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522667">
              <w:rPr>
                <w:rFonts w:ascii="Arial" w:hAnsi="Arial" w:cs="Arial"/>
                <w:sz w:val="20"/>
              </w:rPr>
              <w:t>membro del Consiglio di amministrazione della RAI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30"/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31"/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012DEA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titolari di </w:t>
            </w:r>
            <w:r w:rsidRPr="00012DEA">
              <w:rPr>
                <w:rFonts w:ascii="Arial" w:hAnsi="Arial" w:cs="Arial"/>
                <w:sz w:val="20"/>
              </w:rPr>
              <w:t xml:space="preserve">incarichi amministrativi di vertice (segretario generale, capo dipartimento, </w:t>
            </w:r>
            <w:r w:rsidRPr="00012DEA">
              <w:rPr>
                <w:rFonts w:ascii="Arial" w:hAnsi="Arial" w:cs="Arial"/>
                <w:sz w:val="20"/>
              </w:rPr>
              <w:lastRenderedPageBreak/>
              <w:t xml:space="preserve">direttore generale e similari) nelle amministrazioni statali, regionali e locali e </w:t>
            </w:r>
            <w:r>
              <w:rPr>
                <w:rFonts w:ascii="Arial" w:hAnsi="Arial" w:cs="Arial"/>
                <w:sz w:val="20"/>
              </w:rPr>
              <w:t>di</w:t>
            </w:r>
            <w:r w:rsidRPr="00012DEA">
              <w:rPr>
                <w:rFonts w:ascii="Arial" w:hAnsi="Arial" w:cs="Arial"/>
                <w:sz w:val="20"/>
              </w:rPr>
              <w:t xml:space="preserve"> incarichi di amministratore di ente pubblico di livello nazionale, regionale e locale;</w:t>
            </w:r>
          </w:p>
          <w:p w:rsidR="006B7B2E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titolari </w:t>
            </w:r>
            <w:r w:rsidRPr="00012DEA">
              <w:rPr>
                <w:rFonts w:ascii="Arial" w:hAnsi="Arial" w:cs="Arial"/>
                <w:sz w:val="20"/>
              </w:rPr>
              <w:t xml:space="preserve">incarichi dirigenziali, interni e esterni, nelle </w:t>
            </w:r>
            <w:r>
              <w:rPr>
                <w:rFonts w:ascii="Arial" w:hAnsi="Arial" w:cs="Arial"/>
                <w:sz w:val="20"/>
              </w:rPr>
              <w:t>P.A.</w:t>
            </w:r>
            <w:r w:rsidRPr="00012DEA">
              <w:rPr>
                <w:rFonts w:ascii="Arial" w:hAnsi="Arial" w:cs="Arial"/>
                <w:sz w:val="20"/>
              </w:rPr>
              <w:t>, negli enti pubblici e negli enti di diritto privato in controllo pubblico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6B7B2E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012DEA">
              <w:rPr>
                <w:rFonts w:ascii="Arial" w:hAnsi="Arial" w:cs="Arial"/>
                <w:sz w:val="20"/>
              </w:rPr>
              <w:t>presidente e amministratore delegato di enti di diritto privato in controllo pubblico, di livello nazionale, regionale e locale</w:t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32"/>
            </w:r>
          </w:p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522667">
              <w:rPr>
                <w:rFonts w:ascii="Arial" w:hAnsi="Arial" w:cs="Arial"/>
                <w:sz w:val="20"/>
              </w:rPr>
              <w:t>direttore generale, direttore amministrativo, direttore sanitario di azienda sanitaria locale</w:t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33"/>
            </w:r>
          </w:p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b/>
                <w:color w:val="00B0F0"/>
                <w:sz w:val="20"/>
              </w:rPr>
            </w:pP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522667">
              <w:rPr>
                <w:rFonts w:ascii="Arial" w:hAnsi="Arial" w:cs="Arial"/>
                <w:sz w:val="20"/>
              </w:rPr>
              <w:t>presidente e vicepresidente di istituti e di enti pubblici, anche economici, di nomina governativa</w:t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34"/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522667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522667">
              <w:rPr>
                <w:rFonts w:ascii="Arial" w:hAnsi="Arial" w:cs="Arial"/>
                <w:sz w:val="20"/>
              </w:rPr>
              <w:t>dipendenti, collaboratori e consulenti del Dipartimento delle informazioni per la sicurezza (DIS) e dei servizi di informazione per la sicurezza</w:t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35"/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522667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Governatore, </w:t>
            </w:r>
            <w:r w:rsidRPr="00522667">
              <w:rPr>
                <w:rFonts w:ascii="Arial" w:hAnsi="Arial" w:cs="Arial"/>
                <w:sz w:val="20"/>
              </w:rPr>
              <w:t>component</w:t>
            </w:r>
            <w:r>
              <w:rPr>
                <w:rFonts w:ascii="Arial" w:hAnsi="Arial" w:cs="Arial"/>
                <w:sz w:val="20"/>
              </w:rPr>
              <w:t>i</w:t>
            </w:r>
            <w:r w:rsidRPr="00522667">
              <w:rPr>
                <w:rFonts w:ascii="Arial" w:hAnsi="Arial" w:cs="Arial"/>
                <w:sz w:val="20"/>
              </w:rPr>
              <w:t xml:space="preserve"> del Consiglio superiore e dei Consigli di reggenza della Banca d’Italia</w:t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 w:rsidRPr="00A65DBB">
              <w:rPr>
                <w:rFonts w:ascii="Arial" w:hAnsi="Arial" w:cs="Arial"/>
                <w:b/>
                <w:color w:val="00B0F0"/>
                <w:sz w:val="20"/>
                <w:vertAlign w:val="superscript"/>
              </w:rPr>
              <w:footnoteReference w:id="36"/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522667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Presidente (ove previsto) e componenti AGCM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37"/>
            </w:r>
            <w:r>
              <w:rPr>
                <w:rFonts w:ascii="Arial" w:hAnsi="Arial" w:cs="Arial"/>
                <w:sz w:val="20"/>
              </w:rPr>
              <w:t>, ARERA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38"/>
            </w:r>
            <w:r>
              <w:rPr>
                <w:rFonts w:ascii="Arial" w:hAnsi="Arial" w:cs="Arial"/>
                <w:sz w:val="20"/>
              </w:rPr>
              <w:t>, AGCOM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39"/>
            </w:r>
            <w:r>
              <w:rPr>
                <w:rFonts w:ascii="Arial" w:hAnsi="Arial" w:cs="Arial"/>
                <w:sz w:val="20"/>
              </w:rPr>
              <w:t>, Garante Privacy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40"/>
            </w:r>
            <w:r>
              <w:rPr>
                <w:rFonts w:ascii="Arial" w:hAnsi="Arial" w:cs="Arial"/>
                <w:sz w:val="20"/>
              </w:rPr>
              <w:t>, Commissione di garanzia sciopero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41"/>
            </w:r>
            <w:r>
              <w:rPr>
                <w:rFonts w:ascii="Arial" w:hAnsi="Arial" w:cs="Arial"/>
                <w:sz w:val="20"/>
              </w:rPr>
              <w:t>, ANAC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42"/>
            </w:r>
            <w:r>
              <w:rPr>
                <w:rFonts w:ascii="Arial" w:hAnsi="Arial" w:cs="Arial"/>
                <w:sz w:val="20"/>
              </w:rPr>
              <w:t>, Autorità regolazione trasporti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43"/>
            </w:r>
            <w:r>
              <w:rPr>
                <w:rFonts w:ascii="Arial" w:hAnsi="Arial" w:cs="Arial"/>
                <w:sz w:val="20"/>
              </w:rPr>
              <w:t>, Autorità garante per l’infanzia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44"/>
            </w:r>
            <w:r>
              <w:rPr>
                <w:rFonts w:ascii="Arial" w:hAnsi="Arial" w:cs="Arial"/>
                <w:sz w:val="20"/>
              </w:rPr>
              <w:t>, Garante nazionale dei detenuti</w:t>
            </w:r>
            <w:r>
              <w:rPr>
                <w:rStyle w:val="Rimandonotaapidipagina"/>
                <w:rFonts w:ascii="Arial" w:hAnsi="Arial" w:cs="Arial"/>
                <w:sz w:val="20"/>
              </w:rPr>
              <w:footnoteReference w:id="45"/>
            </w:r>
            <w:r w:rsidR="00384F5D">
              <w:rPr>
                <w:rFonts w:ascii="Arial" w:hAnsi="Arial" w:cs="Arial"/>
                <w:sz w:val="20"/>
              </w:rPr>
              <w:t>, CONSOB</w:t>
            </w:r>
            <w:r w:rsidR="00384F5D" w:rsidRPr="00384F5D">
              <w:rPr>
                <w:rFonts w:ascii="Arial" w:hAnsi="Arial" w:cs="Arial"/>
                <w:sz w:val="20"/>
                <w:vertAlign w:val="superscript"/>
              </w:rPr>
              <w:footnoteReference w:id="46"/>
            </w:r>
            <w:r w:rsidR="00384F5D">
              <w:rPr>
                <w:rFonts w:ascii="Arial" w:hAnsi="Arial" w:cs="Arial"/>
                <w:sz w:val="20"/>
              </w:rPr>
              <w:t>, c</w:t>
            </w:r>
            <w:r w:rsidR="00384F5D" w:rsidRPr="00522667">
              <w:rPr>
                <w:rFonts w:ascii="Arial" w:hAnsi="Arial" w:cs="Arial"/>
                <w:sz w:val="20"/>
              </w:rPr>
              <w:t>ollegio dell’ufficio parlamentare di bilancio</w:t>
            </w:r>
            <w:r w:rsidR="00384F5D" w:rsidRPr="00384F5D">
              <w:rPr>
                <w:rStyle w:val="Rimandonotaapidipagina"/>
                <w:rFonts w:ascii="Arial" w:hAnsi="Arial" w:cs="Arial"/>
                <w:sz w:val="20"/>
              </w:rPr>
              <w:footnoteReference w:id="47"/>
            </w:r>
            <w:r w:rsidR="00384F5D">
              <w:rPr>
                <w:rFonts w:ascii="Arial" w:hAnsi="Arial" w:cs="Arial"/>
                <w:sz w:val="20"/>
              </w:rPr>
              <w:t xml:space="preserve">, </w:t>
            </w:r>
            <w:r w:rsidR="00384F5D" w:rsidRPr="00F07280">
              <w:rPr>
                <w:rFonts w:ascii="Arial" w:hAnsi="Arial" w:cs="Arial"/>
                <w:sz w:val="20"/>
              </w:rPr>
              <w:t>collegio indirizzo e controllo dell’A.R.A.N.</w:t>
            </w:r>
            <w:r w:rsidR="00384F5D" w:rsidRPr="00384F5D">
              <w:rPr>
                <w:rFonts w:ascii="Arial" w:hAnsi="Arial" w:cs="Arial"/>
                <w:sz w:val="20"/>
                <w:vertAlign w:val="superscript"/>
              </w:rPr>
              <w:footnoteReference w:id="48"/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522667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b/>
                <w:sz w:val="20"/>
              </w:rPr>
            </w:pPr>
            <w:r w:rsidRPr="00522667">
              <w:rPr>
                <w:rFonts w:ascii="Arial" w:hAnsi="Arial" w:cs="Arial"/>
                <w:sz w:val="20"/>
              </w:rPr>
              <w:t>professor</w:t>
            </w:r>
            <w:r>
              <w:rPr>
                <w:rFonts w:ascii="Arial" w:hAnsi="Arial" w:cs="Arial"/>
                <w:sz w:val="20"/>
              </w:rPr>
              <w:t>i</w:t>
            </w:r>
            <w:r w:rsidRPr="0052266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 ricercatori universitari</w:t>
            </w:r>
          </w:p>
        </w:tc>
        <w:tc>
          <w:tcPr>
            <w:tcW w:w="2694" w:type="dxa"/>
            <w:shd w:val="clear" w:color="auto" w:fill="auto"/>
          </w:tcPr>
          <w:p w:rsidR="006B7B2E" w:rsidRPr="00E475B7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408" w:type="dxa"/>
          </w:tcPr>
          <w:p w:rsidR="006B7B2E" w:rsidRPr="007F6508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F0"/>
                <w:sz w:val="20"/>
              </w:rPr>
            </w:pPr>
            <w:r w:rsidRPr="007F6508">
              <w:rPr>
                <w:rFonts w:ascii="Arial" w:hAnsi="Arial" w:cs="Arial"/>
                <w:b/>
                <w:color w:val="00B0F0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b/>
                <w:color w:val="00B0F0"/>
                <w:sz w:val="20"/>
              </w:rPr>
              <w:footnoteReference w:id="49"/>
            </w: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B55F46" w:rsidRDefault="006B7B2E" w:rsidP="006B7B2E">
            <w:pPr>
              <w:tabs>
                <w:tab w:val="left" w:pos="567"/>
              </w:tabs>
              <w:spacing w:before="120" w:after="120"/>
              <w:ind w:right="113" w:firstLine="0"/>
              <w:rPr>
                <w:rFonts w:ascii="Arial" w:hAnsi="Arial" w:cs="Arial"/>
                <w:sz w:val="20"/>
              </w:rPr>
            </w:pPr>
            <w:r w:rsidRPr="003E6808">
              <w:rPr>
                <w:rFonts w:ascii="Arial" w:hAnsi="Arial" w:cs="Arial"/>
                <w:sz w:val="20"/>
              </w:rPr>
              <w:lastRenderedPageBreak/>
              <w:t>Condannato alla pena della reclusione per il delitto violazione del divieto per il sorvegliato speciale ai sensi della legge 575/1965 di svolgere le specifiche attività di propaganda elettorale previste dalla legge 4 aprile 1956, n. 212 (affissione di stampati, giornali murari o manifesti di propaganda, propaganda elettorale luminosa o figurativa, lancio di volantini.) in favore o in pregiudizio di candidati partecipanti a qualsiasi tipo di competizione elettorale</w:t>
            </w:r>
          </w:p>
        </w:tc>
        <w:tc>
          <w:tcPr>
            <w:tcW w:w="2694" w:type="dxa"/>
            <w:shd w:val="clear" w:color="auto" w:fill="auto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977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50"/>
            </w:r>
          </w:p>
        </w:tc>
        <w:tc>
          <w:tcPr>
            <w:tcW w:w="2408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6B7B2E" w:rsidRPr="003E6808" w:rsidTr="007F6508">
        <w:tc>
          <w:tcPr>
            <w:tcW w:w="2122" w:type="dxa"/>
            <w:shd w:val="clear" w:color="auto" w:fill="auto"/>
          </w:tcPr>
          <w:p w:rsidR="006B7B2E" w:rsidRPr="003E6808" w:rsidRDefault="006B7B2E" w:rsidP="006B7B2E">
            <w:pPr>
              <w:tabs>
                <w:tab w:val="left" w:pos="567"/>
              </w:tabs>
              <w:spacing w:before="120"/>
              <w:ind w:left="113" w:right="113" w:firstLine="0"/>
              <w:rPr>
                <w:rFonts w:ascii="Arial" w:hAnsi="Arial" w:cs="Arial"/>
                <w:sz w:val="20"/>
              </w:rPr>
            </w:pPr>
            <w:r w:rsidRPr="003E6808">
              <w:rPr>
                <w:rFonts w:ascii="Arial" w:hAnsi="Arial" w:cs="Arial"/>
                <w:sz w:val="20"/>
              </w:rPr>
              <w:t xml:space="preserve">Coloro che sono stati condannati, con sentenza passata in giudicato, per le seguenti tre categorie di fattispecie di condanne definitive riferite a delitti, non colposi, consumati o tentati: </w:t>
            </w:r>
          </w:p>
          <w:p w:rsidR="006B7B2E" w:rsidRPr="003E6808" w:rsidRDefault="006B7B2E" w:rsidP="006B7B2E">
            <w:pPr>
              <w:numPr>
                <w:ilvl w:val="0"/>
                <w:numId w:val="47"/>
              </w:numPr>
              <w:tabs>
                <w:tab w:val="clear" w:pos="357"/>
                <w:tab w:val="left" w:pos="426"/>
                <w:tab w:val="left" w:pos="924"/>
              </w:tabs>
              <w:ind w:left="396" w:right="113"/>
              <w:rPr>
                <w:rFonts w:ascii="Arial" w:hAnsi="Arial" w:cs="Arial"/>
                <w:sz w:val="20"/>
              </w:rPr>
            </w:pPr>
            <w:r w:rsidRPr="003E6808">
              <w:rPr>
                <w:rFonts w:ascii="Arial" w:hAnsi="Arial" w:cs="Arial"/>
                <w:sz w:val="20"/>
              </w:rPr>
              <w:t xml:space="preserve">condanna a pena detentiva superiore a 2 anni di reclusione per i delitti associativi previsti dall’art. 51, commi 3-bis </w:t>
            </w:r>
            <w:r w:rsidRPr="003E6808">
              <w:rPr>
                <w:rFonts w:ascii="Arial" w:hAnsi="Arial" w:cs="Arial"/>
                <w:sz w:val="20"/>
              </w:rPr>
              <w:lastRenderedPageBreak/>
              <w:t>e 3-quater del codice di procedura penale;</w:t>
            </w:r>
          </w:p>
          <w:p w:rsidR="006B7B2E" w:rsidRPr="003E6808" w:rsidRDefault="006B7B2E" w:rsidP="006B7B2E">
            <w:pPr>
              <w:numPr>
                <w:ilvl w:val="0"/>
                <w:numId w:val="47"/>
              </w:numPr>
              <w:tabs>
                <w:tab w:val="clear" w:pos="357"/>
                <w:tab w:val="left" w:pos="426"/>
                <w:tab w:val="left" w:pos="924"/>
              </w:tabs>
              <w:ind w:left="396" w:right="113"/>
              <w:rPr>
                <w:rFonts w:ascii="Arial" w:hAnsi="Arial" w:cs="Arial"/>
                <w:sz w:val="20"/>
              </w:rPr>
            </w:pPr>
            <w:r w:rsidRPr="003E6808">
              <w:rPr>
                <w:rFonts w:ascii="Arial" w:hAnsi="Arial" w:cs="Arial"/>
                <w:sz w:val="20"/>
              </w:rPr>
              <w:t>condanna a pena detentiva superiore a 2 anni di reclusione per i delitti previsti nel Libro II, Titolo II (Delitti contro la pubblica amministrazione), Capo I (Delitti dei pubblici ufficiali contro la pubblica amministrazione) del codice penale, composto dagli articoli da 314 a 335-bis;</w:t>
            </w:r>
          </w:p>
          <w:p w:rsidR="006B7B2E" w:rsidRPr="00F44B6D" w:rsidRDefault="006B7B2E" w:rsidP="006B7B2E">
            <w:pPr>
              <w:numPr>
                <w:ilvl w:val="0"/>
                <w:numId w:val="47"/>
              </w:numPr>
              <w:tabs>
                <w:tab w:val="clear" w:pos="357"/>
                <w:tab w:val="left" w:pos="426"/>
                <w:tab w:val="left" w:pos="924"/>
              </w:tabs>
              <w:ind w:left="396" w:right="113"/>
              <w:rPr>
                <w:rFonts w:ascii="Arial" w:hAnsi="Arial" w:cs="Arial"/>
                <w:sz w:val="20"/>
              </w:rPr>
            </w:pPr>
            <w:r w:rsidRPr="003E6808">
              <w:rPr>
                <w:rFonts w:ascii="Arial" w:hAnsi="Arial" w:cs="Arial"/>
                <w:sz w:val="20"/>
              </w:rPr>
              <w:t>condanna a pena detentiva superiore a 2 anni di reclusione per i delitti per i quali sia prevista la pena della reclusione non inferiore nel massimo a 4 anni stabilita in base all’art. 278 c.p.p.</w:t>
            </w:r>
          </w:p>
        </w:tc>
        <w:tc>
          <w:tcPr>
            <w:tcW w:w="2694" w:type="dxa"/>
            <w:shd w:val="clear" w:color="auto" w:fill="auto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b/>
                <w:color w:val="00B050"/>
              </w:rPr>
            </w:pPr>
          </w:p>
        </w:tc>
        <w:tc>
          <w:tcPr>
            <w:tcW w:w="2977" w:type="dxa"/>
          </w:tcPr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D7DA2">
              <w:rPr>
                <w:rFonts w:ascii="Arial" w:hAnsi="Arial" w:cs="Arial"/>
                <w:color w:val="000000" w:themeColor="text1"/>
                <w:sz w:val="20"/>
              </w:rPr>
              <w:t>√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51"/>
            </w:r>
          </w:p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color w:val="000000" w:themeColor="text1"/>
                <w:sz w:val="20"/>
              </w:rPr>
            </w:pPr>
            <w:r w:rsidRPr="009F29DE">
              <w:rPr>
                <w:rFonts w:ascii="Arial" w:hAnsi="Arial" w:cs="Arial"/>
                <w:color w:val="000000" w:themeColor="text1"/>
                <w:sz w:val="20"/>
              </w:rPr>
              <w:t xml:space="preserve">per un periodo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pari</w:t>
            </w:r>
            <w:r w:rsidRPr="009F29DE">
              <w:rPr>
                <w:rFonts w:ascii="Arial" w:hAnsi="Arial" w:cs="Arial"/>
                <w:color w:val="000000" w:themeColor="text1"/>
                <w:sz w:val="20"/>
              </w:rPr>
              <w:t xml:space="preserve"> al doppio della durata della pena accessoria dell’interdizione temporanea dai pubblici uffici comminata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in via definitiva</w:t>
            </w:r>
          </w:p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i</w:t>
            </w:r>
            <w:r w:rsidRPr="009F29DE">
              <w:rPr>
                <w:rFonts w:ascii="Arial" w:hAnsi="Arial" w:cs="Arial"/>
                <w:color w:val="000000" w:themeColor="text1"/>
                <w:sz w:val="20"/>
              </w:rPr>
              <w:t>n ogni caso, anche in assenza della pena accessoria, l’</w:t>
            </w:r>
            <w:proofErr w:type="spellStart"/>
            <w:r w:rsidRPr="009F29DE">
              <w:rPr>
                <w:rFonts w:ascii="Arial" w:hAnsi="Arial" w:cs="Arial"/>
                <w:color w:val="000000" w:themeColor="text1"/>
                <w:sz w:val="20"/>
              </w:rPr>
              <w:t>incandidabilità</w:t>
            </w:r>
            <w:proofErr w:type="spellEnd"/>
            <w:r w:rsidRPr="009F29DE">
              <w:rPr>
                <w:rFonts w:ascii="Arial" w:hAnsi="Arial" w:cs="Arial"/>
                <w:color w:val="000000" w:themeColor="text1"/>
                <w:sz w:val="20"/>
              </w:rPr>
              <w:t xml:space="preserve"> ha una durata minima di sei anni</w:t>
            </w:r>
          </w:p>
          <w:p w:rsidR="006B7B2E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l</w:t>
            </w:r>
            <w:r w:rsidRPr="00360B7E">
              <w:rPr>
                <w:rFonts w:ascii="Arial" w:hAnsi="Arial" w:cs="Arial"/>
                <w:color w:val="000000" w:themeColor="text1"/>
                <w:sz w:val="20"/>
              </w:rPr>
              <w:t>a durata dell’</w:t>
            </w:r>
            <w:proofErr w:type="spellStart"/>
            <w:r w:rsidRPr="00360B7E">
              <w:rPr>
                <w:rFonts w:ascii="Arial" w:hAnsi="Arial" w:cs="Arial"/>
                <w:color w:val="000000" w:themeColor="text1"/>
                <w:sz w:val="20"/>
              </w:rPr>
              <w:t>incandidabilità</w:t>
            </w:r>
            <w:proofErr w:type="spellEnd"/>
            <w:r w:rsidRPr="00360B7E">
              <w:rPr>
                <w:rFonts w:ascii="Arial" w:hAnsi="Arial" w:cs="Arial"/>
                <w:color w:val="000000" w:themeColor="text1"/>
                <w:sz w:val="20"/>
              </w:rPr>
              <w:t xml:space="preserve"> aumenta di un terzo se il delitto che determina l’</w:t>
            </w:r>
            <w:proofErr w:type="spellStart"/>
            <w:r w:rsidRPr="00360B7E">
              <w:rPr>
                <w:rFonts w:ascii="Arial" w:hAnsi="Arial" w:cs="Arial"/>
                <w:color w:val="000000" w:themeColor="text1"/>
                <w:sz w:val="20"/>
              </w:rPr>
              <w:t>incandidabilità</w:t>
            </w:r>
            <w:proofErr w:type="spellEnd"/>
            <w:r w:rsidRPr="00360B7E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è</w:t>
            </w:r>
            <w:r w:rsidRPr="00360B7E">
              <w:rPr>
                <w:rFonts w:ascii="Arial" w:hAnsi="Arial" w:cs="Arial"/>
                <w:color w:val="000000" w:themeColor="text1"/>
                <w:sz w:val="20"/>
              </w:rPr>
              <w:t xml:space="preserve"> commesso con abuso dei poteri o in violazione dei doveri connessi al mandato elettivo</w:t>
            </w:r>
          </w:p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lastRenderedPageBreak/>
              <w:t>l</w:t>
            </w:r>
            <w:r w:rsidRPr="00360B7E">
              <w:rPr>
                <w:rFonts w:ascii="Arial" w:hAnsi="Arial" w:cs="Arial"/>
                <w:color w:val="000000" w:themeColor="text1"/>
                <w:sz w:val="20"/>
              </w:rPr>
              <w:t>a sentenza di riabilitazione del condannato costituisce causa di estinzione anticipata dell’</w:t>
            </w:r>
            <w:proofErr w:type="spellStart"/>
            <w:r w:rsidRPr="00360B7E">
              <w:rPr>
                <w:rFonts w:ascii="Arial" w:hAnsi="Arial" w:cs="Arial"/>
                <w:color w:val="000000" w:themeColor="text1"/>
                <w:sz w:val="20"/>
              </w:rPr>
              <w:t>incandidabilità</w:t>
            </w:r>
            <w:proofErr w:type="spellEnd"/>
            <w:r w:rsidRPr="00360B7E">
              <w:rPr>
                <w:rFonts w:ascii="Arial" w:hAnsi="Arial" w:cs="Arial"/>
                <w:color w:val="000000" w:themeColor="text1"/>
                <w:sz w:val="20"/>
              </w:rPr>
              <w:t xml:space="preserve"> mentre l’eventuale revoca della sentenza di riabilitazione comporta il ripristino dell’</w:t>
            </w:r>
            <w:proofErr w:type="spellStart"/>
            <w:r w:rsidRPr="00360B7E">
              <w:rPr>
                <w:rFonts w:ascii="Arial" w:hAnsi="Arial" w:cs="Arial"/>
                <w:color w:val="000000" w:themeColor="text1"/>
                <w:sz w:val="20"/>
              </w:rPr>
              <w:t>incandidabilità</w:t>
            </w:r>
            <w:proofErr w:type="spellEnd"/>
            <w:r w:rsidRPr="00360B7E">
              <w:rPr>
                <w:rFonts w:ascii="Arial" w:hAnsi="Arial" w:cs="Arial"/>
                <w:color w:val="000000" w:themeColor="text1"/>
                <w:sz w:val="20"/>
              </w:rPr>
              <w:t xml:space="preserve"> per il periodo di tempo residuo</w:t>
            </w:r>
            <w:r>
              <w:rPr>
                <w:rStyle w:val="Rimandonotaapidipagina"/>
                <w:rFonts w:ascii="Arial" w:hAnsi="Arial" w:cs="Arial"/>
                <w:color w:val="000000" w:themeColor="text1"/>
                <w:sz w:val="20"/>
              </w:rPr>
              <w:footnoteReference w:id="52"/>
            </w:r>
          </w:p>
        </w:tc>
        <w:tc>
          <w:tcPr>
            <w:tcW w:w="2408" w:type="dxa"/>
          </w:tcPr>
          <w:p w:rsidR="006B7B2E" w:rsidRPr="00CD7DA2" w:rsidRDefault="006B7B2E" w:rsidP="006B7B2E">
            <w:pPr>
              <w:tabs>
                <w:tab w:val="left" w:pos="567"/>
              </w:tabs>
              <w:spacing w:before="120" w:after="120"/>
              <w:ind w:left="113" w:right="113" w:firstLine="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</w:tbl>
    <w:p w:rsidR="007B5605" w:rsidRPr="000A5178" w:rsidRDefault="007B5605" w:rsidP="000A5178"/>
    <w:sectPr w:rsidR="007B5605" w:rsidRPr="000A5178" w:rsidSect="00D904BD">
      <w:headerReference w:type="default" r:id="rId8"/>
      <w:footerReference w:type="even" r:id="rId9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F9C" w:rsidRDefault="00362F9C">
      <w:r>
        <w:separator/>
      </w:r>
    </w:p>
    <w:p w:rsidR="00362F9C" w:rsidRDefault="00362F9C"/>
  </w:endnote>
  <w:endnote w:type="continuationSeparator" w:id="0">
    <w:p w:rsidR="00362F9C" w:rsidRDefault="00362F9C">
      <w:r>
        <w:continuationSeparator/>
      </w:r>
    </w:p>
    <w:p w:rsidR="00362F9C" w:rsidRDefault="00362F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0E15737-C9F9-467F-8185-66A29A40A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F7F445-F2E2-4586-9BED-A32E3A275C9C}"/>
    <w:embedBold r:id="rId3" w:fontKey="{A102028E-4601-40E1-A13C-80DFECF357FA}"/>
    <w:embedItalic r:id="rId4" w:fontKey="{4A64BFF8-2D59-40F4-9470-67CE81F8FE13}"/>
    <w:embedBoldItalic r:id="rId5" w:fontKey="{9F7CCB30-F4C8-4A24-8FFA-BC8E2CD5F5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444F654-0E29-433E-9950-249A31405862}"/>
    <w:embedBold r:id="rId7" w:fontKey="{5E476D3B-63CE-4751-8F6C-8CAA9326594C}"/>
    <w:embedItalic r:id="rId8" w:fontKey="{9F9C4E91-371D-453E-8149-EBE5D722DF3F}"/>
    <w:embedBoldItalic r:id="rId9" w:fontKey="{514AFA41-DD7D-4DF0-BDCF-96B1811C43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65FAB36-EFEF-4087-B685-43A1C84D46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F48C207E-4B84-45CC-BFEC-26A91A205637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5C957A0A-5B52-474B-9F5B-753084CB640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79540E7F-44AE-499D-B5E8-EB99C22E6513}"/>
    <w:embedBold r:id="rId14" w:fontKey="{A10D81CB-6452-4333-9B75-59D8C23F57E9}"/>
    <w:embedItalic r:id="rId15" w:fontKey="{17ACEF32-7DED-4A66-9A27-E48414F6EC2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7419F23E-0619-457C-ACC5-D740EA54FAF5}"/>
    <w:embedBold r:id="rId17" w:fontKey="{991C8265-2D7F-45D7-9357-A7A5011945EF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  <w:embedRegular r:id="rId18" w:fontKey="{2F184222-54A4-47D2-AC53-A9E1BF6BD4CB}"/>
    <w:embedBold r:id="rId19" w:fontKey="{549EE42B-B795-464A-BC09-F9B79540EB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0" w:fontKey="{96CD6BCF-22F5-4FF9-9A32-49791966B125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1" w:fontKey="{C8F6655B-F899-4297-A9C4-E1C5245421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DC6854C0-150D-4224-8207-47E76FE1E65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3" w:fontKey="{29949B26-0BF4-4CCA-B68F-8FFC1A9EFE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4" w:fontKey="{E23AFBBD-1CF8-4BE2-B495-ED840FDE1B24}"/>
    <w:embedBold r:id="rId25" w:fontKey="{31716DBB-BF98-4DB4-901B-2FFBEDE9002A}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  <w:embedRegular r:id="rId26" w:fontKey="{7F5AE5E1-BE46-4FC4-9445-9664EC124D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7" w:fontKey="{9CE322F8-FE55-4F9D-8174-D9EFC9D04FA1}"/>
    <w:embedBold r:id="rId28" w:fontKey="{636185D6-7B73-40D3-94A2-83CACFF3E3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9" w:fontKey="{B12AAA05-4035-4CE3-80BC-32FE84BD0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1A4430">
      <w:rPr>
        <w:rStyle w:val="Numeropagina"/>
        <w:noProof/>
      </w:rPr>
      <w:t>10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F9C" w:rsidRDefault="00362F9C">
      <w:r>
        <w:separator/>
      </w:r>
    </w:p>
  </w:footnote>
  <w:footnote w:type="continuationSeparator" w:id="0">
    <w:p w:rsidR="00362F9C" w:rsidRDefault="00362F9C">
      <w:r>
        <w:continuationSeparator/>
      </w:r>
    </w:p>
    <w:p w:rsidR="00362F9C" w:rsidRDefault="00362F9C"/>
  </w:footnote>
  <w:footnote w:id="1">
    <w:p w:rsidR="00494EB8" w:rsidRDefault="00494EB8" w:rsidP="00494EB8">
      <w:pPr>
        <w:pStyle w:val="Testonotaapidipagina"/>
        <w:ind w:left="142" w:hanging="426"/>
      </w:pPr>
      <w:r>
        <w:rPr>
          <w:rStyle w:val="Rimandonotaapidipagina"/>
        </w:rPr>
        <w:footnoteRef/>
      </w:r>
      <w:r>
        <w:t xml:space="preserve"> NB Oltre a quelli riportati nella tabella che segue, sono inoltre incompatibili con il mandato parlamentare i seguenti incarichi: magistrato onorario e giudice di pace; </w:t>
      </w:r>
      <w:r w:rsidRPr="00024AA7">
        <w:t>direttore responsabile di giornale o di altro periodico</w:t>
      </w:r>
      <w:r>
        <w:t xml:space="preserve">; professionista che presta </w:t>
      </w:r>
      <w:r w:rsidRPr="00024AA7">
        <w:t>patrocinio</w:t>
      </w:r>
      <w:r>
        <w:t>,</w:t>
      </w:r>
      <w:r w:rsidRPr="00024AA7">
        <w:t xml:space="preserve"> assistenza o consulenza ad imprese di carattere finanziario od economico in loro vertenze o rapporti di affari con lo Stato</w:t>
      </w:r>
      <w:r>
        <w:t xml:space="preserve">; amministratore straordinario di ASL; componente effettivo o supplente dei collegi regionali di garanzia elettorale; </w:t>
      </w:r>
      <w:r w:rsidRPr="00024AA7">
        <w:t xml:space="preserve">consigliere delle </w:t>
      </w:r>
      <w:r>
        <w:t>c</w:t>
      </w:r>
      <w:r w:rsidRPr="00024AA7">
        <w:t>amere di commercio</w:t>
      </w:r>
      <w:r>
        <w:t xml:space="preserve">; </w:t>
      </w:r>
      <w:r w:rsidRPr="00024AA7">
        <w:t>componente delle commissioni esaminatrici di concorso per l’assunzione nei pubblici impieghi</w:t>
      </w:r>
      <w:r>
        <w:t xml:space="preserve">; </w:t>
      </w:r>
      <w:r w:rsidRPr="00024AA7">
        <w:t>dirigente generale con contratto di diritto privato</w:t>
      </w:r>
      <w:r>
        <w:t xml:space="preserve">; </w:t>
      </w:r>
      <w:r w:rsidRPr="004337E2">
        <w:t xml:space="preserve">legale rappresentante, amministratore, sindaco, dipendente muniti di rappresentanza anche temporanea, procuratore generale o speciale e socio di società concessionarie del servizio di riscossione dei tributi </w:t>
      </w:r>
      <w:r>
        <w:t>ovvero</w:t>
      </w:r>
      <w:r w:rsidRPr="004337E2">
        <w:t xml:space="preserve"> iscritte nell'albo dei soggetti abilitati ad effettuare attività di liquidazione, di accertamento e di riscossione dei tributi e di altre entrate delle province e dei comuni</w:t>
      </w:r>
      <w:r>
        <w:t xml:space="preserve">; </w:t>
      </w:r>
      <w:r w:rsidRPr="004E60B4">
        <w:t>consigliere del consiglio superiore della pubblica istruzione</w:t>
      </w:r>
      <w:r>
        <w:t xml:space="preserve">; </w:t>
      </w:r>
      <w:r w:rsidRPr="004E60B4">
        <w:t>soggetto preposto l'ufficio del Ministero delle infrastrutture e dei trasporti che svolge le funzioni di organismo di regolazione delle infrastrutture ferroviarie</w:t>
      </w:r>
      <w:r>
        <w:t xml:space="preserve">; </w:t>
      </w:r>
      <w:r w:rsidRPr="004E60B4">
        <w:t>consulente in proprietà industriale</w:t>
      </w:r>
      <w:r>
        <w:t xml:space="preserve">; </w:t>
      </w:r>
      <w:r w:rsidRPr="004E60B4">
        <w:t>componente del comitato direttivo della Scuola superiore della magistratura</w:t>
      </w:r>
      <w:r>
        <w:t xml:space="preserve">; </w:t>
      </w:r>
      <w:r w:rsidRPr="004E60B4">
        <w:t xml:space="preserve">presidente, componente del </w:t>
      </w:r>
      <w:r>
        <w:t>c</w:t>
      </w:r>
      <w:r w:rsidRPr="004E60B4">
        <w:t xml:space="preserve">onsiglio di amministrazione, del </w:t>
      </w:r>
      <w:r>
        <w:t>c</w:t>
      </w:r>
      <w:r w:rsidRPr="004E60B4">
        <w:t xml:space="preserve">onsiglio scientifico e del </w:t>
      </w:r>
      <w:r>
        <w:t>c</w:t>
      </w:r>
      <w:r w:rsidRPr="004E60B4">
        <w:t>ollegio dei revisori, direttore generale, direttore di dipartimento e di direzione centrale dell'ENEA</w:t>
      </w:r>
      <w:r>
        <w:t xml:space="preserve">; </w:t>
      </w:r>
      <w:r w:rsidRPr="004E60B4">
        <w:t>membro del Consiglio di amministrazione, del Consiglio tecnico-scientifico, del Collegio dei revisori dei conti, del Comitato di valutazione e della Commissione di valutazione e controllo strategico dell’Agenzia spaziale italiana</w:t>
      </w:r>
      <w:r>
        <w:t xml:space="preserve">; </w:t>
      </w:r>
      <w:r w:rsidRPr="004E60B4">
        <w:t xml:space="preserve">presidente, direttore generale e componente  del comitato direttivo dell’Agenzia per l’Italia Digitale (ex </w:t>
      </w:r>
      <w:proofErr w:type="spellStart"/>
      <w:r w:rsidRPr="004E60B4">
        <w:t>DigitPA</w:t>
      </w:r>
      <w:proofErr w:type="spellEnd"/>
      <w:r w:rsidRPr="004E60B4">
        <w:t>)</w:t>
      </w:r>
      <w:r>
        <w:t xml:space="preserve">; </w:t>
      </w:r>
      <w:r w:rsidRPr="004E60B4">
        <w:t>presidente e componente del consiglio di amministrazione dell’ICE - Agenzia per la promozione all’estero e l’internazionalizzazione delle imprese italiane</w:t>
      </w:r>
      <w:r>
        <w:t xml:space="preserve">; </w:t>
      </w:r>
      <w:r w:rsidRPr="00B65096">
        <w:t>componente delle commissioni censuari</w:t>
      </w:r>
      <w:r>
        <w:t xml:space="preserve">e; </w:t>
      </w:r>
      <w:r w:rsidRPr="00B65096">
        <w:t xml:space="preserve">componente della Commissione tecnica per la </w:t>
      </w:r>
      <w:r w:rsidRPr="00B65096">
        <w:rPr>
          <w:i/>
        </w:rPr>
        <w:t>performance</w:t>
      </w:r>
      <w:r w:rsidRPr="00B65096">
        <w:t xml:space="preserve"> presso il Dipartimento della funzione pubblica</w:t>
      </w:r>
      <w:r>
        <w:t xml:space="preserve">; </w:t>
      </w:r>
      <w:r w:rsidRPr="00B65096">
        <w:t>direttore generale dell’ISPRA - Istituto Superiore per la Protezione e la Ricerca Ambientale e i direttori generali delle agenzie regionali per la protezione dell’ambiente</w:t>
      </w:r>
    </w:p>
  </w:footnote>
  <w:footnote w:id="2">
    <w:p w:rsidR="007F6508" w:rsidRDefault="007F650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347400">
        <w:t>Art. 135, sesto comma, Costituzione e a</w:t>
      </w:r>
      <w:r w:rsidRPr="003F6519">
        <w:t>rt. 7, comma quinto</w:t>
      </w:r>
      <w:r>
        <w:t>, legge</w:t>
      </w:r>
      <w:r w:rsidRPr="003F6519">
        <w:t xml:space="preserve"> n. 87 </w:t>
      </w:r>
      <w:r>
        <w:t xml:space="preserve">del 1953, </w:t>
      </w:r>
      <w:r w:rsidRPr="003F6519">
        <w:rPr>
          <w:i/>
        </w:rPr>
        <w:t>Norme sulla costituzione e sul funzionamento della Corte costituzionale</w:t>
      </w:r>
      <w:r w:rsidRPr="003F6519">
        <w:t xml:space="preserve"> </w:t>
      </w:r>
    </w:p>
  </w:footnote>
  <w:footnote w:id="3">
    <w:p w:rsidR="004636AA" w:rsidRDefault="004636AA">
      <w:pPr>
        <w:pStyle w:val="Testonotaapidipagina"/>
      </w:pPr>
      <w:r>
        <w:rPr>
          <w:rStyle w:val="Rimandonotaapidipagina"/>
        </w:rPr>
        <w:footnoteRef/>
      </w:r>
      <w:r>
        <w:t xml:space="preserve"> Art. 5-</w:t>
      </w:r>
      <w:r w:rsidRPr="004636AA">
        <w:rPr>
          <w:i/>
        </w:rPr>
        <w:t>bis</w:t>
      </w:r>
      <w:r>
        <w:t xml:space="preserve"> legge n. 18 del 1979, </w:t>
      </w:r>
      <w:r w:rsidRPr="004636AA">
        <w:rPr>
          <w:i/>
        </w:rPr>
        <w:t>Elezione dei rappresentanti dell'Italia al Parlamento europeo</w:t>
      </w:r>
    </w:p>
  </w:footnote>
  <w:footnote w:id="4">
    <w:p w:rsidR="00234221" w:rsidRDefault="00234221">
      <w:pPr>
        <w:pStyle w:val="Testonotaapidipagina"/>
      </w:pPr>
      <w:r>
        <w:rPr>
          <w:rStyle w:val="Rimandonotaapidipagina"/>
        </w:rPr>
        <w:footnoteRef/>
      </w:r>
      <w:r>
        <w:t xml:space="preserve"> Art. 122, secondo comma, Costituzione. Tale incompatibilità è prevista altresì per le regioni a statuto speciale</w:t>
      </w:r>
      <w:r w:rsidR="00B723AA">
        <w:t>, nonché per</w:t>
      </w:r>
      <w:r w:rsidR="00024AA7">
        <w:t xml:space="preserve"> i consiglieri delle Province autonome di Trento e di Bolzano</w:t>
      </w:r>
      <w:r w:rsidR="00B723AA">
        <w:t xml:space="preserve">, ai sensi dei rispettivi statuti </w:t>
      </w:r>
    </w:p>
  </w:footnote>
  <w:footnote w:id="5">
    <w:p w:rsidR="007F6508" w:rsidRDefault="007F6508" w:rsidP="00970B98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>
        <w:rPr>
          <w:i/>
        </w:rPr>
        <w:t>b</w:t>
      </w:r>
      <w:r w:rsidRPr="00970B98">
        <w:rPr>
          <w:i/>
        </w:rPr>
        <w:t>)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</w:t>
      </w:r>
    </w:p>
  </w:footnote>
  <w:footnote w:id="6">
    <w:p w:rsidR="007F6508" w:rsidRDefault="007F6508" w:rsidP="00ED27B1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A86FA7">
        <w:t>rt. 6, comma 1</w:t>
      </w:r>
      <w:r>
        <w:t>,</w:t>
      </w:r>
      <w:r w:rsidRPr="00A86FA7">
        <w:t xml:space="preserve"> </w:t>
      </w:r>
      <w:r>
        <w:t>d</w:t>
      </w:r>
      <w:r w:rsidRPr="00A86FA7">
        <w:t>.</w:t>
      </w:r>
      <w:r>
        <w:t>l</w:t>
      </w:r>
      <w:r w:rsidRPr="00A86FA7">
        <w:t>gs. n. 149</w:t>
      </w:r>
      <w:r>
        <w:t xml:space="preserve"> del 2011</w:t>
      </w:r>
      <w:r w:rsidRPr="00A86FA7">
        <w:t xml:space="preserve">, </w:t>
      </w:r>
      <w:r w:rsidRPr="00A86FA7">
        <w:rPr>
          <w:i/>
        </w:rPr>
        <w:t>Meccanismi sanzionatori e premiali relativi a regioni, province e comuni, a norma degli articoli 2, 17 e 26 della legge 5 maggio 2009, n. 42</w:t>
      </w:r>
      <w:r>
        <w:rPr>
          <w:i/>
        </w:rPr>
        <w:t>,</w:t>
      </w:r>
      <w:r w:rsidRPr="00A86FA7">
        <w:t xml:space="preserve"> che novella l’art. 248 </w:t>
      </w:r>
      <w:r>
        <w:t>TUEL</w:t>
      </w:r>
    </w:p>
  </w:footnote>
  <w:footnote w:id="7">
    <w:p w:rsidR="007F6508" w:rsidRDefault="007F6508" w:rsidP="00ED27B1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E53298">
        <w:t>A</w:t>
      </w:r>
      <w:r w:rsidR="00E53298" w:rsidRPr="00722814">
        <w:t>rt. 28, comma 1-</w:t>
      </w:r>
      <w:r w:rsidR="00E53298" w:rsidRPr="00722814">
        <w:rPr>
          <w:i/>
        </w:rPr>
        <w:t>bis</w:t>
      </w:r>
      <w:r w:rsidR="00E53298" w:rsidRPr="00722814">
        <w:t xml:space="preserve"> </w:t>
      </w:r>
      <w:r w:rsidR="00E53298">
        <w:t xml:space="preserve">D.L. </w:t>
      </w:r>
      <w:r w:rsidR="00E53298" w:rsidRPr="00722814">
        <w:t>113</w:t>
      </w:r>
      <w:r w:rsidR="00E53298">
        <w:t xml:space="preserve">/2018 (c.d. Decreto Sicurezza), </w:t>
      </w:r>
      <w:r w:rsidR="00E53298" w:rsidRPr="00722814">
        <w:t>che modifica l’art. 143, comma 11,</w:t>
      </w:r>
      <w:r w:rsidR="00E53298">
        <w:t xml:space="preserve"> del TUEL</w:t>
      </w:r>
    </w:p>
  </w:footnote>
  <w:footnote w:id="8">
    <w:p w:rsidR="006D0872" w:rsidRDefault="006D0872" w:rsidP="006D0872">
      <w:pPr>
        <w:pStyle w:val="Testonotaapidipagina"/>
      </w:pPr>
      <w:r>
        <w:rPr>
          <w:rStyle w:val="Rimandonotaapidipagina"/>
        </w:rPr>
        <w:footnoteRef/>
      </w:r>
      <w:r>
        <w:t xml:space="preserve"> Art. 13, comma 3, decreto-legge n. 138 del 2011</w:t>
      </w:r>
    </w:p>
  </w:footnote>
  <w:footnote w:id="9">
    <w:p w:rsidR="007F6508" w:rsidRDefault="007F6508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>
        <w:rPr>
          <w:i/>
        </w:rPr>
        <w:t>c</w:t>
      </w:r>
      <w:r w:rsidRPr="00970B98">
        <w:rPr>
          <w:i/>
        </w:rPr>
        <w:t>)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</w:t>
      </w:r>
    </w:p>
  </w:footnote>
  <w:footnote w:id="10">
    <w:p w:rsidR="007F6508" w:rsidRDefault="007F6508" w:rsidP="005043E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5043EB">
        <w:t>A</w:t>
      </w:r>
      <w:r w:rsidR="005043EB" w:rsidRPr="00A86FA7">
        <w:t>rt. 6, comma 1</w:t>
      </w:r>
      <w:r w:rsidR="005043EB">
        <w:t>,</w:t>
      </w:r>
      <w:r w:rsidR="005043EB" w:rsidRPr="00A86FA7">
        <w:t xml:space="preserve"> </w:t>
      </w:r>
      <w:r w:rsidR="005043EB">
        <w:t>d</w:t>
      </w:r>
      <w:r w:rsidR="005043EB" w:rsidRPr="00A86FA7">
        <w:t>.</w:t>
      </w:r>
      <w:r w:rsidR="005043EB">
        <w:t>l</w:t>
      </w:r>
      <w:r w:rsidR="005043EB" w:rsidRPr="00A86FA7">
        <w:t>gs. n. 149</w:t>
      </w:r>
      <w:r w:rsidR="005043EB">
        <w:t xml:space="preserve"> del 2011</w:t>
      </w:r>
      <w:r w:rsidR="005043EB" w:rsidRPr="00A86FA7">
        <w:t xml:space="preserve">, </w:t>
      </w:r>
      <w:r w:rsidR="005043EB" w:rsidRPr="00A86FA7">
        <w:rPr>
          <w:i/>
        </w:rPr>
        <w:t>Meccanismi sanzionatori e premiali relativi a regioni, province e comuni, a norma degli articoli 2, 17 e 26 della legge 5 maggio 2009, n. 42</w:t>
      </w:r>
      <w:r w:rsidR="005043EB">
        <w:rPr>
          <w:i/>
        </w:rPr>
        <w:t>,</w:t>
      </w:r>
      <w:r w:rsidR="005043EB" w:rsidRPr="00A86FA7">
        <w:t xml:space="preserve"> che novella l’art. 248 </w:t>
      </w:r>
      <w:r w:rsidR="005043EB">
        <w:t>TUEL</w:t>
      </w:r>
    </w:p>
  </w:footnote>
  <w:footnote w:id="11">
    <w:p w:rsidR="007F6508" w:rsidRDefault="007F6508" w:rsidP="00ED27B1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722814">
        <w:t>rt. 28, comma 1-</w:t>
      </w:r>
      <w:r w:rsidRPr="00722814">
        <w:rPr>
          <w:i/>
        </w:rPr>
        <w:t>bis</w:t>
      </w:r>
      <w:r w:rsidRPr="00722814">
        <w:t xml:space="preserve"> </w:t>
      </w:r>
      <w:r>
        <w:t xml:space="preserve">D.L. </w:t>
      </w:r>
      <w:r w:rsidRPr="00722814">
        <w:t>113</w:t>
      </w:r>
      <w:r>
        <w:t xml:space="preserve">/2018 (c.d. Decreto Sicurezza), </w:t>
      </w:r>
      <w:r w:rsidRPr="00722814">
        <w:t>che modifica l’art. 143, comma 11,</w:t>
      </w:r>
      <w:r>
        <w:t xml:space="preserve"> del TUEL</w:t>
      </w:r>
    </w:p>
  </w:footnote>
  <w:footnote w:id="12">
    <w:p w:rsidR="00F076B7" w:rsidRDefault="00F076B7" w:rsidP="00F076B7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="001E5CBA">
        <w:t>rt. 13, comma 3, decreto-legge n. 138 del 2011</w:t>
      </w:r>
    </w:p>
  </w:footnote>
  <w:footnote w:id="13">
    <w:p w:rsidR="007F6508" w:rsidRDefault="007F6508" w:rsidP="005F1830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722814">
        <w:t>rt. 28, comma 1-</w:t>
      </w:r>
      <w:r w:rsidRPr="00722814">
        <w:rPr>
          <w:i/>
        </w:rPr>
        <w:t>bis</w:t>
      </w:r>
      <w:r w:rsidRPr="00722814">
        <w:t xml:space="preserve"> </w:t>
      </w:r>
      <w:r>
        <w:t xml:space="preserve">D.L. </w:t>
      </w:r>
      <w:r w:rsidRPr="00722814">
        <w:t>113</w:t>
      </w:r>
      <w:r>
        <w:t xml:space="preserve">/2018 (c.d. Decreto Sicurezza), </w:t>
      </w:r>
      <w:r w:rsidRPr="00722814">
        <w:t xml:space="preserve">che modifica l’art. 143, comma 11, del </w:t>
      </w:r>
      <w:r>
        <w:t>TUEL</w:t>
      </w:r>
    </w:p>
  </w:footnote>
  <w:footnote w:id="14">
    <w:p w:rsidR="007F6508" w:rsidRDefault="007F6508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 w:rsidRPr="00970B98">
        <w:rPr>
          <w:i/>
        </w:rPr>
        <w:t>d)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 </w:t>
      </w:r>
    </w:p>
  </w:footnote>
  <w:footnote w:id="15">
    <w:p w:rsidR="007F6508" w:rsidRDefault="007F6508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>
        <w:rPr>
          <w:i/>
        </w:rPr>
        <w:t>e)</w:t>
      </w:r>
      <w:r w:rsidRPr="009A0F75"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 xml:space="preserve">1957 </w:t>
      </w:r>
      <w:r>
        <w:t>(T.U. elezioni Camera)</w:t>
      </w:r>
    </w:p>
  </w:footnote>
  <w:footnote w:id="16">
    <w:p w:rsidR="007F6508" w:rsidRDefault="007F6508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>
        <w:rPr>
          <w:i/>
        </w:rPr>
        <w:t>f</w:t>
      </w:r>
      <w:r w:rsidRPr="00970B98">
        <w:rPr>
          <w:i/>
        </w:rPr>
        <w:t>)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</w:t>
      </w:r>
    </w:p>
  </w:footnote>
  <w:footnote w:id="17">
    <w:p w:rsidR="007F6508" w:rsidRDefault="007F6508" w:rsidP="009A0F75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>
        <w:rPr>
          <w:i/>
        </w:rPr>
        <w:t>g</w:t>
      </w:r>
      <w:r w:rsidRPr="00970B98">
        <w:rPr>
          <w:i/>
        </w:rPr>
        <w:t>)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</w:t>
      </w:r>
    </w:p>
  </w:footnote>
  <w:footnote w:id="18">
    <w:p w:rsidR="007F6508" w:rsidRDefault="007F6508" w:rsidP="009A0F75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 xml:space="preserve">rt. 7, comma 1, </w:t>
      </w:r>
      <w:proofErr w:type="spellStart"/>
      <w:r w:rsidRPr="00970B98">
        <w:t>lett</w:t>
      </w:r>
      <w:proofErr w:type="spellEnd"/>
      <w:r w:rsidRPr="00970B98">
        <w:t xml:space="preserve">. </w:t>
      </w:r>
      <w:r>
        <w:rPr>
          <w:i/>
        </w:rPr>
        <w:t>h</w:t>
      </w:r>
      <w:r w:rsidRPr="00970B98">
        <w:rPr>
          <w:i/>
        </w:rPr>
        <w:t>)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</w:t>
      </w:r>
    </w:p>
  </w:footnote>
  <w:footnote w:id="19">
    <w:p w:rsidR="007F6508" w:rsidRDefault="007F6508" w:rsidP="000A5D3C">
      <w:pPr>
        <w:pStyle w:val="Testonotaapidipagina"/>
      </w:pPr>
      <w:r>
        <w:rPr>
          <w:rStyle w:val="Rimandonotaapidipagina"/>
        </w:rPr>
        <w:footnoteRef/>
      </w:r>
      <w:r>
        <w:t xml:space="preserve"> Art. 15 legge n. 71 del 2022 (c.d. Legge </w:t>
      </w:r>
      <w:proofErr w:type="spellStart"/>
      <w:r>
        <w:t>Cartabia</w:t>
      </w:r>
      <w:proofErr w:type="spellEnd"/>
      <w:r>
        <w:t xml:space="preserve">). Sono esclusi i magistrati in servizio da almeno 3 anni presso le giurisdizioni superiori o presso gli uffici giudiziari con competenza territoriale a carattere nazionale. Per gli altri magistrati in servizio da meno di 3 anni, si ha riguardo alla sede o all’ufficio giudiziario in cui hanno prestato servizio prima del trasferimento. Anche i magistrati fuori ruolo sono ineleggibili; in tal caso si ha riguardo alla sede o all’ufficio giudiziario in cui hanno prestato servizio prima del collocamento fuori. </w:t>
      </w:r>
    </w:p>
  </w:footnote>
  <w:footnote w:id="20">
    <w:p w:rsidR="007F6508" w:rsidRDefault="007F6508">
      <w:pPr>
        <w:pStyle w:val="Testonotaapidipagina"/>
      </w:pPr>
      <w:r>
        <w:rPr>
          <w:rStyle w:val="Rimandonotaapidipagina"/>
        </w:rPr>
        <w:footnoteRef/>
      </w:r>
      <w:r>
        <w:t xml:space="preserve"> Art. 15 legge n. 71 del 2022 (c.d. Legge </w:t>
      </w:r>
      <w:proofErr w:type="spellStart"/>
      <w:r>
        <w:t>Cartabia</w:t>
      </w:r>
      <w:proofErr w:type="spellEnd"/>
      <w:r>
        <w:t>)</w:t>
      </w:r>
    </w:p>
  </w:footnote>
  <w:footnote w:id="21">
    <w:p w:rsidR="00231909" w:rsidRDefault="00231909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231909">
        <w:t>rt. 8, comma 1</w:t>
      </w:r>
      <w:r>
        <w:t xml:space="preserve">, D.lgs. n. 545 del 1992, </w:t>
      </w:r>
      <w:r w:rsidRPr="00231909">
        <w:rPr>
          <w:i/>
        </w:rPr>
        <w:t>Ordinamento degli organi speciali di giurisdizione tributaria ed organizzazione degli uffici di collaborazione</w:t>
      </w:r>
    </w:p>
  </w:footnote>
  <w:footnote w:id="22">
    <w:p w:rsidR="00E8125E" w:rsidRDefault="00E8125E" w:rsidP="00E8125E">
      <w:pPr>
        <w:pStyle w:val="Testonotaapidipagina"/>
      </w:pPr>
      <w:r>
        <w:rPr>
          <w:rStyle w:val="Rimandonotaapidipagina"/>
        </w:rPr>
        <w:footnoteRef/>
      </w:r>
      <w:r>
        <w:t xml:space="preserve"> Art. 104, settimo comma, Costituzione e art. 33 legge n. 195 del 1958, </w:t>
      </w:r>
      <w:r w:rsidRPr="00347400">
        <w:rPr>
          <w:i/>
        </w:rPr>
        <w:t xml:space="preserve">Norme sulla costituzione e sul funzionamento del Consiglio superiore della magistratura </w:t>
      </w:r>
    </w:p>
  </w:footnote>
  <w:footnote w:id="23">
    <w:p w:rsidR="00592E88" w:rsidRDefault="00592E8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E8125E">
        <w:t xml:space="preserve">Art. 7 legge n. 186 del 1982, </w:t>
      </w:r>
      <w:r w:rsidR="00E8125E" w:rsidRPr="00E8125E">
        <w:rPr>
          <w:i/>
        </w:rPr>
        <w:t>Ordinamento della giurisdizione amministrativa e del personale di segreteria ed ausiliario del Consiglio di Stato e dei tribunali amministrativi regionali</w:t>
      </w:r>
    </w:p>
  </w:footnote>
  <w:footnote w:id="24">
    <w:p w:rsidR="00592E88" w:rsidRDefault="00592E8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A634E1">
        <w:t xml:space="preserve">Art. 12 legge n. 117 del 1988, </w:t>
      </w:r>
      <w:r w:rsidR="00A634E1" w:rsidRPr="00A634E1">
        <w:rPr>
          <w:i/>
        </w:rPr>
        <w:t>Risarcimento dei danni cagionati nell'esercizio delle funzioni giudiziarie e responsabilità civile dei magistrati</w:t>
      </w:r>
    </w:p>
  </w:footnote>
  <w:footnote w:id="25">
    <w:p w:rsidR="00592E88" w:rsidRDefault="00592E8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C6044F">
        <w:t>A</w:t>
      </w:r>
      <w:r w:rsidR="00C6044F" w:rsidRPr="00C6044F">
        <w:t xml:space="preserve">rt. 68 del </w:t>
      </w:r>
      <w:r w:rsidR="00451EE6" w:rsidRPr="00C6044F">
        <w:t>D.lgs.</w:t>
      </w:r>
      <w:r w:rsidR="00C6044F" w:rsidRPr="00C6044F">
        <w:t xml:space="preserve"> 66</w:t>
      </w:r>
      <w:r w:rsidR="00017B67">
        <w:t xml:space="preserve"> del </w:t>
      </w:r>
      <w:r w:rsidR="00C6044F" w:rsidRPr="00C6044F">
        <w:t>2010</w:t>
      </w:r>
      <w:r w:rsidR="00322401">
        <w:t xml:space="preserve">, </w:t>
      </w:r>
      <w:r w:rsidR="00322401" w:rsidRPr="00760B55">
        <w:rPr>
          <w:bCs/>
          <w:i/>
        </w:rPr>
        <w:t>Codice dell'ordinamento militare</w:t>
      </w:r>
    </w:p>
  </w:footnote>
  <w:footnote w:id="26">
    <w:p w:rsidR="00017B67" w:rsidRDefault="00017B67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017B67">
        <w:t>rt. 8</w:t>
      </w:r>
      <w:r>
        <w:t xml:space="preserve"> legge</w:t>
      </w:r>
      <w:r w:rsidRPr="00017B67">
        <w:t xml:space="preserve"> </w:t>
      </w:r>
      <w:r>
        <w:t xml:space="preserve">n. </w:t>
      </w:r>
      <w:r w:rsidRPr="00017B67">
        <w:t xml:space="preserve">936 </w:t>
      </w:r>
      <w:r>
        <w:t xml:space="preserve">del </w:t>
      </w:r>
      <w:r w:rsidRPr="00017B67">
        <w:t xml:space="preserve">1986, </w:t>
      </w:r>
      <w:r w:rsidRPr="00017B67">
        <w:rPr>
          <w:i/>
        </w:rPr>
        <w:t xml:space="preserve">Norme sul Consiglio nazionale dell'economia e del lavoro </w:t>
      </w:r>
    </w:p>
  </w:footnote>
  <w:footnote w:id="27">
    <w:p w:rsidR="006B7B2E" w:rsidRPr="00270E84" w:rsidRDefault="006B7B2E">
      <w:pPr>
        <w:pStyle w:val="Testonotaapidipagina"/>
        <w:rPr>
          <w:i/>
        </w:rPr>
      </w:pPr>
      <w:r>
        <w:rPr>
          <w:rStyle w:val="Rimandonotaapidipagina"/>
        </w:rPr>
        <w:footnoteRef/>
      </w:r>
      <w:r>
        <w:t xml:space="preserve"> A</w:t>
      </w:r>
      <w:r w:rsidRPr="00270E84">
        <w:t>rt. 8, comma 4-</w:t>
      </w:r>
      <w:r w:rsidRPr="00270E84">
        <w:rPr>
          <w:i/>
        </w:rPr>
        <w:t>bis</w:t>
      </w:r>
      <w:r w:rsidRPr="00270E84">
        <w:t xml:space="preserve">, </w:t>
      </w:r>
      <w:r>
        <w:t>legge n.</w:t>
      </w:r>
      <w:r w:rsidRPr="00270E84">
        <w:t xml:space="preserve"> 459</w:t>
      </w:r>
      <w:r>
        <w:t xml:space="preserve"> del </w:t>
      </w:r>
      <w:r w:rsidRPr="00270E84">
        <w:t>2001,</w:t>
      </w:r>
      <w:r w:rsidRPr="00270E84">
        <w:rPr>
          <w:rFonts w:ascii="Verdana" w:hAnsi="Verdana"/>
          <w:color w:val="686868"/>
          <w:szCs w:val="18"/>
          <w:shd w:val="clear" w:color="auto" w:fill="FFFFFF"/>
        </w:rPr>
        <w:t xml:space="preserve"> </w:t>
      </w:r>
      <w:r w:rsidRPr="00270E84">
        <w:rPr>
          <w:i/>
        </w:rPr>
        <w:t>Norme per l'esercizio del diritto di voto dei cittadini italiani residenti all'estero</w:t>
      </w:r>
    </w:p>
  </w:footnote>
  <w:footnote w:id="28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9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</w:t>
      </w:r>
    </w:p>
  </w:footnote>
  <w:footnote w:id="29">
    <w:p w:rsidR="006B7B2E" w:rsidRDefault="006B7B2E" w:rsidP="0000545A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70B98">
        <w:t>rt. 10, primo comma</w:t>
      </w:r>
      <w:r>
        <w:t xml:space="preserve"> </w:t>
      </w:r>
      <w:r w:rsidRPr="00970B98">
        <w:t>D.P.R</w:t>
      </w:r>
      <w:r>
        <w:t xml:space="preserve">. </w:t>
      </w:r>
      <w:r w:rsidRPr="00970B98">
        <w:t>n. 361</w:t>
      </w:r>
      <w:r>
        <w:t xml:space="preserve"> del </w:t>
      </w:r>
      <w:r w:rsidRPr="00970B98">
        <w:t>1957</w:t>
      </w:r>
      <w:r>
        <w:t xml:space="preserve"> (T.U. elezioni Camera). L’</w:t>
      </w:r>
      <w:r w:rsidRPr="00970B98">
        <w:t xml:space="preserve">art. 10, </w:t>
      </w:r>
      <w:r>
        <w:t>secondo</w:t>
      </w:r>
      <w:r w:rsidRPr="00970B98">
        <w:t xml:space="preserve"> comma</w:t>
      </w:r>
      <w:r>
        <w:t xml:space="preserve">, esclude dalla ineleggibilità i dirigenti di cooperative e di consorzi di cooperative iscritte regolarmente nei registri di Prefettura </w:t>
      </w:r>
    </w:p>
  </w:footnote>
  <w:footnote w:id="30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090070">
        <w:t xml:space="preserve">Il Comitato per le incompatibilità, le ineleggibilità e le decadenze della Giunta delle elezioni della Camera, ha ritenuto che - nonostante l'assenza nella </w:t>
      </w:r>
      <w:r>
        <w:t>legge</w:t>
      </w:r>
      <w:r w:rsidRPr="00090070">
        <w:t xml:space="preserve"> n. 112 </w:t>
      </w:r>
      <w:r>
        <w:t xml:space="preserve">del 2004 </w:t>
      </w:r>
      <w:r w:rsidRPr="00090070">
        <w:t xml:space="preserve">di una norma </w:t>
      </w:r>
      <w:r w:rsidRPr="00090070">
        <w:rPr>
          <w:i/>
        </w:rPr>
        <w:t xml:space="preserve">ad hoc </w:t>
      </w:r>
      <w:r w:rsidRPr="00090070">
        <w:t xml:space="preserve">che sancisca l'incompatibilità, prevista invece dalla previgente normativa </w:t>
      </w:r>
      <w:r>
        <w:t>–</w:t>
      </w:r>
      <w:r w:rsidRPr="00090070">
        <w:t xml:space="preserve"> </w:t>
      </w:r>
      <w:r>
        <w:t>vi sia comunque una</w:t>
      </w:r>
      <w:r w:rsidRPr="00090070">
        <w:t xml:space="preserve"> situazione di incompatibilità con il mandato parlamentare alla luce di quanto prevede l'art. 2 della </w:t>
      </w:r>
      <w:r>
        <w:t>legge</w:t>
      </w:r>
      <w:r w:rsidRPr="00090070">
        <w:t xml:space="preserve"> n. 60</w:t>
      </w:r>
      <w:r>
        <w:t xml:space="preserve"> del 1953</w:t>
      </w:r>
      <w:r w:rsidRPr="00090070">
        <w:t>, trattandosi di norma che già in passato ha costituito il parametro alla stregua del quale la carica di consigliere di amministrazione della RAI è stata ritenuta senz'altro incompatibile con il mandato parlamentare</w:t>
      </w:r>
    </w:p>
  </w:footnote>
  <w:footnote w:id="31">
    <w:p w:rsidR="006B7B2E" w:rsidRPr="00CD72A9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Articoli 1, 1-</w:t>
      </w:r>
      <w:r>
        <w:rPr>
          <w:i/>
        </w:rPr>
        <w:t xml:space="preserve">bis, </w:t>
      </w:r>
      <w:r>
        <w:t xml:space="preserve">2, 3 della legge n. 60 del 1953, </w:t>
      </w:r>
      <w:r w:rsidRPr="00CD72A9">
        <w:rPr>
          <w:i/>
        </w:rPr>
        <w:t>Incompatibilità parlamentari</w:t>
      </w:r>
    </w:p>
  </w:footnote>
  <w:footnote w:id="32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Articoli, 11, 12, 13 e 14 del</w:t>
      </w:r>
      <w:r w:rsidRPr="000A1FE8">
        <w:t xml:space="preserve"> D.lgs. n. 39 del 2013</w:t>
      </w:r>
      <w:r>
        <w:t xml:space="preserve">, </w:t>
      </w:r>
      <w:r w:rsidRPr="00231909">
        <w:rPr>
          <w:i/>
        </w:rPr>
        <w:t xml:space="preserve">Disposizioni in materia di </w:t>
      </w:r>
      <w:proofErr w:type="spellStart"/>
      <w:r w:rsidRPr="00231909">
        <w:rPr>
          <w:i/>
        </w:rPr>
        <w:t>inconferibilità</w:t>
      </w:r>
      <w:proofErr w:type="spellEnd"/>
      <w:r w:rsidRPr="00231909">
        <w:rPr>
          <w:i/>
        </w:rPr>
        <w:t xml:space="preserve"> e incompatibilità di incarichi presso le pubbliche amministrazioni e presso gli enti privati in controllo pubblico</w:t>
      </w:r>
    </w:p>
  </w:footnote>
  <w:footnote w:id="33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6766A">
        <w:t>rt. 14, co</w:t>
      </w:r>
      <w:r>
        <w:t xml:space="preserve">mma </w:t>
      </w:r>
      <w:r w:rsidRPr="0096766A">
        <w:t>1, D.lgs. 39/2013</w:t>
      </w:r>
      <w:r>
        <w:t>,</w:t>
      </w:r>
      <w:r w:rsidRPr="00231909">
        <w:rPr>
          <w:rFonts w:ascii="Verdana" w:hAnsi="Verdana"/>
          <w:color w:val="686868"/>
          <w:szCs w:val="18"/>
          <w:shd w:val="clear" w:color="auto" w:fill="FFFFFF"/>
        </w:rPr>
        <w:t xml:space="preserve"> </w:t>
      </w:r>
      <w:r w:rsidRPr="00231909">
        <w:rPr>
          <w:i/>
        </w:rPr>
        <w:t xml:space="preserve">Disposizioni in materia di </w:t>
      </w:r>
      <w:proofErr w:type="spellStart"/>
      <w:r w:rsidRPr="00231909">
        <w:rPr>
          <w:i/>
        </w:rPr>
        <w:t>inconferibilità</w:t>
      </w:r>
      <w:proofErr w:type="spellEnd"/>
      <w:r w:rsidRPr="00231909">
        <w:rPr>
          <w:i/>
        </w:rPr>
        <w:t xml:space="preserve"> e incompatibilità di incarichi presso le pubbliche amministrazioni e presso gli enti privati in controllo pubblico</w:t>
      </w:r>
    </w:p>
  </w:footnote>
  <w:footnote w:id="34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526828">
        <w:t>rtt. 1, 5 e 7</w:t>
      </w:r>
      <w:r>
        <w:t xml:space="preserve"> legge n. 14 del 1978, </w:t>
      </w:r>
      <w:r w:rsidRPr="00526828">
        <w:rPr>
          <w:i/>
        </w:rPr>
        <w:t>Norme per il controllo parlamentare sulle nomine negli enti pubblici</w:t>
      </w:r>
    </w:p>
  </w:footnote>
  <w:footnote w:id="35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D5385E">
        <w:t>rt. 21, c</w:t>
      </w:r>
      <w:r>
        <w:t>omma</w:t>
      </w:r>
      <w:r w:rsidRPr="00D5385E">
        <w:t xml:space="preserve"> 11</w:t>
      </w:r>
      <w:r>
        <w:t>, legge</w:t>
      </w:r>
      <w:r w:rsidRPr="00D5385E">
        <w:t xml:space="preserve"> n. 124</w:t>
      </w:r>
      <w:r>
        <w:t xml:space="preserve"> del 2007</w:t>
      </w:r>
      <w:r w:rsidRPr="00D5385E">
        <w:t xml:space="preserve">, </w:t>
      </w:r>
      <w:r w:rsidRPr="00D5385E">
        <w:rPr>
          <w:i/>
        </w:rPr>
        <w:t>Sistema di informazione per la sicurezza della Repubblica e nuova disciplina del segreto</w:t>
      </w:r>
      <w:r w:rsidRPr="00D5385E">
        <w:t xml:space="preserve"> </w:t>
      </w:r>
    </w:p>
  </w:footnote>
  <w:footnote w:id="36">
    <w:p w:rsidR="006B7B2E" w:rsidRDefault="006B7B2E" w:rsidP="00A65DB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4636AA">
        <w:t>D.P.R. 27 dicembre 2013</w:t>
      </w:r>
      <w:r>
        <w:t xml:space="preserve">, </w:t>
      </w:r>
      <w:r w:rsidRPr="00713440">
        <w:rPr>
          <w:i/>
        </w:rPr>
        <w:t>Approvazione del nuovo statuto della Banca d'Italia</w:t>
      </w:r>
    </w:p>
  </w:footnote>
  <w:footnote w:id="37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A730A8">
        <w:t>rt. 1, comma 30</w:t>
      </w:r>
      <w:r>
        <w:t xml:space="preserve">, legge n. 287 del 1990, </w:t>
      </w:r>
      <w:r w:rsidRPr="00A730A8">
        <w:rPr>
          <w:i/>
        </w:rPr>
        <w:t>Norme per la tutela della concorrenza e del mercato</w:t>
      </w:r>
    </w:p>
  </w:footnote>
  <w:footnote w:id="38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AB154D">
        <w:t>rt. 2, co</w:t>
      </w:r>
      <w:r>
        <w:t>mma</w:t>
      </w:r>
      <w:r w:rsidRPr="00AB154D">
        <w:t xml:space="preserve"> 8</w:t>
      </w:r>
      <w:r>
        <w:t xml:space="preserve">, legge n. 481 del 1995, </w:t>
      </w:r>
      <w:r w:rsidRPr="003A50AD">
        <w:rPr>
          <w:i/>
        </w:rPr>
        <w:t>Norme per la concorrenza e la regolazione dei servizi di pubblica utilità. Istituzione delle Autorità di regolazione dei servizi di pubblica utilità</w:t>
      </w:r>
    </w:p>
  </w:footnote>
  <w:footnote w:id="39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1, comma 5, legge n. 249 del 1997, </w:t>
      </w:r>
      <w:r w:rsidRPr="000127BE">
        <w:rPr>
          <w:i/>
        </w:rPr>
        <w:t>Istituzione dell'Autorità per le garanzie nelle comunicazioni e norme sui sistemi delle telecomunicazioni e radiotelevisivo</w:t>
      </w:r>
    </w:p>
  </w:footnote>
  <w:footnote w:id="40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153, comma 4, legge n. 196 del 2003, </w:t>
      </w:r>
      <w:r w:rsidRPr="000127BE">
        <w:rPr>
          <w:i/>
        </w:rPr>
        <w:t>Codice in materia di protezione dei dati personali</w:t>
      </w:r>
    </w:p>
  </w:footnote>
  <w:footnote w:id="41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12, comma 2, legge n. 146 del 1990, </w:t>
      </w:r>
      <w:r w:rsidRPr="000127BE">
        <w:rPr>
          <w:i/>
        </w:rPr>
        <w:t>Norme sull'esercizio del diritto di sciopero nei servizi pubblici essenziali</w:t>
      </w:r>
      <w:r>
        <w:rPr>
          <w:rFonts w:ascii="Arial" w:hAnsi="Arial" w:cs="Arial"/>
          <w:i/>
          <w:sz w:val="20"/>
        </w:rPr>
        <w:t>. I</w:t>
      </w:r>
      <w:r w:rsidRPr="000127BE">
        <w:rPr>
          <w:i/>
        </w:rPr>
        <w:t>stituzione della Commissione di garanzia dell'attuazione della legge</w:t>
      </w:r>
    </w:p>
  </w:footnote>
  <w:footnote w:id="42">
    <w:p w:rsidR="006B7B2E" w:rsidRDefault="006B7B2E" w:rsidP="009B4C6B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B4C6B">
        <w:t>rt. 13, co</w:t>
      </w:r>
      <w:r>
        <w:t>mma</w:t>
      </w:r>
      <w:r w:rsidRPr="009B4C6B">
        <w:t xml:space="preserve"> 3</w:t>
      </w:r>
      <w:r>
        <w:t xml:space="preserve">, </w:t>
      </w:r>
      <w:r w:rsidRPr="009B4C6B">
        <w:t>D.lgs. n. 150</w:t>
      </w:r>
      <w:r>
        <w:t xml:space="preserve"> del 2009</w:t>
      </w:r>
      <w:r w:rsidRPr="009B4C6B">
        <w:t xml:space="preserve">, </w:t>
      </w:r>
      <w:r w:rsidRPr="009B4C6B">
        <w:rPr>
          <w:i/>
        </w:rPr>
        <w:t>Attuazione della legge 4 marzo 2009, n. 15, in materia di ottimizzazione della produttività del lavoro pubblico e di efficienza e trasparenza delle pubbliche amministrazioni</w:t>
      </w:r>
    </w:p>
  </w:footnote>
  <w:footnote w:id="43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7B0865">
        <w:t>rt. 37, co</w:t>
      </w:r>
      <w:r>
        <w:t>mma</w:t>
      </w:r>
      <w:r w:rsidRPr="007B0865">
        <w:t xml:space="preserve"> 1-</w:t>
      </w:r>
      <w:r w:rsidRPr="007B0865">
        <w:rPr>
          <w:i/>
        </w:rPr>
        <w:t>ter</w:t>
      </w:r>
      <w:r>
        <w:t xml:space="preserve">, </w:t>
      </w:r>
      <w:r w:rsidRPr="007B0865">
        <w:t xml:space="preserve">D.L. n. 201 </w:t>
      </w:r>
      <w:r>
        <w:t>del 2011</w:t>
      </w:r>
      <w:r w:rsidRPr="007B0865">
        <w:t xml:space="preserve">, </w:t>
      </w:r>
      <w:r w:rsidRPr="007B0865">
        <w:rPr>
          <w:i/>
        </w:rPr>
        <w:t xml:space="preserve">Disposizioni urgenti per la crescita, l'equità e il consolidamento dei conti pubblici </w:t>
      </w:r>
    </w:p>
  </w:footnote>
  <w:footnote w:id="44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2, comma 3, legge </w:t>
      </w:r>
      <w:r w:rsidRPr="009B4C6B">
        <w:t>n. 112</w:t>
      </w:r>
      <w:r>
        <w:t xml:space="preserve"> del </w:t>
      </w:r>
      <w:r w:rsidRPr="009B4C6B">
        <w:t xml:space="preserve">2011, </w:t>
      </w:r>
      <w:r w:rsidRPr="009B4C6B">
        <w:rPr>
          <w:i/>
        </w:rPr>
        <w:t>Istituzione dell’Autorità garante per l’infanzia e l’adolescenza</w:t>
      </w:r>
    </w:p>
  </w:footnote>
  <w:footnote w:id="45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9B4C6B">
        <w:t>rt. 7, co</w:t>
      </w:r>
      <w:r>
        <w:t>mma</w:t>
      </w:r>
      <w:r w:rsidRPr="009B4C6B">
        <w:t xml:space="preserve"> 3</w:t>
      </w:r>
      <w:r>
        <w:t xml:space="preserve">, </w:t>
      </w:r>
      <w:r w:rsidRPr="009B4C6B">
        <w:t>D.L. n. 146</w:t>
      </w:r>
      <w:r>
        <w:t xml:space="preserve"> del </w:t>
      </w:r>
      <w:r w:rsidRPr="009B4C6B">
        <w:t xml:space="preserve">2013, </w:t>
      </w:r>
      <w:r w:rsidRPr="009B4C6B">
        <w:rPr>
          <w:i/>
        </w:rPr>
        <w:t xml:space="preserve">Misure urgenti in tema di tutela dei diritti fondamentali dei detenuti e di riduzione controllata della popolazione carceraria </w:t>
      </w:r>
    </w:p>
  </w:footnote>
  <w:footnote w:id="46">
    <w:p w:rsidR="00384F5D" w:rsidRDefault="00384F5D" w:rsidP="00384F5D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4636AA">
        <w:t>rt. 1, quinto comma</w:t>
      </w:r>
      <w:r>
        <w:t xml:space="preserve">, D.L. 95/1974, </w:t>
      </w:r>
      <w:r w:rsidRPr="004636AA">
        <w:rPr>
          <w:i/>
        </w:rPr>
        <w:t>Disposizioni relative al mercato mobiliare ed al trattamento fiscale dei titoli azionari</w:t>
      </w:r>
    </w:p>
  </w:footnote>
  <w:footnote w:id="47">
    <w:p w:rsidR="00384F5D" w:rsidRDefault="00384F5D" w:rsidP="00384F5D">
      <w:pPr>
        <w:pStyle w:val="Testonotaapidipagina"/>
      </w:pPr>
      <w:r>
        <w:rPr>
          <w:rStyle w:val="Rimandonotaapidipagina"/>
        </w:rPr>
        <w:footnoteRef/>
      </w:r>
      <w:r>
        <w:t xml:space="preserve"> Art. 16, comma 3, legge n. 243 del 2012, </w:t>
      </w:r>
      <w:r w:rsidRPr="00A65DBB">
        <w:rPr>
          <w:i/>
        </w:rPr>
        <w:t>Disposizioni per l’attuazione del principio del pareggio di bilancio ai sensi dell’articolo 81, sesto comma, della Costituzione</w:t>
      </w:r>
    </w:p>
  </w:footnote>
  <w:footnote w:id="48">
    <w:p w:rsidR="00384F5D" w:rsidRPr="00F07280" w:rsidRDefault="00384F5D" w:rsidP="00384F5D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F07280">
        <w:t>rt. 46, comma 7-</w:t>
      </w:r>
      <w:r w:rsidRPr="00F07280">
        <w:rPr>
          <w:i/>
        </w:rPr>
        <w:t>bis</w:t>
      </w:r>
      <w:r>
        <w:t>, D.lgs. n. 165 del 2001 (c.d. T.U. pubblico impiego)</w:t>
      </w:r>
    </w:p>
  </w:footnote>
  <w:footnote w:id="49">
    <w:p w:rsidR="006B7B2E" w:rsidRDefault="006B7B2E" w:rsidP="000A1D4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t>A</w:t>
      </w:r>
      <w:r w:rsidRPr="000A1D45">
        <w:t>rtt</w:t>
      </w:r>
      <w:proofErr w:type="spellEnd"/>
      <w:r w:rsidRPr="000A1D45">
        <w:t xml:space="preserve"> 13, 22, 34 e 118</w:t>
      </w:r>
      <w:r>
        <w:t xml:space="preserve"> </w:t>
      </w:r>
      <w:r w:rsidRPr="000A1D45">
        <w:t>D.P.R.</w:t>
      </w:r>
      <w:r>
        <w:t xml:space="preserve"> </w:t>
      </w:r>
      <w:r w:rsidRPr="000A1D45">
        <w:t>382</w:t>
      </w:r>
      <w:r>
        <w:t xml:space="preserve">/1980, </w:t>
      </w:r>
      <w:r w:rsidRPr="000A1D45">
        <w:rPr>
          <w:i/>
        </w:rPr>
        <w:t>Riordinamento della docenza universitari</w:t>
      </w:r>
      <w:r>
        <w:rPr>
          <w:i/>
        </w:rPr>
        <w:t>a</w:t>
      </w:r>
    </w:p>
  </w:footnote>
  <w:footnote w:id="50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2 legge</w:t>
      </w:r>
      <w:r w:rsidRPr="008975FD">
        <w:t xml:space="preserve"> n. 175</w:t>
      </w:r>
      <w:r>
        <w:t xml:space="preserve"> del 2010</w:t>
      </w:r>
      <w:r w:rsidRPr="008975FD">
        <w:t xml:space="preserve">, </w:t>
      </w:r>
      <w:r w:rsidRPr="008975FD">
        <w:rPr>
          <w:i/>
        </w:rPr>
        <w:t>Disposizioni concernenti il divieto di svolgimento di propaganda elettorale per le persone sottoposte a misure di prevenzione</w:t>
      </w:r>
      <w:r w:rsidRPr="008975FD">
        <w:t xml:space="preserve"> </w:t>
      </w:r>
    </w:p>
  </w:footnote>
  <w:footnote w:id="51">
    <w:p w:rsidR="006B7B2E" w:rsidRDefault="006B7B2E">
      <w:pPr>
        <w:pStyle w:val="Testonotaapidipagina"/>
      </w:pPr>
      <w:r>
        <w:rPr>
          <w:rStyle w:val="Rimandonotaapidipagina"/>
        </w:rPr>
        <w:footnoteRef/>
      </w:r>
      <w:r>
        <w:t xml:space="preserve"> Art. 13 </w:t>
      </w:r>
      <w:r w:rsidRPr="008975FD">
        <w:t>D.lgs. 235</w:t>
      </w:r>
      <w:r>
        <w:t>/2012 (c.d. Legge Severino)</w:t>
      </w:r>
    </w:p>
  </w:footnote>
  <w:footnote w:id="52">
    <w:p w:rsidR="006B7B2E" w:rsidRDefault="006B7B2E" w:rsidP="00360B7E">
      <w:pPr>
        <w:pStyle w:val="Testonotaapidipagina"/>
      </w:pPr>
      <w:r>
        <w:rPr>
          <w:rStyle w:val="Rimandonotaapidipagina"/>
        </w:rPr>
        <w:footnoteRef/>
      </w:r>
      <w:r>
        <w:t xml:space="preserve"> A</w:t>
      </w:r>
      <w:r w:rsidRPr="00360B7E">
        <w:t>rt. 15, comma 3</w:t>
      </w:r>
      <w:r>
        <w:t xml:space="preserve">, </w:t>
      </w:r>
      <w:r w:rsidRPr="008975FD">
        <w:t>D.lgs. 235</w:t>
      </w:r>
      <w:r>
        <w:t>/2012 (c.d. Legge Severino)</w:t>
      </w:r>
    </w:p>
    <w:p w:rsidR="006B7B2E" w:rsidRPr="00360B7E" w:rsidRDefault="006B7B2E" w:rsidP="00360B7E">
      <w:pPr>
        <w:pStyle w:val="Testonotaapidipagina"/>
        <w:ind w:left="0" w:firstLine="0"/>
      </w:pPr>
    </w:p>
    <w:p w:rsidR="006B7B2E" w:rsidRDefault="006B7B2E" w:rsidP="00360B7E">
      <w:pPr>
        <w:pStyle w:val="Testonotaapidipagina"/>
        <w:ind w:left="0"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2887BA4"/>
    <w:multiLevelType w:val="singleLevel"/>
    <w:tmpl w:val="807ED580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5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C3110A0"/>
    <w:multiLevelType w:val="hybridMultilevel"/>
    <w:tmpl w:val="1A1289BE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9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0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21" w15:restartNumberingAfterBreak="0">
    <w:nsid w:val="43D33DDB"/>
    <w:multiLevelType w:val="hybridMultilevel"/>
    <w:tmpl w:val="6C7A065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3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4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7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9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32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6"/>
  </w:num>
  <w:num w:numId="5">
    <w:abstractNumId w:val="31"/>
  </w:num>
  <w:num w:numId="6">
    <w:abstractNumId w:val="18"/>
  </w:num>
  <w:num w:numId="7">
    <w:abstractNumId w:val="28"/>
  </w:num>
  <w:num w:numId="8">
    <w:abstractNumId w:val="12"/>
  </w:num>
  <w:num w:numId="9">
    <w:abstractNumId w:val="3"/>
  </w:num>
  <w:num w:numId="10">
    <w:abstractNumId w:val="32"/>
  </w:num>
  <w:num w:numId="11">
    <w:abstractNumId w:val="10"/>
  </w:num>
  <w:num w:numId="12">
    <w:abstractNumId w:val="23"/>
  </w:num>
  <w:num w:numId="13">
    <w:abstractNumId w:val="16"/>
  </w:num>
  <w:num w:numId="14">
    <w:abstractNumId w:val="29"/>
  </w:num>
  <w:num w:numId="15">
    <w:abstractNumId w:val="19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32"/>
  </w:num>
  <w:num w:numId="27">
    <w:abstractNumId w:val="10"/>
  </w:num>
  <w:num w:numId="28">
    <w:abstractNumId w:val="22"/>
  </w:num>
  <w:num w:numId="29">
    <w:abstractNumId w:val="20"/>
  </w:num>
  <w:num w:numId="30">
    <w:abstractNumId w:val="15"/>
  </w:num>
  <w:num w:numId="31">
    <w:abstractNumId w:val="27"/>
  </w:num>
  <w:num w:numId="32">
    <w:abstractNumId w:val="27"/>
  </w:num>
  <w:num w:numId="33">
    <w:abstractNumId w:val="27"/>
  </w:num>
  <w:num w:numId="34">
    <w:abstractNumId w:val="24"/>
  </w:num>
  <w:num w:numId="35">
    <w:abstractNumId w:val="24"/>
  </w:num>
  <w:num w:numId="36">
    <w:abstractNumId w:val="24"/>
  </w:num>
  <w:num w:numId="37">
    <w:abstractNumId w:val="30"/>
  </w:num>
  <w:num w:numId="38">
    <w:abstractNumId w:val="3"/>
  </w:num>
  <w:num w:numId="39">
    <w:abstractNumId w:val="32"/>
  </w:num>
  <w:num w:numId="40">
    <w:abstractNumId w:val="10"/>
  </w:num>
  <w:num w:numId="41">
    <w:abstractNumId w:val="28"/>
  </w:num>
  <w:num w:numId="42">
    <w:abstractNumId w:val="12"/>
  </w:num>
  <w:num w:numId="43">
    <w:abstractNumId w:val="3"/>
  </w:num>
  <w:num w:numId="44">
    <w:abstractNumId w:val="32"/>
  </w:num>
  <w:num w:numId="45">
    <w:abstractNumId w:val="10"/>
  </w:num>
  <w:num w:numId="46">
    <w:abstractNumId w:val="24"/>
  </w:num>
  <w:num w:numId="47">
    <w:abstractNumId w:val="14"/>
  </w:num>
  <w:num w:numId="48">
    <w:abstractNumId w:val="17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TrueTypeFonts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F46"/>
    <w:rsid w:val="000000F8"/>
    <w:rsid w:val="00004AE1"/>
    <w:rsid w:val="0000545A"/>
    <w:rsid w:val="000066A3"/>
    <w:rsid w:val="000075EE"/>
    <w:rsid w:val="00010A75"/>
    <w:rsid w:val="000127BE"/>
    <w:rsid w:val="00012DEA"/>
    <w:rsid w:val="00013D20"/>
    <w:rsid w:val="000140E6"/>
    <w:rsid w:val="000171E4"/>
    <w:rsid w:val="00017B67"/>
    <w:rsid w:val="00020112"/>
    <w:rsid w:val="000219C6"/>
    <w:rsid w:val="00021C51"/>
    <w:rsid w:val="0002258A"/>
    <w:rsid w:val="00024AA7"/>
    <w:rsid w:val="000263CE"/>
    <w:rsid w:val="00027E0E"/>
    <w:rsid w:val="00031017"/>
    <w:rsid w:val="00031506"/>
    <w:rsid w:val="000340C6"/>
    <w:rsid w:val="00034E07"/>
    <w:rsid w:val="000371E6"/>
    <w:rsid w:val="00037F78"/>
    <w:rsid w:val="000404A4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5C67"/>
    <w:rsid w:val="0005697D"/>
    <w:rsid w:val="00057312"/>
    <w:rsid w:val="00060A8E"/>
    <w:rsid w:val="000614CF"/>
    <w:rsid w:val="0006185F"/>
    <w:rsid w:val="00064B00"/>
    <w:rsid w:val="000652EC"/>
    <w:rsid w:val="000660F7"/>
    <w:rsid w:val="000669B5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0070"/>
    <w:rsid w:val="00093030"/>
    <w:rsid w:val="000930BE"/>
    <w:rsid w:val="0009365F"/>
    <w:rsid w:val="0009559C"/>
    <w:rsid w:val="000A00A9"/>
    <w:rsid w:val="000A1D45"/>
    <w:rsid w:val="000A1FE8"/>
    <w:rsid w:val="000A5178"/>
    <w:rsid w:val="000A5D3C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4706"/>
    <w:rsid w:val="000F5917"/>
    <w:rsid w:val="000F594E"/>
    <w:rsid w:val="000F673E"/>
    <w:rsid w:val="000F7B73"/>
    <w:rsid w:val="000F7C8A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8C5"/>
    <w:rsid w:val="00135B48"/>
    <w:rsid w:val="00143D00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430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20F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5CBA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909"/>
    <w:rsid w:val="00231F4A"/>
    <w:rsid w:val="00234221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0E84"/>
    <w:rsid w:val="002713B4"/>
    <w:rsid w:val="00271803"/>
    <w:rsid w:val="00271ACC"/>
    <w:rsid w:val="00271C48"/>
    <w:rsid w:val="0027379B"/>
    <w:rsid w:val="002779B6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2B10"/>
    <w:rsid w:val="002A629A"/>
    <w:rsid w:val="002B630A"/>
    <w:rsid w:val="002B72A7"/>
    <w:rsid w:val="002B79C8"/>
    <w:rsid w:val="002C2764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01"/>
    <w:rsid w:val="003224C8"/>
    <w:rsid w:val="0032277A"/>
    <w:rsid w:val="003230BC"/>
    <w:rsid w:val="003231E6"/>
    <w:rsid w:val="00323F8B"/>
    <w:rsid w:val="00324067"/>
    <w:rsid w:val="003241ED"/>
    <w:rsid w:val="00324291"/>
    <w:rsid w:val="00324E1B"/>
    <w:rsid w:val="00333DAE"/>
    <w:rsid w:val="003342CC"/>
    <w:rsid w:val="0033747B"/>
    <w:rsid w:val="0033793A"/>
    <w:rsid w:val="00346E49"/>
    <w:rsid w:val="00347400"/>
    <w:rsid w:val="00350776"/>
    <w:rsid w:val="003561C6"/>
    <w:rsid w:val="003608A4"/>
    <w:rsid w:val="00360B7E"/>
    <w:rsid w:val="00362F9C"/>
    <w:rsid w:val="00363B63"/>
    <w:rsid w:val="00366EDD"/>
    <w:rsid w:val="003670FD"/>
    <w:rsid w:val="0036787E"/>
    <w:rsid w:val="003708FA"/>
    <w:rsid w:val="003735D8"/>
    <w:rsid w:val="00376B01"/>
    <w:rsid w:val="003812AD"/>
    <w:rsid w:val="00384F5D"/>
    <w:rsid w:val="0039208F"/>
    <w:rsid w:val="003979DA"/>
    <w:rsid w:val="003A50AD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6519"/>
    <w:rsid w:val="003F7B56"/>
    <w:rsid w:val="0040118F"/>
    <w:rsid w:val="00404550"/>
    <w:rsid w:val="00405BE5"/>
    <w:rsid w:val="004120B3"/>
    <w:rsid w:val="004131CE"/>
    <w:rsid w:val="00414885"/>
    <w:rsid w:val="004205BB"/>
    <w:rsid w:val="0042173F"/>
    <w:rsid w:val="004220EF"/>
    <w:rsid w:val="00424149"/>
    <w:rsid w:val="0042565C"/>
    <w:rsid w:val="0042599D"/>
    <w:rsid w:val="00426FBC"/>
    <w:rsid w:val="004337E2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1EE6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6AA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7B8"/>
    <w:rsid w:val="00485B41"/>
    <w:rsid w:val="004914ED"/>
    <w:rsid w:val="00491D9E"/>
    <w:rsid w:val="004921EB"/>
    <w:rsid w:val="0049313D"/>
    <w:rsid w:val="00494EB8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0B4"/>
    <w:rsid w:val="004E6E92"/>
    <w:rsid w:val="004F2763"/>
    <w:rsid w:val="004F5F1B"/>
    <w:rsid w:val="005009AA"/>
    <w:rsid w:val="005043EB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828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1A1A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2E88"/>
    <w:rsid w:val="0059559A"/>
    <w:rsid w:val="00595AA5"/>
    <w:rsid w:val="00596603"/>
    <w:rsid w:val="00596696"/>
    <w:rsid w:val="00596DA4"/>
    <w:rsid w:val="00597FF3"/>
    <w:rsid w:val="005A1507"/>
    <w:rsid w:val="005A38B7"/>
    <w:rsid w:val="005A53EE"/>
    <w:rsid w:val="005A5EA1"/>
    <w:rsid w:val="005A7F3A"/>
    <w:rsid w:val="005B0742"/>
    <w:rsid w:val="005B0838"/>
    <w:rsid w:val="005B5918"/>
    <w:rsid w:val="005B6F13"/>
    <w:rsid w:val="005C2175"/>
    <w:rsid w:val="005C2312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694"/>
    <w:rsid w:val="005F1830"/>
    <w:rsid w:val="005F1FC2"/>
    <w:rsid w:val="005F3333"/>
    <w:rsid w:val="005F3A44"/>
    <w:rsid w:val="005F7233"/>
    <w:rsid w:val="00601735"/>
    <w:rsid w:val="0060532F"/>
    <w:rsid w:val="006064F0"/>
    <w:rsid w:val="00612919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A74BD"/>
    <w:rsid w:val="006B131F"/>
    <w:rsid w:val="006B37A3"/>
    <w:rsid w:val="006B530F"/>
    <w:rsid w:val="006B5A37"/>
    <w:rsid w:val="006B7B2E"/>
    <w:rsid w:val="006D0872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3440"/>
    <w:rsid w:val="00715A82"/>
    <w:rsid w:val="007171F9"/>
    <w:rsid w:val="00722814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0B55"/>
    <w:rsid w:val="00760C94"/>
    <w:rsid w:val="00761B40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344D"/>
    <w:rsid w:val="0078617A"/>
    <w:rsid w:val="007872E6"/>
    <w:rsid w:val="007926C5"/>
    <w:rsid w:val="0079446D"/>
    <w:rsid w:val="0079496A"/>
    <w:rsid w:val="007A5BC3"/>
    <w:rsid w:val="007A5D0C"/>
    <w:rsid w:val="007A720A"/>
    <w:rsid w:val="007A7B19"/>
    <w:rsid w:val="007B0314"/>
    <w:rsid w:val="007B0865"/>
    <w:rsid w:val="007B4B00"/>
    <w:rsid w:val="007B5605"/>
    <w:rsid w:val="007B7A23"/>
    <w:rsid w:val="007C0608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CEA"/>
    <w:rsid w:val="007D6FBB"/>
    <w:rsid w:val="007D70F0"/>
    <w:rsid w:val="007E18AE"/>
    <w:rsid w:val="007E40CA"/>
    <w:rsid w:val="007E6551"/>
    <w:rsid w:val="007F4AE3"/>
    <w:rsid w:val="007F6508"/>
    <w:rsid w:val="007F6BFB"/>
    <w:rsid w:val="0080005E"/>
    <w:rsid w:val="0080083E"/>
    <w:rsid w:val="00802B9C"/>
    <w:rsid w:val="00807AA4"/>
    <w:rsid w:val="0081145C"/>
    <w:rsid w:val="00815181"/>
    <w:rsid w:val="0081703D"/>
    <w:rsid w:val="0081732C"/>
    <w:rsid w:val="00821271"/>
    <w:rsid w:val="00821FA6"/>
    <w:rsid w:val="00822521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87F72"/>
    <w:rsid w:val="008913FA"/>
    <w:rsid w:val="00891871"/>
    <w:rsid w:val="00891E69"/>
    <w:rsid w:val="008929EB"/>
    <w:rsid w:val="00892F09"/>
    <w:rsid w:val="008936CA"/>
    <w:rsid w:val="00893821"/>
    <w:rsid w:val="0089384F"/>
    <w:rsid w:val="008975FD"/>
    <w:rsid w:val="00897E73"/>
    <w:rsid w:val="008A181C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31B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C706E"/>
    <w:rsid w:val="008D15A5"/>
    <w:rsid w:val="008D329A"/>
    <w:rsid w:val="008D4F47"/>
    <w:rsid w:val="008E28BC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08C0"/>
    <w:rsid w:val="00962046"/>
    <w:rsid w:val="0096224C"/>
    <w:rsid w:val="00962275"/>
    <w:rsid w:val="0096766A"/>
    <w:rsid w:val="00970B98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0F75"/>
    <w:rsid w:val="009A1FEC"/>
    <w:rsid w:val="009A25FA"/>
    <w:rsid w:val="009A3D24"/>
    <w:rsid w:val="009A4C15"/>
    <w:rsid w:val="009A5711"/>
    <w:rsid w:val="009A7E27"/>
    <w:rsid w:val="009B0E89"/>
    <w:rsid w:val="009B18DC"/>
    <w:rsid w:val="009B2C3A"/>
    <w:rsid w:val="009B4C6B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29DE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1A06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34E1"/>
    <w:rsid w:val="00A65DBB"/>
    <w:rsid w:val="00A67A55"/>
    <w:rsid w:val="00A7150E"/>
    <w:rsid w:val="00A730A8"/>
    <w:rsid w:val="00A76658"/>
    <w:rsid w:val="00A76FBC"/>
    <w:rsid w:val="00A770AD"/>
    <w:rsid w:val="00A77BEA"/>
    <w:rsid w:val="00A80432"/>
    <w:rsid w:val="00A845AA"/>
    <w:rsid w:val="00A84A37"/>
    <w:rsid w:val="00A85602"/>
    <w:rsid w:val="00A858ED"/>
    <w:rsid w:val="00A85CCB"/>
    <w:rsid w:val="00A86C2C"/>
    <w:rsid w:val="00A86FA7"/>
    <w:rsid w:val="00A870E6"/>
    <w:rsid w:val="00A968FA"/>
    <w:rsid w:val="00AA0315"/>
    <w:rsid w:val="00AA07CF"/>
    <w:rsid w:val="00AA2C2E"/>
    <w:rsid w:val="00AA4D83"/>
    <w:rsid w:val="00AA6935"/>
    <w:rsid w:val="00AB039D"/>
    <w:rsid w:val="00AB0769"/>
    <w:rsid w:val="00AB1076"/>
    <w:rsid w:val="00AB154D"/>
    <w:rsid w:val="00AC408B"/>
    <w:rsid w:val="00AC4D32"/>
    <w:rsid w:val="00AC4FC4"/>
    <w:rsid w:val="00AC71A3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64D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D2"/>
    <w:rsid w:val="00B244E8"/>
    <w:rsid w:val="00B24908"/>
    <w:rsid w:val="00B24FA2"/>
    <w:rsid w:val="00B262AC"/>
    <w:rsid w:val="00B26CC0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722"/>
    <w:rsid w:val="00B52FDD"/>
    <w:rsid w:val="00B559EC"/>
    <w:rsid w:val="00B55F46"/>
    <w:rsid w:val="00B56AA6"/>
    <w:rsid w:val="00B619AB"/>
    <w:rsid w:val="00B63542"/>
    <w:rsid w:val="00B635D2"/>
    <w:rsid w:val="00B636A2"/>
    <w:rsid w:val="00B645F3"/>
    <w:rsid w:val="00B65096"/>
    <w:rsid w:val="00B65356"/>
    <w:rsid w:val="00B66BB4"/>
    <w:rsid w:val="00B6719F"/>
    <w:rsid w:val="00B723AA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19CF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044F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4C37"/>
    <w:rsid w:val="00CC6684"/>
    <w:rsid w:val="00CD149C"/>
    <w:rsid w:val="00CD1EDE"/>
    <w:rsid w:val="00CD41EF"/>
    <w:rsid w:val="00CD4529"/>
    <w:rsid w:val="00CD72A9"/>
    <w:rsid w:val="00CD7DA2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59FC"/>
    <w:rsid w:val="00D07223"/>
    <w:rsid w:val="00D07C32"/>
    <w:rsid w:val="00D113E6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385E"/>
    <w:rsid w:val="00D54944"/>
    <w:rsid w:val="00D6077B"/>
    <w:rsid w:val="00D61A4D"/>
    <w:rsid w:val="00D64FA8"/>
    <w:rsid w:val="00D6710D"/>
    <w:rsid w:val="00D675E6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A79CB"/>
    <w:rsid w:val="00DB3DD4"/>
    <w:rsid w:val="00DB443E"/>
    <w:rsid w:val="00DB7341"/>
    <w:rsid w:val="00DC2E41"/>
    <w:rsid w:val="00DC3D08"/>
    <w:rsid w:val="00DC3D70"/>
    <w:rsid w:val="00DC4AFE"/>
    <w:rsid w:val="00DC583D"/>
    <w:rsid w:val="00DC61AA"/>
    <w:rsid w:val="00DC6C66"/>
    <w:rsid w:val="00DC73E0"/>
    <w:rsid w:val="00DD1BD8"/>
    <w:rsid w:val="00DD437A"/>
    <w:rsid w:val="00DD4FC5"/>
    <w:rsid w:val="00DD4FEC"/>
    <w:rsid w:val="00DD6464"/>
    <w:rsid w:val="00DD6DA0"/>
    <w:rsid w:val="00DD6FB6"/>
    <w:rsid w:val="00DD7294"/>
    <w:rsid w:val="00DE077D"/>
    <w:rsid w:val="00DE23FF"/>
    <w:rsid w:val="00DE3AB5"/>
    <w:rsid w:val="00DE588C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1E10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21C"/>
    <w:rsid w:val="00E354E4"/>
    <w:rsid w:val="00E35ACC"/>
    <w:rsid w:val="00E35AF7"/>
    <w:rsid w:val="00E43B49"/>
    <w:rsid w:val="00E44B0E"/>
    <w:rsid w:val="00E475B7"/>
    <w:rsid w:val="00E50BA6"/>
    <w:rsid w:val="00E5188E"/>
    <w:rsid w:val="00E527C1"/>
    <w:rsid w:val="00E52D9F"/>
    <w:rsid w:val="00E53298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25E"/>
    <w:rsid w:val="00E81BAB"/>
    <w:rsid w:val="00E851C8"/>
    <w:rsid w:val="00E852EC"/>
    <w:rsid w:val="00E86D0A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009"/>
    <w:rsid w:val="00EA75A9"/>
    <w:rsid w:val="00EA7EDC"/>
    <w:rsid w:val="00EB28D0"/>
    <w:rsid w:val="00EB389B"/>
    <w:rsid w:val="00EB428F"/>
    <w:rsid w:val="00EB5A84"/>
    <w:rsid w:val="00EB6E66"/>
    <w:rsid w:val="00EB7127"/>
    <w:rsid w:val="00EC2A7D"/>
    <w:rsid w:val="00EC56AF"/>
    <w:rsid w:val="00EC65F4"/>
    <w:rsid w:val="00ED1C22"/>
    <w:rsid w:val="00ED27B1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280"/>
    <w:rsid w:val="00F0769C"/>
    <w:rsid w:val="00F076B7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33B2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4B6D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0C7E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0747"/>
    <w:rsid w:val="00FE0D56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2697A237"/>
  <w15:chartTrackingRefBased/>
  <w15:docId w15:val="{203EDA0D-E3D5-46FC-87D9-C78930F9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55F46"/>
    <w:pPr>
      <w:ind w:firstLine="851"/>
      <w:jc w:val="both"/>
    </w:pPr>
    <w:rPr>
      <w:sz w:val="24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ind w:firstLine="0"/>
      <w:jc w:val="left"/>
    </w:pPr>
    <w:rPr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link w:val="PidipaginaCarattere"/>
    <w:uiPriority w:val="99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link w:val="TestonotaapidipaginaCarattere"/>
    <w:rsid w:val="003608A4"/>
    <w:pPr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/>
    </w:pPr>
    <w:rPr>
      <w:sz w:val="20"/>
    </w:rPr>
  </w:style>
  <w:style w:type="paragraph" w:customStyle="1" w:styleId="legge-note">
    <w:name w:val="legge-note"/>
    <w:basedOn w:val="Normale"/>
    <w:rsid w:val="003608A4"/>
    <w:pPr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/>
      <w:ind w:firstLine="0"/>
      <w:jc w:val="center"/>
    </w:pPr>
    <w:rPr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/>
      <w:ind w:firstLine="0"/>
      <w:jc w:val="center"/>
    </w:pPr>
    <w:rPr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/>
      <w:ind w:firstLine="0"/>
      <w:jc w:val="center"/>
    </w:pPr>
    <w:rPr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/>
      <w:ind w:firstLine="0"/>
      <w:jc w:val="left"/>
    </w:pPr>
    <w:rPr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/>
      <w:ind w:firstLine="0"/>
      <w:jc w:val="center"/>
    </w:pPr>
    <w:rPr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/>
      <w:ind w:firstLine="0"/>
      <w:jc w:val="center"/>
    </w:pPr>
    <w:rPr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/>
      <w:ind w:firstLine="0"/>
      <w:jc w:val="left"/>
    </w:pPr>
    <w:rPr>
      <w:i/>
    </w:rPr>
  </w:style>
  <w:style w:type="paragraph" w:customStyle="1" w:styleId="AC-N">
    <w:name w:val="AC-N..."/>
    <w:basedOn w:val="Normale"/>
    <w:rsid w:val="003608A4"/>
    <w:pPr>
      <w:spacing w:before="240"/>
      <w:ind w:firstLine="0"/>
      <w:jc w:val="right"/>
    </w:pPr>
    <w:rPr>
      <w:rFonts w:ascii="Book Antiqua" w:hAnsi="Book Antiqua"/>
      <w:b/>
      <w:spacing w:val="20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ind w:firstLine="0"/>
      <w:jc w:val="center"/>
    </w:pPr>
    <w:rPr>
      <w:rFonts w:ascii="Book Antiqua" w:hAnsi="Book Antiqua"/>
      <w:spacing w:val="20"/>
    </w:rPr>
  </w:style>
  <w:style w:type="paragraph" w:customStyle="1" w:styleId="ASpresentatoda">
    <w:name w:val="AS_presentato da.."/>
    <w:basedOn w:val="Normale"/>
    <w:rsid w:val="003608A4"/>
    <w:pPr>
      <w:spacing w:before="480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/>
      <w:ind w:firstLine="0"/>
      <w:jc w:val="left"/>
    </w:pPr>
    <w:rPr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/>
      <w:ind w:firstLine="0"/>
      <w:jc w:val="center"/>
    </w:pPr>
    <w:rPr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/>
      <w:ind w:firstLine="0"/>
      <w:jc w:val="center"/>
    </w:pPr>
    <w:rPr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/>
      <w:ind w:firstLine="0"/>
      <w:jc w:val="center"/>
    </w:pPr>
    <w:rPr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/>
      <w:ind w:firstLine="0"/>
      <w:jc w:val="center"/>
    </w:pPr>
    <w:rPr>
      <w:b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ind w:firstLine="0"/>
      <w:jc w:val="left"/>
    </w:pPr>
    <w:rPr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ind w:firstLine="0"/>
      <w:jc w:val="left"/>
    </w:pPr>
    <w:rPr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</w:rPr>
  </w:style>
  <w:style w:type="paragraph" w:customStyle="1" w:styleId="AC-Normale">
    <w:name w:val="AC-Normale"/>
    <w:basedOn w:val="Normale"/>
    <w:rsid w:val="003608A4"/>
    <w:pPr>
      <w:spacing w:before="120" w:after="120"/>
      <w:ind w:firstLine="0"/>
      <w:jc w:val="center"/>
    </w:pPr>
    <w:rPr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</w:rPr>
  </w:style>
  <w:style w:type="paragraph" w:customStyle="1" w:styleId="SENCOMMcorpodeltesto">
    <w:name w:val="SEN_COMM_corpo del testo"/>
    <w:basedOn w:val="Normale"/>
    <w:rsid w:val="003608A4"/>
    <w:pPr>
      <w:spacing w:after="120"/>
      <w:ind w:firstLine="567"/>
    </w:pPr>
    <w:rPr>
      <w:rFonts w:ascii="Garamond" w:hAnsi="Garamond"/>
    </w:rPr>
  </w:style>
  <w:style w:type="paragraph" w:customStyle="1" w:styleId="COMMSENcorpodeltesto">
    <w:name w:val="COMM_SEN_corpo del testo"/>
    <w:basedOn w:val="Normale"/>
    <w:rsid w:val="003608A4"/>
    <w:pPr>
      <w:spacing w:after="120"/>
      <w:ind w:firstLine="567"/>
    </w:p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</w:rPr>
  </w:style>
  <w:style w:type="paragraph" w:customStyle="1" w:styleId="CAMCOMMcorpodeltesto">
    <w:name w:val="CAM_COMM_corpo del testo"/>
    <w:basedOn w:val="Normale"/>
    <w:rsid w:val="003608A4"/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/>
      <w:ind w:firstLine="0"/>
      <w:jc w:val="center"/>
    </w:pPr>
    <w:rPr>
      <w:b/>
    </w:rPr>
  </w:style>
  <w:style w:type="paragraph" w:customStyle="1" w:styleId="ToCompany">
    <w:name w:val="ToCompany"/>
    <w:basedOn w:val="Normale"/>
    <w:rsid w:val="003608A4"/>
    <w:pPr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</w:style>
  <w:style w:type="paragraph" w:customStyle="1" w:styleId="CAMCAMMCommissione">
    <w:name w:val="CAM_CAMM_(Commissione)"/>
    <w:basedOn w:val="Normale"/>
    <w:rsid w:val="003608A4"/>
    <w:pPr>
      <w:spacing w:before="120" w:after="120"/>
      <w:ind w:firstLine="0"/>
      <w:jc w:val="center"/>
    </w:pPr>
    <w:rPr>
      <w:b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i/>
    </w:rPr>
  </w:style>
  <w:style w:type="paragraph" w:styleId="Rientrocorpodeltesto2">
    <w:name w:val="Body Text Indent 2"/>
    <w:basedOn w:val="Normale"/>
    <w:rsid w:val="003608A4"/>
  </w:style>
  <w:style w:type="paragraph" w:customStyle="1" w:styleId="CopertinaServizio">
    <w:name w:val="Copertina/Servizio"/>
    <w:basedOn w:val="Normale"/>
    <w:rsid w:val="003608A4"/>
    <w:pPr>
      <w:keepNext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/>
      <w:ind w:firstLine="0"/>
      <w:jc w:val="left"/>
    </w:pPr>
    <w:rPr>
      <w:rFonts w:ascii="Verdana" w:hAnsi="Verdana" w:cs="Garamond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/>
      <w:ind w:firstLine="0"/>
      <w:jc w:val="left"/>
    </w:pPr>
    <w:rPr>
      <w:rFonts w:ascii="Verdana" w:hAnsi="Verdana" w:cs="Garamond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/>
      <w:ind w:firstLine="0"/>
      <w:jc w:val="left"/>
    </w:pPr>
    <w:rPr>
      <w:rFonts w:ascii="Verdana" w:hAnsi="Verdana" w:cs="Garamond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/>
      <w:ind w:firstLine="0"/>
      <w:jc w:val="left"/>
    </w:pPr>
    <w:rPr>
      <w:rFonts w:ascii="Verdana" w:hAnsi="Verdana" w:cs="Garamond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Cs w:val="24"/>
    </w:rPr>
  </w:style>
  <w:style w:type="paragraph" w:customStyle="1" w:styleId="center">
    <w:name w:val="center"/>
    <w:basedOn w:val="Normale"/>
    <w:rsid w:val="003608A4"/>
    <w:pPr>
      <w:spacing w:before="75" w:after="180"/>
      <w:ind w:firstLine="0"/>
      <w:jc w:val="center"/>
    </w:pPr>
    <w:rPr>
      <w:rFonts w:ascii="Verdana" w:hAnsi="Verdana" w:cs="Garamond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after="120" w:line="240" w:lineRule="exact"/>
    </w:pPr>
    <w:rPr>
      <w:rFonts w:ascii="Garamond" w:hAnsi="Garamond" w:cs="Garamond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ind w:firstLine="0"/>
      <w:jc w:val="right"/>
    </w:pPr>
    <w:rPr>
      <w:rFonts w:ascii="CG Times" w:hAnsi="CG Times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</w:style>
  <w:style w:type="paragraph" w:customStyle="1" w:styleId="NOWEB02">
    <w:name w:val="NOWEB02"/>
    <w:basedOn w:val="NOWEB"/>
    <w:rsid w:val="003608A4"/>
    <w:pPr>
      <w:ind w:firstLine="0"/>
      <w:jc w:val="center"/>
    </w:pPr>
  </w:style>
  <w:style w:type="paragraph" w:customStyle="1" w:styleId="NOWEB03">
    <w:name w:val="NOWEB03"/>
    <w:basedOn w:val="NOWEB"/>
    <w:rsid w:val="003608A4"/>
    <w:pPr>
      <w:ind w:firstLine="0"/>
      <w:jc w:val="center"/>
    </w:pPr>
  </w:style>
  <w:style w:type="paragraph" w:customStyle="1" w:styleId="NOWEB04">
    <w:name w:val="NOWEB04"/>
    <w:basedOn w:val="NOWEB"/>
    <w:rsid w:val="003608A4"/>
    <w:pPr>
      <w:ind w:firstLine="0"/>
      <w:jc w:val="center"/>
    </w:pPr>
  </w:style>
  <w:style w:type="paragraph" w:customStyle="1" w:styleId="NOWEB05">
    <w:name w:val="NOWEB05"/>
    <w:basedOn w:val="NOWEB"/>
    <w:rsid w:val="003608A4"/>
    <w:pPr>
      <w:ind w:firstLine="0"/>
      <w:jc w:val="center"/>
    </w:pPr>
  </w:style>
  <w:style w:type="paragraph" w:customStyle="1" w:styleId="NOWEB06">
    <w:name w:val="NOWEB06"/>
    <w:basedOn w:val="NOWEB"/>
    <w:rsid w:val="003608A4"/>
    <w:pPr>
      <w:ind w:firstLine="0"/>
      <w:jc w:val="center"/>
    </w:pPr>
  </w:style>
  <w:style w:type="paragraph" w:customStyle="1" w:styleId="NOWEB07">
    <w:name w:val="NOWEB07"/>
    <w:basedOn w:val="NOWEB"/>
    <w:rsid w:val="003608A4"/>
    <w:pPr>
      <w:ind w:firstLine="0"/>
      <w:jc w:val="center"/>
    </w:pPr>
  </w:style>
  <w:style w:type="paragraph" w:customStyle="1" w:styleId="NOWEB08">
    <w:name w:val="NOWEB08"/>
    <w:basedOn w:val="NOWEB"/>
    <w:rsid w:val="003608A4"/>
    <w:pPr>
      <w:ind w:firstLine="0"/>
      <w:jc w:val="center"/>
    </w:p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/>
      <w:ind w:left="567" w:firstLine="0"/>
      <w:jc w:val="left"/>
    </w:pPr>
    <w:rPr>
      <w:rFonts w:ascii="CG Times" w:hAnsi="CG Times"/>
      <w:noProof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rPr>
      <w:sz w:val="20"/>
    </w:rPr>
  </w:style>
  <w:style w:type="paragraph" w:styleId="Titolo">
    <w:name w:val="Title"/>
    <w:basedOn w:val="Normale"/>
    <w:next w:val="Normale"/>
    <w:link w:val="TitoloCarattere"/>
    <w:qFormat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DA2"/>
    <w:rPr>
      <w:sz w:val="24"/>
    </w:rPr>
  </w:style>
  <w:style w:type="paragraph" w:styleId="Paragrafoelenco">
    <w:name w:val="List Paragraph"/>
    <w:basedOn w:val="Normale"/>
    <w:uiPriority w:val="34"/>
    <w:rsid w:val="00760C94"/>
    <w:pPr>
      <w:ind w:left="720"/>
      <w:contextualSpacing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B7B2E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5ADA6-D838-4AAC-BDE6-1978C1279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Camera dei Deputati</Company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Salvatore Gulfo</dc:creator>
  <cp:keywords/>
  <dc:description/>
  <cp:lastModifiedBy>Andrea Frangioni</cp:lastModifiedBy>
  <cp:revision>3</cp:revision>
  <cp:lastPrinted>2022-07-26T08:53:00Z</cp:lastPrinted>
  <dcterms:created xsi:type="dcterms:W3CDTF">2022-08-29T11:56:00Z</dcterms:created>
  <dcterms:modified xsi:type="dcterms:W3CDTF">2022-08-29T11:56:00Z</dcterms:modified>
</cp:coreProperties>
</file>