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1986"/>
        <w:gridCol w:w="1374"/>
        <w:gridCol w:w="1317"/>
        <w:gridCol w:w="1447"/>
        <w:gridCol w:w="1353"/>
        <w:gridCol w:w="1192"/>
      </w:tblGrid>
      <w:tr w:rsidR="000877BC" w:rsidRPr="000877BC" w:rsidTr="000877BC">
        <w:trPr>
          <w:trHeight w:val="1035"/>
          <w:tblHeader/>
          <w:jc w:val="center"/>
        </w:trPr>
        <w:tc>
          <w:tcPr>
            <w:tcW w:w="5000" w:type="pct"/>
            <w:gridSpan w:val="7"/>
            <w:shd w:val="clear" w:color="000000" w:fill="8DB4E2"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XVIII  - Incremento dei </w:t>
            </w:r>
            <w:r w:rsidRPr="000877B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commi</w:t>
            </w:r>
            <w:r w:rsidRPr="000877B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 delle </w:t>
            </w:r>
            <w:r w:rsidRPr="000877B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parole</w:t>
            </w:r>
            <w:r w:rsidRPr="000877B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nelle leggi ordinarie (con l'esclusione delle leggi di conversione dei decreti-legge) di</w:t>
            </w:r>
            <w:r w:rsidRPr="000877B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  <w:t xml:space="preserve"> iniziativa governativa</w:t>
            </w:r>
          </w:p>
        </w:tc>
      </w:tr>
      <w:tr w:rsidR="000877BC" w:rsidRPr="000877BC" w:rsidTr="000877BC">
        <w:trPr>
          <w:trHeight w:val="630"/>
          <w:tblHeader/>
          <w:jc w:val="center"/>
        </w:trPr>
        <w:tc>
          <w:tcPr>
            <w:tcW w:w="973" w:type="pct"/>
            <w:shd w:val="clear" w:color="000000" w:fill="8DB4E2"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Leggi</w:t>
            </w:r>
          </w:p>
        </w:tc>
        <w:tc>
          <w:tcPr>
            <w:tcW w:w="885" w:type="pct"/>
            <w:shd w:val="clear" w:color="000000" w:fill="8DB4E2"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Commi testo base</w:t>
            </w:r>
          </w:p>
        </w:tc>
        <w:tc>
          <w:tcPr>
            <w:tcW w:w="628" w:type="pct"/>
            <w:shd w:val="clear" w:color="000000" w:fill="8DB4E2"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Incr. commi</w:t>
            </w:r>
          </w:p>
        </w:tc>
        <w:tc>
          <w:tcPr>
            <w:tcW w:w="628" w:type="pct"/>
            <w:shd w:val="clear" w:color="000000" w:fill="8DB4E2"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Inc. %</w:t>
            </w:r>
          </w:p>
        </w:tc>
        <w:tc>
          <w:tcPr>
            <w:tcW w:w="681" w:type="pct"/>
            <w:shd w:val="clear" w:color="000000" w:fill="8DB4E2"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Parole testo base</w:t>
            </w:r>
          </w:p>
        </w:tc>
        <w:tc>
          <w:tcPr>
            <w:tcW w:w="628" w:type="pct"/>
            <w:shd w:val="clear" w:color="000000" w:fill="8DB4E2"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Incr. parole</w:t>
            </w:r>
          </w:p>
        </w:tc>
        <w:tc>
          <w:tcPr>
            <w:tcW w:w="575" w:type="pct"/>
            <w:shd w:val="clear" w:color="000000" w:fill="8DB4E2"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Incr. 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110/2018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Rendiconto 2017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415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111/2018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Asse</w:t>
            </w:r>
            <w:r>
              <w:rPr>
                <w:rFonts w:ascii="Calibri" w:hAnsi="Calibri" w:cs="Calibri"/>
                <w:b/>
                <w:bCs/>
                <w:szCs w:val="22"/>
              </w:rPr>
              <w:t>s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t>tamento 2018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367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125/2018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Ratifica EAU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469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18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3,84%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Anticorruzione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4192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1019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24,31%</w:t>
            </w:r>
          </w:p>
        </w:tc>
      </w:tr>
      <w:tr w:rsidR="000877BC" w:rsidRPr="000877BC" w:rsidTr="000877BC">
        <w:trPr>
          <w:trHeight w:val="69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145/2018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L. Bilancio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461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787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170,72%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50011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83093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166,15%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R.Giappone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293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9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R.Laos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16,67%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287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77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26,83%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R.Macedonia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-16,67%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440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-29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-6,59%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10/2019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R.BosniaErz.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-16,67%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291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-28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-9,62%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8//2019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R.RAMOGE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196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108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R.Nagoya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-16,67%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283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-28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-9,89%</w:t>
            </w:r>
          </w:p>
        </w:tc>
      </w:tr>
      <w:tr w:rsidR="000877BC" w:rsidRPr="000877BC" w:rsidTr="000877BC">
        <w:trPr>
          <w:trHeight w:val="102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38/2019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Ist.Univ. Eur.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522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-0,38%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39/2019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Rat.manip. sport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363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66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18,18%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37/2019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Legge europea 2018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33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206,25%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6113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3052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49,93%</w:t>
            </w:r>
          </w:p>
        </w:tc>
      </w:tr>
      <w:tr w:rsidR="000877BC" w:rsidRPr="000877BC" w:rsidTr="000877BC">
        <w:trPr>
          <w:trHeight w:val="645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40/2019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C.Eur.En.Atom.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202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51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25,25%</w:t>
            </w:r>
          </w:p>
        </w:tc>
      </w:tr>
      <w:tr w:rsidR="000877BC" w:rsidRPr="000877BC" w:rsidTr="000877BC">
        <w:trPr>
          <w:trHeight w:val="1125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56/2019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Concretezza PA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38,46%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3445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1991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57,79%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66/2019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Estradizione tra Stati UE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251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lastRenderedPageBreak/>
              <w:t>90/2019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ass. giud. estrad. Kazakhstan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392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87/2019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ass. giud. estrad. Serbia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439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88/2019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Protocolli assist. giud. estradizione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551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91/2019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ass. giud. estrad. Kenya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399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79/2019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Difesa - Libano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197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80/2019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Difesa - Niger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295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69/2019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Violenza di genere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32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31,25%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2365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1456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61,56%</w:t>
            </w:r>
          </w:p>
        </w:tc>
      </w:tr>
      <w:tr w:rsidR="000877BC" w:rsidRPr="000877BC" w:rsidTr="000877BC">
        <w:trPr>
          <w:trHeight w:val="855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86/2019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Deleghe sport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32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15,63%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3871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1103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28,49%</w:t>
            </w:r>
          </w:p>
        </w:tc>
      </w:tr>
      <w:tr w:rsidR="000877BC" w:rsidRPr="000877BC" w:rsidTr="000877BC">
        <w:trPr>
          <w:trHeight w:val="96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109/2019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Rendiconto 2018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420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110/2019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Assestamento 2019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125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117/2019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L.Deleg.UE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37,50%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13497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3469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25,70%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129/2019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Macedonia Nato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119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135/2019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Serbia difesa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309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136/2019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UE-Kazakhstan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257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6,23%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149/2019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Kenya - Centro spaziale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181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146/2019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Nigeria - estradizione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556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-1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-0,18%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147/2019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Argentina -  condannati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291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151/2019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Uruguay - estradiz.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271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152/2019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Ecuador - estradiz.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404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150/2019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Costa Rica - estrad.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428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153/2019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Rep. dominicana - coop. culturale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324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148/2019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Cuba - coop. polizia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312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160/2019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L. bilancio 2020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593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391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65,94%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60840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44980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73,93%</w:t>
            </w:r>
          </w:p>
        </w:tc>
      </w:tr>
      <w:tr w:rsidR="000877BC" w:rsidRPr="000877BC" w:rsidTr="000877BC">
        <w:trPr>
          <w:trHeight w:val="1035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63/2020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Unione Mediterraneo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326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64/2020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Qatar - istruzione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329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1005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66/2020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Singapore - coop. scient. tecnolog.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306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6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65/2020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Turkmenistan - difesa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308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67/2020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Messico - difesa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328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75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97/2020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Prot. Energia nucleare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15 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3070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0,03%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92/2020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Colombia - doppie imposizioni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3 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1,21%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87/2020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Bulgaria - cinema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5 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242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1,24%</w:t>
            </w:r>
          </w:p>
        </w:tc>
      </w:tr>
      <w:tr w:rsidR="000877BC" w:rsidRPr="000877BC" w:rsidTr="000877BC">
        <w:trPr>
          <w:trHeight w:val="102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93/2020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Giamaica - doppie imposizioni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4 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180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2,22%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96/2020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Ciad - difesa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6 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304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1,64%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95/2020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Congo -coop. Militare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7 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299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2,01%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88/2020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Turkmenistan - investimenti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5 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186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3,76%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82/2020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Colombia - estradizione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6 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554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1,44%</w:t>
            </w:r>
          </w:p>
        </w:tc>
      </w:tr>
      <w:tr w:rsidR="000877BC" w:rsidRPr="000877BC" w:rsidTr="000877BC">
        <w:trPr>
          <w:trHeight w:val="84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91/2020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Prot. Emissioni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5 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5,63%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94/2020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Cons.d'Europa - sport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6 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296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3,38%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90/2020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Etiopia - difesa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7 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311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3,54%</w:t>
            </w:r>
          </w:p>
        </w:tc>
      </w:tr>
      <w:tr w:rsidR="000877BC" w:rsidRPr="000877BC" w:rsidTr="000877BC">
        <w:trPr>
          <w:trHeight w:val="69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89/2020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Uruguay - doppie imposizioni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5 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267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12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4,49%</w:t>
            </w:r>
          </w:p>
        </w:tc>
      </w:tr>
      <w:tr w:rsidR="000877BC" w:rsidRPr="000877BC" w:rsidTr="000877BC">
        <w:trPr>
          <w:trHeight w:val="645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113/2020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Sicurezza professioni sanitarie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10 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70,00%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744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462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62,10%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114/2020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UE - Armenia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4 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175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115/2020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Oss. S. K. A.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8 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441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-11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-2,49%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144/2020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Mozambico - cultura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8 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347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0,86%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135/2020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Uruguay - difesa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7 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298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2,35%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139/2020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Mongolia - difesa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7 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298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3,36%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134/2020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mercurio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9 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474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0,42%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141/2020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Protocolli aviazione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4 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186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146/2020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Gabon - doppie imposizioni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3 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157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1095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145/2020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UE-Afghanistan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4 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164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143/2020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Sri Lanka - cultura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8 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343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140/2020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UE-America latina e Caraibi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5 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185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136/2020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UE-Australia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4 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138/2020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UE-Nuova Zelanda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4 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0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127/2020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Rendiconto 2019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11 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615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128/2020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Assestamento 2020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1 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7133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178/2020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L. Bilancio 2021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688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567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82,41%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78171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52215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66,80%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Rat.Prot.15 Conv. Diritti uomo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-3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-50,00%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316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-186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-58,86%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49/2021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Protocolli persone condannate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-16,67%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343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-26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-7,58%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48/2021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Corea - difesa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303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2,64%</w:t>
            </w:r>
          </w:p>
        </w:tc>
      </w:tr>
      <w:tr w:rsidR="000877BC" w:rsidRPr="000877BC" w:rsidTr="000877BC">
        <w:trPr>
          <w:trHeight w:val="885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64/2021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Macedonia - difesa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351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60/2021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Em. Conv. Protez. Persone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223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63/2021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Argentina - difesa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290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57/2021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Argentina - sicurezza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294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33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11,22%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70/2021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Santa Sede - Forze armate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3481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53/2021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L. delegazione UE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17969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72/2021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Burkina Faso - difesa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306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66/2021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Kosovo - condannati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265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12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74/2021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UE-Svizzera navigazione satellitare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184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12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78/2021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Rep. dominicana  - estradizione e assist. giudiziaria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443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85/2021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Ecuador - trasporto aereo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176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86/2021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Ecuador - doppie imposizioni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185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93/2021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Grecia - zone marittime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168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96/2021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Carta IEF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235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88/2021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R. Kirghisa - coop. Culturale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338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95/2021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Australia - coop-. Scientifica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307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94/2021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UE - Colombia e Perù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174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90/2021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Emend. Accordo cetacei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198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134/2021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Delega processo penale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29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23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79,31%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5790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6145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106,13%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142/2021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Rendiconto 2020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516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143/2021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Assestamento 2021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10435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168/2021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EMGF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211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-2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-0,95%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167/2021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Corea - servizi aerei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201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166/2021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Messico - cinema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242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87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169/2021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Cons. d'Europa - cinema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163/2021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Titoli universitari abilitanti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12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58,33%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994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723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72,74%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216/2021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Gabon - coop. scientifica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-12,50%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315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3,17%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218/2021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Svizzera - pesca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187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28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14,97%</w:t>
            </w:r>
          </w:p>
        </w:tc>
      </w:tr>
      <w:tr w:rsidR="000877BC" w:rsidRPr="000877BC" w:rsidTr="000877BC">
        <w:trPr>
          <w:trHeight w:val="12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217/2021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Tunisia - infrastrutture elettriche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406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1,97%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219/2021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Tunisia - trasporti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258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4,26%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220/2021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Mine antipersona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120,00%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5904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14550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246,44%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240/2021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Intesa Chiesa d'Inghilterra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73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1,37%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3300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51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1,55%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227/2021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Delega disabilità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9,09%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3135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720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22,97%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238/2021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L. europea 2019-2020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62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32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51,61%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13760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7703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55,98%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234/2021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Legge di bilancio 2022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618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507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82,04%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72112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47987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66,55%</w:t>
            </w:r>
          </w:p>
        </w:tc>
      </w:tr>
      <w:tr w:rsidR="000877BC" w:rsidRPr="000877BC" w:rsidTr="000877BC">
        <w:trPr>
          <w:trHeight w:val="825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10/2022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Ruanda - servizi aerei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-20,00%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201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-26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-12,94%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12/2022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Filippine - servizi aerei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-20,00%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201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-26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-12,94%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Seychelles - servizi aerei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-20,00%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201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-26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-12,94%</w:t>
            </w:r>
          </w:p>
        </w:tc>
      </w:tr>
      <w:tr w:rsidR="000877BC" w:rsidRPr="000877BC" w:rsidTr="000877BC">
        <w:trPr>
          <w:trHeight w:val="102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8/2022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Montreal - ozono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281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-1,07%</w:t>
            </w:r>
          </w:p>
        </w:tc>
      </w:tr>
      <w:tr w:rsidR="000877BC" w:rsidRPr="000877BC" w:rsidTr="000877BC">
        <w:trPr>
          <w:trHeight w:val="108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40/2022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Lab. biologia molecolare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232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705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43/2022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Argentina - spazio extra atmosferico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177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-11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-6,21%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37/2022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Qatar - difesa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243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42/2022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Sud Africa - difesa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335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1065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31/2022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Trattati investimento UE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39/2022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Gibuti - difesa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306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45/2022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Uruguay - coop. giudiz. e condannati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436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32/2022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Deleghe famiglia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-3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-15,00%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3005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724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24,09%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66/2022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Centro ing. genetica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312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0,32%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65/2022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Centro Galileo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238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67/2022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laser europeo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208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63/2022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Ecuador - polizia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260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4,62%</w:t>
            </w:r>
          </w:p>
        </w:tc>
      </w:tr>
      <w:tr w:rsidR="000877BC" w:rsidRPr="000877BC" w:rsidTr="000877BC">
        <w:trPr>
          <w:trHeight w:val="1185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78/2022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Delega contratti pubblici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1581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1498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94,75%</w:t>
            </w:r>
          </w:p>
        </w:tc>
      </w:tr>
      <w:tr w:rsidR="000877BC" w:rsidRPr="000877BC" w:rsidTr="000877BC">
        <w:trPr>
          <w:trHeight w:val="975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71/2022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Deleghe ordin. Giudiziario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1,43%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12181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3669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30,12%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93/2022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Inquinanti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562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-17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-3,02%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90/2022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Francia - coop. rafforzata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168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-0,60%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95/2022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Ist. forestale UE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244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6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94/2022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Org. UE diritto pubblico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262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6,11%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106/2022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Delega spettacolo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12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291,67%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1055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3327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315,36%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129/2022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Delega riordino IRCCS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1387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325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23,43%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118/2022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L. ann. concorrenza 2021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70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23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32,86%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13490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5517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40,90%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127/2022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L. delegazione UE 2021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29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58,62%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5915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6591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111,43%</w:t>
            </w:r>
          </w:p>
        </w:tc>
      </w:tr>
      <w:tr w:rsidR="000877BC" w:rsidRPr="000877BC" w:rsidTr="000877BC">
        <w:trPr>
          <w:trHeight w:val="12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116/2022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UE-Giappone partenariato strategico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4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150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112/2022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NATO Finlandia Svezia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3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142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110/2022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Rendiconto 2021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611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111/2022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Assestamento 2022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117/2022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Rat. Canada mobilità giovanile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5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0,00%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192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-1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-0,52%</w:t>
            </w:r>
          </w:p>
        </w:tc>
      </w:tr>
      <w:tr w:rsidR="000877BC" w:rsidRPr="000877BC" w:rsidTr="000877BC">
        <w:trPr>
          <w:trHeight w:val="630"/>
          <w:jc w:val="center"/>
        </w:trPr>
        <w:tc>
          <w:tcPr>
            <w:tcW w:w="973" w:type="pct"/>
            <w:shd w:val="clear" w:color="auto" w:fill="auto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130/2022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Giustizia tributaria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21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26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123,81%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6767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2863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42,31%</w:t>
            </w:r>
          </w:p>
        </w:tc>
      </w:tr>
      <w:tr w:rsidR="000877BC" w:rsidRPr="000877BC" w:rsidTr="000877BC">
        <w:trPr>
          <w:trHeight w:val="930"/>
          <w:jc w:val="center"/>
        </w:trPr>
        <w:tc>
          <w:tcPr>
            <w:tcW w:w="973" w:type="pct"/>
            <w:shd w:val="clear" w:color="DCE6F1" w:fill="DCE6F1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140/2022</w:t>
            </w:r>
            <w:r w:rsidRPr="000877BC">
              <w:rPr>
                <w:rFonts w:ascii="Calibri" w:hAnsi="Calibri" w:cs="Calibri"/>
                <w:b/>
                <w:bCs/>
                <w:szCs w:val="22"/>
              </w:rPr>
              <w:br/>
              <w:t>Ottocentenario</w:t>
            </w:r>
            <w:bookmarkStart w:id="0" w:name="_GoBack"/>
            <w:bookmarkEnd w:id="0"/>
            <w:r w:rsidRPr="000877BC">
              <w:rPr>
                <w:rFonts w:ascii="Calibri" w:hAnsi="Calibri" w:cs="Calibri"/>
                <w:b/>
                <w:bCs/>
                <w:szCs w:val="22"/>
              </w:rPr>
              <w:t xml:space="preserve"> morte S. Francesco d'Assisi</w:t>
            </w:r>
          </w:p>
        </w:tc>
        <w:tc>
          <w:tcPr>
            <w:tcW w:w="88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17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5,88%</w:t>
            </w:r>
          </w:p>
        </w:tc>
        <w:tc>
          <w:tcPr>
            <w:tcW w:w="681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1054</w:t>
            </w:r>
          </w:p>
        </w:tc>
        <w:tc>
          <w:tcPr>
            <w:tcW w:w="628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287</w:t>
            </w:r>
          </w:p>
        </w:tc>
        <w:tc>
          <w:tcPr>
            <w:tcW w:w="575" w:type="pct"/>
            <w:shd w:val="clear" w:color="DCE6F1" w:fill="DCE6F1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27,23%</w:t>
            </w:r>
          </w:p>
        </w:tc>
      </w:tr>
      <w:tr w:rsidR="000877BC" w:rsidRPr="000877BC" w:rsidTr="000877BC">
        <w:trPr>
          <w:trHeight w:val="345"/>
          <w:jc w:val="center"/>
        </w:trPr>
        <w:tc>
          <w:tcPr>
            <w:tcW w:w="973" w:type="pct"/>
            <w:shd w:val="clear" w:color="auto" w:fill="auto"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77BC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877BC">
              <w:rPr>
                <w:rFonts w:ascii="Calibri" w:hAnsi="Calibri" w:cs="Calibri"/>
                <w:i/>
                <w:iCs/>
                <w:sz w:val="24"/>
                <w:szCs w:val="24"/>
              </w:rPr>
              <w:t> </w:t>
            </w:r>
          </w:p>
        </w:tc>
      </w:tr>
      <w:tr w:rsidR="000877BC" w:rsidRPr="000877BC" w:rsidTr="000877BC">
        <w:trPr>
          <w:trHeight w:val="405"/>
          <w:jc w:val="center"/>
        </w:trPr>
        <w:tc>
          <w:tcPr>
            <w:tcW w:w="973" w:type="pct"/>
            <w:shd w:val="clear" w:color="000000" w:fill="8DB4E2"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877BC">
              <w:rPr>
                <w:rFonts w:ascii="Calibri" w:hAnsi="Calibri" w:cs="Calibri"/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w="885" w:type="pct"/>
            <w:shd w:val="clear" w:color="000000" w:fill="8DB4E2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877B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     3.772 </w:t>
            </w:r>
          </w:p>
        </w:tc>
        <w:tc>
          <w:tcPr>
            <w:tcW w:w="628" w:type="pct"/>
            <w:shd w:val="clear" w:color="000000" w:fill="8DB4E2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877B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2.526 </w:t>
            </w:r>
          </w:p>
        </w:tc>
        <w:tc>
          <w:tcPr>
            <w:tcW w:w="628" w:type="pct"/>
            <w:shd w:val="clear" w:color="000000" w:fill="8DB4E2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0877B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66,97%</w:t>
            </w:r>
          </w:p>
        </w:tc>
        <w:tc>
          <w:tcPr>
            <w:tcW w:w="681" w:type="pct"/>
            <w:shd w:val="clear" w:color="000000" w:fill="8DB4E2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877B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449.738 </w:t>
            </w:r>
          </w:p>
        </w:tc>
        <w:tc>
          <w:tcPr>
            <w:tcW w:w="628" w:type="pct"/>
            <w:shd w:val="clear" w:color="000000" w:fill="8DB4E2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877B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295.551 </w:t>
            </w:r>
          </w:p>
        </w:tc>
        <w:tc>
          <w:tcPr>
            <w:tcW w:w="575" w:type="pct"/>
            <w:shd w:val="clear" w:color="000000" w:fill="8DB4E2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0877B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65,72%</w:t>
            </w:r>
          </w:p>
        </w:tc>
      </w:tr>
      <w:tr w:rsidR="000877BC" w:rsidRPr="000877BC" w:rsidTr="000877BC">
        <w:trPr>
          <w:trHeight w:val="780"/>
          <w:jc w:val="center"/>
        </w:trPr>
        <w:tc>
          <w:tcPr>
            <w:tcW w:w="973" w:type="pct"/>
            <w:shd w:val="clear" w:color="000000" w:fill="8DB4E2"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877BC">
              <w:rPr>
                <w:rFonts w:ascii="Calibri" w:hAnsi="Calibri" w:cs="Calibri"/>
                <w:b/>
                <w:bCs/>
                <w:sz w:val="28"/>
                <w:szCs w:val="28"/>
              </w:rPr>
              <w:t>Valori medi degli incrementi</w:t>
            </w:r>
          </w:p>
        </w:tc>
        <w:tc>
          <w:tcPr>
            <w:tcW w:w="885" w:type="pct"/>
            <w:shd w:val="clear" w:color="auto" w:fill="auto"/>
            <w:noWrap/>
            <w:vAlign w:val="bottom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77B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000000" w:fill="8DB4E2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877B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 17 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77B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77B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000000" w:fill="8DB4E2"/>
            <w:noWrap/>
            <w:vAlign w:val="center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877B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2.038 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0877BC" w:rsidRPr="000877BC" w:rsidRDefault="000877BC" w:rsidP="000877B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77B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88003B" w:rsidRPr="00544481" w:rsidRDefault="0088003B" w:rsidP="00544481"/>
    <w:sectPr w:rsidR="0088003B" w:rsidRPr="00544481" w:rsidSect="0088003B"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3B"/>
    <w:rsid w:val="0003747B"/>
    <w:rsid w:val="000877BC"/>
    <w:rsid w:val="00312E15"/>
    <w:rsid w:val="003C0945"/>
    <w:rsid w:val="00544481"/>
    <w:rsid w:val="008638B3"/>
    <w:rsid w:val="0088003B"/>
    <w:rsid w:val="008A3368"/>
    <w:rsid w:val="00A5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BB80"/>
  <w15:chartTrackingRefBased/>
  <w15:docId w15:val="{C7634E71-1AC4-4377-8C99-371EBEB6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male Osservatorio"/>
    <w:qFormat/>
    <w:rsid w:val="0003747B"/>
    <w:pPr>
      <w:spacing w:before="60" w:after="60" w:line="300" w:lineRule="atLeast"/>
      <w:ind w:firstLine="284"/>
      <w:contextualSpacing/>
      <w:jc w:val="both"/>
    </w:pPr>
    <w:rPr>
      <w:rFonts w:cs="Times New Roman"/>
      <w:szCs w:val="20"/>
      <w:lang w:eastAsia="it-IT"/>
    </w:rPr>
  </w:style>
  <w:style w:type="paragraph" w:styleId="Titolo1">
    <w:name w:val="heading 1"/>
    <w:basedOn w:val="Titolo"/>
    <w:next w:val="Normale"/>
    <w:link w:val="Titolo1Carattere"/>
    <w:uiPriority w:val="9"/>
    <w:qFormat/>
    <w:rsid w:val="00312E15"/>
    <w:pPr>
      <w:keepNext/>
      <w:keepLines/>
      <w:spacing w:before="120" w:after="120" w:line="360" w:lineRule="auto"/>
      <w:ind w:firstLine="0"/>
      <w:jc w:val="center"/>
      <w:outlineLvl w:val="0"/>
    </w:pPr>
    <w:rPr>
      <w:color w:val="2E74B5" w:themeColor="accent1" w:themeShade="BF"/>
      <w:sz w:val="32"/>
      <w:szCs w:val="32"/>
    </w:rPr>
  </w:style>
  <w:style w:type="paragraph" w:styleId="Titolo2">
    <w:name w:val="heading 2"/>
    <w:basedOn w:val="Titolo"/>
    <w:next w:val="Normale"/>
    <w:link w:val="Titolo2Carattere"/>
    <w:uiPriority w:val="9"/>
    <w:unhideWhenUsed/>
    <w:qFormat/>
    <w:rsid w:val="00312E15"/>
    <w:pPr>
      <w:keepNext/>
      <w:keepLines/>
      <w:spacing w:before="60" w:after="60"/>
      <w:ind w:firstLine="0"/>
      <w:jc w:val="left"/>
      <w:outlineLvl w:val="1"/>
    </w:pPr>
    <w:rPr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312E15"/>
    <w:pPr>
      <w:spacing w:before="0"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2E15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2E15"/>
    <w:rPr>
      <w:rFonts w:asciiTheme="majorHAnsi" w:eastAsiaTheme="majorEastAsia" w:hAnsiTheme="majorHAnsi" w:cstheme="majorBidi"/>
      <w:color w:val="2E74B5" w:themeColor="accent1" w:themeShade="BF"/>
      <w:spacing w:val="-10"/>
      <w:kern w:val="28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2E15"/>
    <w:rPr>
      <w:rFonts w:asciiTheme="majorHAnsi" w:eastAsiaTheme="majorEastAsia" w:hAnsiTheme="majorHAnsi" w:cstheme="majorBidi"/>
      <w:color w:val="2E74B5" w:themeColor="accent1" w:themeShade="BF"/>
      <w:spacing w:val="-10"/>
      <w:kern w:val="28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877B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7BC"/>
    <w:rPr>
      <w:color w:val="800080"/>
      <w:u w:val="single"/>
    </w:rPr>
  </w:style>
  <w:style w:type="paragraph" w:customStyle="1" w:styleId="msonormal0">
    <w:name w:val="msonormal"/>
    <w:basedOn w:val="Normale"/>
    <w:rsid w:val="000877BC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e"/>
    <w:rsid w:val="000877BC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font6">
    <w:name w:val="font6"/>
    <w:basedOn w:val="Normale"/>
    <w:rsid w:val="000877BC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font7">
    <w:name w:val="font7"/>
    <w:basedOn w:val="Normale"/>
    <w:rsid w:val="000877BC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hAnsi="Calibri" w:cs="Calibri"/>
      <w:b/>
      <w:bCs/>
      <w:sz w:val="24"/>
      <w:szCs w:val="24"/>
      <w:u w:val="single"/>
    </w:rPr>
  </w:style>
  <w:style w:type="paragraph" w:customStyle="1" w:styleId="xl95">
    <w:name w:val="xl95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96">
    <w:name w:val="xl96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8DB4E2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98">
    <w:name w:val="xl98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99">
    <w:name w:val="xl99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100">
    <w:name w:val="xl100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  <w:ind w:firstLine="0"/>
      <w:contextualSpacing w:val="0"/>
      <w:jc w:val="left"/>
      <w:textAlignment w:val="top"/>
    </w:pPr>
    <w:rPr>
      <w:rFonts w:ascii="Times New Roman" w:hAnsi="Times New Roman"/>
      <w:b/>
      <w:bCs/>
      <w:szCs w:val="22"/>
    </w:rPr>
  </w:style>
  <w:style w:type="paragraph" w:customStyle="1" w:styleId="xl101">
    <w:name w:val="xl101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  <w:ind w:firstLine="0"/>
      <w:contextualSpacing w:val="0"/>
      <w:jc w:val="left"/>
      <w:textAlignment w:val="top"/>
    </w:pPr>
    <w:rPr>
      <w:rFonts w:ascii="Times New Roman" w:hAnsi="Times New Roman"/>
      <w:b/>
      <w:bCs/>
      <w:szCs w:val="22"/>
    </w:rPr>
  </w:style>
  <w:style w:type="paragraph" w:customStyle="1" w:styleId="xl102">
    <w:name w:val="xl102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  <w:ind w:firstLine="0"/>
      <w:contextualSpacing w:val="0"/>
      <w:jc w:val="left"/>
      <w:textAlignment w:val="top"/>
    </w:pPr>
    <w:rPr>
      <w:rFonts w:ascii="Times New Roman" w:hAnsi="Times New Roman"/>
      <w:b/>
      <w:bCs/>
      <w:szCs w:val="22"/>
    </w:rPr>
  </w:style>
  <w:style w:type="paragraph" w:customStyle="1" w:styleId="xl103">
    <w:name w:val="xl103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8DB4E2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8DB4E2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5">
    <w:name w:val="xl105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szCs w:val="22"/>
    </w:rPr>
  </w:style>
  <w:style w:type="paragraph" w:customStyle="1" w:styleId="xl107">
    <w:name w:val="xl107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8DB4E2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8DB4E2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9">
    <w:name w:val="xl109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8DB4E2"/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10">
    <w:name w:val="xl110"/>
    <w:basedOn w:val="Normale"/>
    <w:rsid w:val="000877BC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8DB4E2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8A6F82E</Template>
  <TotalTime>3</TotalTime>
  <Pages>10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dei Deputati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Orciuolo</dc:creator>
  <cp:keywords/>
  <dc:description/>
  <cp:lastModifiedBy>Alessandro Orciuolo</cp:lastModifiedBy>
  <cp:revision>2</cp:revision>
  <dcterms:created xsi:type="dcterms:W3CDTF">2022-09-22T14:18:00Z</dcterms:created>
  <dcterms:modified xsi:type="dcterms:W3CDTF">2022-09-22T14:18:00Z</dcterms:modified>
</cp:coreProperties>
</file>