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9.xml" ContentType="application/vnd.openxmlformats-officedocument.wordprocessingml.header+xml"/>
  <Override PartName="/word/footer33.xml" ContentType="application/vnd.openxmlformats-officedocument.wordprocessingml.footer+xml"/>
  <Override PartName="/word/header3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6.xml" ContentType="application/vnd.openxmlformats-officedocument.wordprocessingml.header+xml"/>
  <Override PartName="/word/footer41.xml" ContentType="application/vnd.openxmlformats-officedocument.wordprocessingml.footer+xml"/>
  <Override PartName="/word/header37.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0.xml" ContentType="application/vnd.openxmlformats-officedocument.wordprocessingml.header+xml"/>
  <Override PartName="/word/footer46.xml" ContentType="application/vnd.openxmlformats-officedocument.wordprocessingml.footer+xml"/>
  <Override PartName="/word/header41.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4.xml" ContentType="application/vnd.openxmlformats-officedocument.wordprocessingml.header+xml"/>
  <Override PartName="/word/footer51.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47.xml" ContentType="application/vnd.openxmlformats-officedocument.wordprocessingml.header+xml"/>
  <Override PartName="/word/footer54.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0.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621A8" w:rsidRPr="00063D88" w:rsidRDefault="001621A8" w:rsidP="00217F27">
      <w:pPr>
        <w:tabs>
          <w:tab w:val="left" w:pos="6804"/>
        </w:tabs>
        <w:spacing w:line="240" w:lineRule="auto"/>
        <w:ind w:firstLine="0"/>
        <w:jc w:val="center"/>
        <w:rPr>
          <w:rFonts w:ascii="Garamond" w:hAnsi="Garamond"/>
          <w:color w:val="0000FF"/>
          <w:sz w:val="60"/>
          <w:szCs w:val="60"/>
        </w:rPr>
      </w:pPr>
    </w:p>
    <w:p w:rsidR="001621A8" w:rsidRPr="00063D88" w:rsidRDefault="001621A8" w:rsidP="00A9666C">
      <w:pPr>
        <w:spacing w:line="240" w:lineRule="auto"/>
        <w:ind w:firstLine="0"/>
        <w:jc w:val="center"/>
        <w:rPr>
          <w:rFonts w:ascii="Garamond" w:hAnsi="Garamond"/>
          <w:color w:val="0000FF"/>
          <w:sz w:val="60"/>
          <w:szCs w:val="60"/>
        </w:rPr>
      </w:pPr>
    </w:p>
    <w:p w:rsidR="001621A8" w:rsidRPr="00063D88" w:rsidRDefault="001621A8" w:rsidP="00A9666C">
      <w:pPr>
        <w:spacing w:line="240" w:lineRule="auto"/>
        <w:ind w:firstLine="0"/>
        <w:jc w:val="center"/>
        <w:rPr>
          <w:rFonts w:ascii="Garamond" w:hAnsi="Garamond"/>
          <w:color w:val="0000FF"/>
          <w:sz w:val="60"/>
          <w:szCs w:val="60"/>
        </w:rPr>
      </w:pPr>
    </w:p>
    <w:p w:rsidR="003C47CD" w:rsidRPr="00063D88" w:rsidRDefault="003C47CD" w:rsidP="00A9666C">
      <w:pPr>
        <w:spacing w:line="240" w:lineRule="auto"/>
        <w:ind w:firstLine="0"/>
        <w:jc w:val="center"/>
        <w:rPr>
          <w:rFonts w:ascii="Garamond" w:hAnsi="Garamond"/>
          <w:color w:val="0000FF"/>
          <w:sz w:val="60"/>
          <w:szCs w:val="60"/>
        </w:rPr>
      </w:pPr>
    </w:p>
    <w:p w:rsidR="00A9666C" w:rsidRPr="003505A6" w:rsidRDefault="00A9666C" w:rsidP="00A9666C">
      <w:pPr>
        <w:spacing w:line="240" w:lineRule="auto"/>
        <w:ind w:firstLine="0"/>
        <w:jc w:val="center"/>
        <w:rPr>
          <w:rFonts w:ascii="Garamond" w:hAnsi="Garamond"/>
          <w:color w:val="0000FF"/>
          <w:sz w:val="60"/>
          <w:szCs w:val="60"/>
        </w:rPr>
      </w:pPr>
      <w:r w:rsidRPr="003505A6">
        <w:rPr>
          <w:rFonts w:ascii="Garamond" w:hAnsi="Garamond"/>
          <w:color w:val="0000FF"/>
          <w:sz w:val="60"/>
          <w:szCs w:val="60"/>
        </w:rPr>
        <w:t>RAPPORTO SULL’ATTIVIT</w:t>
      </w:r>
      <w:r w:rsidR="00165D3B" w:rsidRPr="003505A6">
        <w:rPr>
          <w:rFonts w:ascii="Garamond" w:hAnsi="Garamond"/>
          <w:color w:val="0000FF"/>
          <w:sz w:val="60"/>
          <w:szCs w:val="60"/>
        </w:rPr>
        <w:t>À</w:t>
      </w:r>
      <w:r w:rsidRPr="003505A6">
        <w:rPr>
          <w:rFonts w:ascii="Garamond" w:hAnsi="Garamond"/>
          <w:color w:val="0000FF"/>
          <w:sz w:val="60"/>
          <w:szCs w:val="60"/>
        </w:rPr>
        <w:t xml:space="preserve"> SVOLTA DAL COMITATO PER LA LEGISLAZIONE</w:t>
      </w:r>
    </w:p>
    <w:p w:rsidR="00A9666C" w:rsidRPr="003505A6" w:rsidRDefault="00A9666C" w:rsidP="00A9666C">
      <w:pPr>
        <w:spacing w:line="240" w:lineRule="auto"/>
        <w:ind w:firstLine="0"/>
        <w:jc w:val="center"/>
        <w:rPr>
          <w:rFonts w:ascii="Garamond" w:hAnsi="Garamond"/>
          <w:color w:val="0000FF"/>
          <w:sz w:val="80"/>
          <w:szCs w:val="80"/>
        </w:rPr>
      </w:pPr>
    </w:p>
    <w:p w:rsidR="00475235" w:rsidRPr="003505A6" w:rsidRDefault="00475235" w:rsidP="00A9666C">
      <w:pPr>
        <w:spacing w:line="240" w:lineRule="auto"/>
        <w:ind w:firstLine="0"/>
        <w:jc w:val="center"/>
        <w:rPr>
          <w:rFonts w:ascii="Garamond" w:hAnsi="Garamond"/>
          <w:color w:val="0000FF"/>
          <w:sz w:val="80"/>
          <w:szCs w:val="80"/>
        </w:rPr>
      </w:pPr>
    </w:p>
    <w:p w:rsidR="00475235" w:rsidRPr="003505A6" w:rsidRDefault="00D02E42" w:rsidP="004E5D55">
      <w:pPr>
        <w:spacing w:line="240" w:lineRule="auto"/>
        <w:ind w:firstLine="0"/>
        <w:jc w:val="center"/>
        <w:outlineLvl w:val="0"/>
        <w:rPr>
          <w:rFonts w:ascii="Garamond" w:hAnsi="Garamond"/>
          <w:sz w:val="44"/>
          <w:szCs w:val="44"/>
        </w:rPr>
      </w:pPr>
      <w:bookmarkStart w:id="0" w:name="_Toc337653450"/>
      <w:r>
        <w:rPr>
          <w:rFonts w:ascii="Garamond" w:hAnsi="Garamond"/>
          <w:sz w:val="44"/>
          <w:szCs w:val="44"/>
        </w:rPr>
        <w:t>Quart</w:t>
      </w:r>
      <w:r w:rsidR="004E5D55" w:rsidRPr="003505A6">
        <w:rPr>
          <w:rFonts w:ascii="Garamond" w:hAnsi="Garamond"/>
          <w:sz w:val="44"/>
          <w:szCs w:val="44"/>
        </w:rPr>
        <w:t>o</w:t>
      </w:r>
      <w:r w:rsidR="00475235" w:rsidRPr="003505A6">
        <w:rPr>
          <w:rFonts w:ascii="Garamond" w:hAnsi="Garamond"/>
          <w:sz w:val="44"/>
          <w:szCs w:val="44"/>
        </w:rPr>
        <w:t xml:space="preserve"> turno di Presidenza</w:t>
      </w:r>
      <w:bookmarkEnd w:id="0"/>
    </w:p>
    <w:p w:rsidR="00A9666C" w:rsidRPr="003505A6" w:rsidRDefault="00475235" w:rsidP="008F3A6D">
      <w:pPr>
        <w:spacing w:line="240" w:lineRule="auto"/>
        <w:ind w:firstLine="0"/>
        <w:jc w:val="center"/>
        <w:outlineLvl w:val="0"/>
        <w:rPr>
          <w:rFonts w:ascii="Garamond" w:hAnsi="Garamond"/>
          <w:sz w:val="44"/>
          <w:szCs w:val="44"/>
        </w:rPr>
      </w:pPr>
      <w:bookmarkStart w:id="1" w:name="_Toc337653451"/>
      <w:r w:rsidRPr="003505A6">
        <w:rPr>
          <w:rFonts w:ascii="Garamond" w:hAnsi="Garamond"/>
          <w:sz w:val="44"/>
          <w:szCs w:val="44"/>
        </w:rPr>
        <w:t>Presidente</w:t>
      </w:r>
      <w:r w:rsidR="00A9666C" w:rsidRPr="003505A6">
        <w:rPr>
          <w:rFonts w:ascii="Garamond" w:hAnsi="Garamond"/>
          <w:sz w:val="44"/>
          <w:szCs w:val="44"/>
        </w:rPr>
        <w:t xml:space="preserve"> On. </w:t>
      </w:r>
      <w:bookmarkEnd w:id="1"/>
      <w:r w:rsidR="00D02E42">
        <w:rPr>
          <w:rFonts w:ascii="Garamond" w:hAnsi="Garamond"/>
          <w:sz w:val="44"/>
          <w:szCs w:val="44"/>
        </w:rPr>
        <w:t>Gianluca PINI</w:t>
      </w:r>
    </w:p>
    <w:p w:rsidR="002B0F29" w:rsidRPr="003505A6" w:rsidRDefault="00293299" w:rsidP="001436FB">
      <w:pPr>
        <w:spacing w:before="240" w:line="240" w:lineRule="auto"/>
        <w:ind w:firstLine="0"/>
        <w:jc w:val="center"/>
        <w:outlineLvl w:val="0"/>
        <w:rPr>
          <w:rFonts w:ascii="Garamond" w:hAnsi="Garamond"/>
          <w:i/>
          <w:sz w:val="36"/>
          <w:szCs w:val="36"/>
        </w:rPr>
      </w:pPr>
      <w:bookmarkStart w:id="2" w:name="_Toc337653452"/>
      <w:r w:rsidRPr="003505A6">
        <w:rPr>
          <w:rFonts w:ascii="Garamond" w:hAnsi="Garamond"/>
          <w:i/>
          <w:sz w:val="36"/>
          <w:szCs w:val="36"/>
        </w:rPr>
        <w:t>(</w:t>
      </w:r>
      <w:r w:rsidR="00DF46F7" w:rsidRPr="003505A6">
        <w:rPr>
          <w:rFonts w:ascii="Garamond" w:hAnsi="Garamond"/>
          <w:i/>
          <w:sz w:val="36"/>
          <w:szCs w:val="36"/>
        </w:rPr>
        <w:t>8</w:t>
      </w:r>
      <w:r w:rsidR="004E5D55" w:rsidRPr="003505A6">
        <w:rPr>
          <w:rFonts w:ascii="Garamond" w:hAnsi="Garamond"/>
          <w:i/>
          <w:sz w:val="36"/>
          <w:szCs w:val="36"/>
        </w:rPr>
        <w:t xml:space="preserve"> </w:t>
      </w:r>
      <w:r w:rsidR="00D02E42">
        <w:rPr>
          <w:rFonts w:ascii="Garamond" w:hAnsi="Garamond"/>
          <w:i/>
          <w:sz w:val="36"/>
          <w:szCs w:val="36"/>
        </w:rPr>
        <w:t>novembre</w:t>
      </w:r>
      <w:r w:rsidR="00BA719A" w:rsidRPr="003505A6">
        <w:rPr>
          <w:rFonts w:ascii="Garamond" w:hAnsi="Garamond"/>
          <w:i/>
          <w:sz w:val="36"/>
          <w:szCs w:val="36"/>
        </w:rPr>
        <w:t xml:space="preserve"> 201</w:t>
      </w:r>
      <w:r w:rsidR="00DF46F7" w:rsidRPr="003505A6">
        <w:rPr>
          <w:rFonts w:ascii="Garamond" w:hAnsi="Garamond"/>
          <w:i/>
          <w:sz w:val="36"/>
          <w:szCs w:val="36"/>
        </w:rPr>
        <w:t>5</w:t>
      </w:r>
      <w:r w:rsidR="001A02C3" w:rsidRPr="003505A6">
        <w:rPr>
          <w:rFonts w:ascii="Garamond" w:hAnsi="Garamond"/>
          <w:i/>
          <w:sz w:val="36"/>
          <w:szCs w:val="36"/>
        </w:rPr>
        <w:t xml:space="preserve"> – </w:t>
      </w:r>
      <w:r w:rsidR="004E5D55" w:rsidRPr="003505A6">
        <w:rPr>
          <w:rFonts w:ascii="Garamond" w:hAnsi="Garamond"/>
          <w:i/>
          <w:sz w:val="36"/>
          <w:szCs w:val="36"/>
        </w:rPr>
        <w:t>7</w:t>
      </w:r>
      <w:r w:rsidR="00BA719A" w:rsidRPr="003505A6">
        <w:rPr>
          <w:rFonts w:ascii="Garamond" w:hAnsi="Garamond"/>
          <w:i/>
          <w:sz w:val="36"/>
          <w:szCs w:val="36"/>
        </w:rPr>
        <w:t xml:space="preserve"> </w:t>
      </w:r>
      <w:r w:rsidR="00D02E42">
        <w:rPr>
          <w:rFonts w:ascii="Garamond" w:hAnsi="Garamond"/>
          <w:i/>
          <w:sz w:val="36"/>
          <w:szCs w:val="36"/>
        </w:rPr>
        <w:t>settembre</w:t>
      </w:r>
      <w:r w:rsidR="00BA719A" w:rsidRPr="003505A6">
        <w:rPr>
          <w:rFonts w:ascii="Garamond" w:hAnsi="Garamond"/>
          <w:i/>
          <w:sz w:val="36"/>
          <w:szCs w:val="36"/>
        </w:rPr>
        <w:t xml:space="preserve"> 201</w:t>
      </w:r>
      <w:r w:rsidR="00D02E42">
        <w:rPr>
          <w:rFonts w:ascii="Garamond" w:hAnsi="Garamond"/>
          <w:i/>
          <w:sz w:val="36"/>
          <w:szCs w:val="36"/>
        </w:rPr>
        <w:t>6</w:t>
      </w:r>
      <w:r w:rsidR="002B0F29" w:rsidRPr="003505A6">
        <w:rPr>
          <w:rFonts w:ascii="Garamond" w:hAnsi="Garamond"/>
          <w:i/>
          <w:sz w:val="36"/>
          <w:szCs w:val="36"/>
        </w:rPr>
        <w:t>)</w:t>
      </w:r>
      <w:bookmarkEnd w:id="2"/>
    </w:p>
    <w:p w:rsidR="00A9666C" w:rsidRPr="003505A6" w:rsidRDefault="00A9666C" w:rsidP="00A9666C">
      <w:pPr>
        <w:spacing w:line="240" w:lineRule="auto"/>
        <w:ind w:firstLine="0"/>
        <w:jc w:val="center"/>
        <w:rPr>
          <w:rFonts w:ascii="Garamond" w:hAnsi="Garamond"/>
          <w:sz w:val="36"/>
          <w:szCs w:val="36"/>
        </w:rPr>
      </w:pPr>
    </w:p>
    <w:p w:rsidR="001621A8" w:rsidRPr="003505A6" w:rsidRDefault="001621A8" w:rsidP="001621A8">
      <w:pPr>
        <w:rPr>
          <w:rFonts w:ascii="Garamond" w:hAnsi="Garamond"/>
        </w:rPr>
      </w:pPr>
    </w:p>
    <w:p w:rsidR="001621A8" w:rsidRPr="003505A6" w:rsidRDefault="001621A8" w:rsidP="001621A8">
      <w:pPr>
        <w:spacing w:line="240" w:lineRule="auto"/>
        <w:ind w:firstLine="0"/>
        <w:jc w:val="center"/>
        <w:rPr>
          <w:rFonts w:ascii="Garamond" w:hAnsi="Garamond"/>
          <w:sz w:val="36"/>
          <w:szCs w:val="36"/>
        </w:rPr>
        <w:sectPr w:rsidR="001621A8" w:rsidRPr="003505A6" w:rsidSect="002E43DF">
          <w:headerReference w:type="default" r:id="rId9"/>
          <w:footerReference w:type="even" r:id="rId10"/>
          <w:footerReference w:type="first" r:id="rId11"/>
          <w:type w:val="oddPage"/>
          <w:pgSz w:w="11906" w:h="16838" w:code="9"/>
          <w:pgMar w:top="1985" w:right="1985" w:bottom="1985" w:left="1985" w:header="1134" w:footer="1134" w:gutter="0"/>
          <w:pgNumType w:fmt="upperRoman" w:start="1"/>
          <w:cols w:space="720"/>
          <w:formProt w:val="0"/>
        </w:sectPr>
      </w:pPr>
    </w:p>
    <w:p w:rsidR="0003257F" w:rsidRPr="003505A6" w:rsidRDefault="0003257F" w:rsidP="0003257F">
      <w:pPr>
        <w:spacing w:line="240" w:lineRule="auto"/>
        <w:ind w:firstLine="0"/>
        <w:jc w:val="center"/>
        <w:rPr>
          <w:rFonts w:ascii="Garamond" w:hAnsi="Garamond"/>
          <w:color w:val="0000FF"/>
          <w:sz w:val="44"/>
          <w:szCs w:val="44"/>
        </w:rPr>
      </w:pPr>
      <w:bookmarkStart w:id="3" w:name="_Toc337653461"/>
      <w:bookmarkStart w:id="4" w:name="_Toc342035918"/>
    </w:p>
    <w:p w:rsidR="0003257F" w:rsidRPr="003505A6" w:rsidRDefault="0003257F" w:rsidP="0003257F">
      <w:pPr>
        <w:spacing w:line="240" w:lineRule="auto"/>
        <w:ind w:firstLine="0"/>
        <w:jc w:val="center"/>
        <w:rPr>
          <w:rFonts w:ascii="Garamond" w:hAnsi="Garamond"/>
          <w:color w:val="0000FF"/>
          <w:sz w:val="44"/>
          <w:szCs w:val="44"/>
        </w:rPr>
      </w:pPr>
      <w:r w:rsidRPr="003505A6">
        <w:rPr>
          <w:rFonts w:ascii="Garamond" w:hAnsi="Garamond"/>
          <w:color w:val="0000FF"/>
          <w:sz w:val="44"/>
          <w:szCs w:val="44"/>
        </w:rPr>
        <w:t>INDICE</w:t>
      </w:r>
    </w:p>
    <w:p w:rsidR="0003257F" w:rsidRPr="003505A6" w:rsidRDefault="0003257F" w:rsidP="0003257F">
      <w:pPr>
        <w:spacing w:line="240" w:lineRule="auto"/>
        <w:ind w:firstLine="0"/>
        <w:rPr>
          <w:rFonts w:ascii="Garamond" w:hAnsi="Garamond"/>
          <w:color w:val="0000FF"/>
          <w:sz w:val="36"/>
          <w:szCs w:val="36"/>
        </w:rPr>
      </w:pPr>
    </w:p>
    <w:p w:rsidR="004D473F" w:rsidRDefault="0003257F">
      <w:pPr>
        <w:pStyle w:val="Sommario2"/>
        <w:rPr>
          <w:rFonts w:asciiTheme="minorHAnsi" w:eastAsiaTheme="minorEastAsia" w:hAnsiTheme="minorHAnsi" w:cstheme="minorBidi"/>
          <w:b w:val="0"/>
          <w:sz w:val="22"/>
          <w:szCs w:val="22"/>
        </w:rPr>
      </w:pPr>
      <w:r w:rsidRPr="003505A6">
        <w:rPr>
          <w:rFonts w:ascii="Garamond" w:hAnsi="Garamond"/>
        </w:rPr>
        <w:fldChar w:fldCharType="begin"/>
      </w:r>
      <w:r w:rsidRPr="003505A6">
        <w:rPr>
          <w:rFonts w:ascii="Garamond" w:hAnsi="Garamond"/>
        </w:rPr>
        <w:instrText xml:space="preserve"> TOC \n 8-9 \f \t "Occhiello;8;occhiello2;9;Titolo 1;2;Titolo 1 (sintesi);2;Titolo 2;3;Titolo 2(articolo);3;leggi_titolo;3;</w:instrText>
      </w:r>
      <w:r w:rsidRPr="003505A6">
        <w:rPr>
          <w:rFonts w:ascii="Garamond" w:hAnsi="Garamond"/>
        </w:rPr>
        <w:fldChar w:fldCharType="separate"/>
      </w:r>
      <w:r w:rsidR="004D473F" w:rsidRPr="00A93B0B">
        <w:rPr>
          <w:rFonts w:ascii="Garamond" w:hAnsi="Garamond"/>
          <w:i/>
          <w:color w:val="0000FF"/>
        </w:rPr>
        <w:t>PREMESSA</w:t>
      </w:r>
      <w:r w:rsidR="004D473F">
        <w:tab/>
      </w:r>
      <w:r w:rsidR="004D473F">
        <w:fldChar w:fldCharType="begin"/>
      </w:r>
      <w:r w:rsidR="004D473F">
        <w:instrText xml:space="preserve"> PAGEREF _Toc458677956 \h </w:instrText>
      </w:r>
      <w:r w:rsidR="004D473F">
        <w:fldChar w:fldCharType="separate"/>
      </w:r>
      <w:r w:rsidR="004D473F">
        <w:t>1</w:t>
      </w:r>
      <w:r w:rsidR="004D473F">
        <w:fldChar w:fldCharType="end"/>
      </w:r>
    </w:p>
    <w:p w:rsidR="004D473F" w:rsidRDefault="004D473F">
      <w:pPr>
        <w:pStyle w:val="Sommario2"/>
        <w:rPr>
          <w:rFonts w:asciiTheme="minorHAnsi" w:eastAsiaTheme="minorEastAsia" w:hAnsiTheme="minorHAnsi" w:cstheme="minorBidi"/>
          <w:b w:val="0"/>
          <w:sz w:val="22"/>
          <w:szCs w:val="22"/>
        </w:rPr>
      </w:pPr>
      <w:r w:rsidRPr="00A93B0B">
        <w:rPr>
          <w:rFonts w:ascii="Garamond" w:hAnsi="Garamond"/>
          <w:i/>
          <w:color w:val="0000FF"/>
        </w:rPr>
        <w:t>I. PUBBLICAZIONI ED EVENTI</w:t>
      </w:r>
      <w:r>
        <w:tab/>
      </w:r>
      <w:r>
        <w:fldChar w:fldCharType="begin"/>
      </w:r>
      <w:r>
        <w:instrText xml:space="preserve"> PAGEREF _Toc458677957 \h </w:instrText>
      </w:r>
      <w:r>
        <w:fldChar w:fldCharType="separate"/>
      </w:r>
      <w:r>
        <w:t>3</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1.1. Gli Appunti del Comitato</w:t>
      </w:r>
      <w:r>
        <w:tab/>
      </w:r>
      <w:r>
        <w:fldChar w:fldCharType="begin"/>
      </w:r>
      <w:r>
        <w:instrText xml:space="preserve"> PAGEREF _Toc458677958 \h </w:instrText>
      </w:r>
      <w:r>
        <w:fldChar w:fldCharType="separate"/>
      </w:r>
      <w:r>
        <w:t>3</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1.2. Il sito internet</w:t>
      </w:r>
      <w:r>
        <w:tab/>
      </w:r>
      <w:r>
        <w:fldChar w:fldCharType="begin"/>
      </w:r>
      <w:r>
        <w:instrText xml:space="preserve"> PAGEREF _Toc458677959 \h </w:instrText>
      </w:r>
      <w:r>
        <w:fldChar w:fldCharType="separate"/>
      </w:r>
      <w:r>
        <w:t>3</w:t>
      </w:r>
      <w:r>
        <w:fldChar w:fldCharType="end"/>
      </w:r>
    </w:p>
    <w:p w:rsidR="004D473F" w:rsidRDefault="004D473F">
      <w:pPr>
        <w:pStyle w:val="Sommario2"/>
        <w:rPr>
          <w:rFonts w:asciiTheme="minorHAnsi" w:eastAsiaTheme="minorEastAsia" w:hAnsiTheme="minorHAnsi" w:cstheme="minorBidi"/>
          <w:b w:val="0"/>
          <w:sz w:val="22"/>
          <w:szCs w:val="22"/>
        </w:rPr>
      </w:pPr>
      <w:r w:rsidRPr="00A93B0B">
        <w:rPr>
          <w:rFonts w:ascii="Garamond" w:hAnsi="Garamond"/>
          <w:i/>
          <w:color w:val="0000FF"/>
        </w:rPr>
        <w:t>II. L’ATTIVAZIONE DEL COMITATO</w:t>
      </w:r>
      <w:r>
        <w:tab/>
      </w:r>
      <w:r>
        <w:fldChar w:fldCharType="begin"/>
      </w:r>
      <w:r>
        <w:instrText xml:space="preserve"> PAGEREF _Toc458677960 \h </w:instrText>
      </w:r>
      <w:r>
        <w:fldChar w:fldCharType="separate"/>
      </w:r>
      <w:r>
        <w:t>4</w:t>
      </w:r>
      <w:r>
        <w:fldChar w:fldCharType="end"/>
      </w:r>
    </w:p>
    <w:p w:rsidR="004D473F" w:rsidRDefault="004D473F">
      <w:pPr>
        <w:pStyle w:val="Sommario2"/>
        <w:rPr>
          <w:rFonts w:asciiTheme="minorHAnsi" w:eastAsiaTheme="minorEastAsia" w:hAnsiTheme="minorHAnsi" w:cstheme="minorBidi"/>
          <w:b w:val="0"/>
          <w:sz w:val="22"/>
          <w:szCs w:val="22"/>
        </w:rPr>
      </w:pPr>
      <w:r w:rsidRPr="00A93B0B">
        <w:rPr>
          <w:rFonts w:ascii="Garamond" w:hAnsi="Garamond"/>
          <w:i/>
          <w:color w:val="0000FF"/>
        </w:rPr>
        <w:t>III. CARATTERISTICHE DELLA PRODUZIONE LEGISLATIVA</w:t>
      </w:r>
      <w:r>
        <w:tab/>
      </w:r>
      <w:r>
        <w:fldChar w:fldCharType="begin"/>
      </w:r>
      <w:r>
        <w:instrText xml:space="preserve"> PAGEREF _Toc458677961 \h </w:instrText>
      </w:r>
      <w:r>
        <w:fldChar w:fldCharType="separate"/>
      </w:r>
      <w:r>
        <w:t>6</w:t>
      </w:r>
      <w:r>
        <w:fldChar w:fldCharType="end"/>
      </w:r>
    </w:p>
    <w:p w:rsidR="004D473F" w:rsidRDefault="004D473F">
      <w:pPr>
        <w:pStyle w:val="Sommario2"/>
        <w:rPr>
          <w:rFonts w:asciiTheme="minorHAnsi" w:eastAsiaTheme="minorEastAsia" w:hAnsiTheme="minorHAnsi" w:cstheme="minorBidi"/>
          <w:b w:val="0"/>
          <w:sz w:val="22"/>
          <w:szCs w:val="22"/>
        </w:rPr>
      </w:pPr>
      <w:r w:rsidRPr="00A93B0B">
        <w:rPr>
          <w:rFonts w:ascii="Garamond" w:hAnsi="Garamond"/>
          <w:i/>
          <w:color w:val="0000FF"/>
        </w:rPr>
        <w:t>IV. L’ATTIVITÀ CONSULTIVA DEL COMITATO</w:t>
      </w:r>
      <w:r>
        <w:tab/>
      </w:r>
      <w:r>
        <w:fldChar w:fldCharType="begin"/>
      </w:r>
      <w:r>
        <w:instrText xml:space="preserve"> PAGEREF _Toc458677962 \h </w:instrText>
      </w:r>
      <w:r>
        <w:fldChar w:fldCharType="separate"/>
      </w:r>
      <w:r>
        <w:t>8</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4.1. La struttura dei pareri</w:t>
      </w:r>
      <w:r>
        <w:tab/>
      </w:r>
      <w:r>
        <w:fldChar w:fldCharType="begin"/>
      </w:r>
      <w:r>
        <w:instrText xml:space="preserve"> PAGEREF _Toc458677963 \h </w:instrText>
      </w:r>
      <w:r>
        <w:fldChar w:fldCharType="separate"/>
      </w:r>
      <w:r>
        <w:t>8</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4.2. I parametri utilizzati nei pareri</w:t>
      </w:r>
      <w:r>
        <w:tab/>
      </w:r>
      <w:r>
        <w:fldChar w:fldCharType="begin"/>
      </w:r>
      <w:r>
        <w:instrText xml:space="preserve"> PAGEREF _Toc458677964 \h </w:instrText>
      </w:r>
      <w:r>
        <w:fldChar w:fldCharType="separate"/>
      </w:r>
      <w:r>
        <w:t>10</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4.3. Analisi tecnico-normativa (ATN) e analisi di impatto della regolamentazione (AIR)</w:t>
      </w:r>
      <w:r>
        <w:tab/>
      </w:r>
      <w:r>
        <w:fldChar w:fldCharType="begin"/>
      </w:r>
      <w:r>
        <w:instrText xml:space="preserve"> PAGEREF _Toc458677965 \h </w:instrText>
      </w:r>
      <w:r>
        <w:fldChar w:fldCharType="separate"/>
      </w:r>
      <w:r>
        <w:t>12</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4.4. Profili di formulazione tecnica dei testi normativi</w:t>
      </w:r>
      <w:r>
        <w:tab/>
      </w:r>
      <w:r>
        <w:fldChar w:fldCharType="begin"/>
      </w:r>
      <w:r>
        <w:instrText xml:space="preserve"> PAGEREF _Toc458677966 \h </w:instrText>
      </w:r>
      <w:r>
        <w:fldChar w:fldCharType="separate"/>
      </w:r>
      <w:r>
        <w:t>14</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iCs/>
          <w:color w:val="0000FF"/>
        </w:rPr>
        <w:t>4.4.1. Considerazioni generali</w:t>
      </w:r>
      <w:r>
        <w:tab/>
      </w:r>
      <w:r>
        <w:fldChar w:fldCharType="begin"/>
      </w:r>
      <w:r>
        <w:instrText xml:space="preserve"> PAGEREF _Toc458677967 \h </w:instrText>
      </w:r>
      <w:r>
        <w:fldChar w:fldCharType="separate"/>
      </w:r>
      <w:r>
        <w:t>14</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4.4.2. Volatilità, stratificazione normativa ed assenza di coordinamento</w:t>
      </w:r>
      <w:r>
        <w:tab/>
      </w:r>
      <w:r>
        <w:fldChar w:fldCharType="begin"/>
      </w:r>
      <w:r>
        <w:instrText xml:space="preserve"> PAGEREF _Toc458677968 \h </w:instrText>
      </w:r>
      <w:r>
        <w:fldChar w:fldCharType="separate"/>
      </w:r>
      <w:r>
        <w:t>17</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4.4.3. Discipline a carattere temporaneo, transitorio, sperimentale o derogatorio</w:t>
      </w:r>
      <w:r>
        <w:tab/>
      </w:r>
      <w:r>
        <w:fldChar w:fldCharType="begin"/>
      </w:r>
      <w:r>
        <w:instrText xml:space="preserve"> PAGEREF _Toc458677969 \h </w:instrText>
      </w:r>
      <w:r>
        <w:fldChar w:fldCharType="separate"/>
      </w:r>
      <w:r>
        <w:t>20</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4.4.4. Parti descrittive, ricognitive, programmatiche o di principio</w:t>
      </w:r>
      <w:r>
        <w:tab/>
      </w:r>
      <w:r>
        <w:fldChar w:fldCharType="begin"/>
      </w:r>
      <w:r>
        <w:instrText xml:space="preserve"> PAGEREF _Toc458677970 \h </w:instrText>
      </w:r>
      <w:r>
        <w:fldChar w:fldCharType="separate"/>
      </w:r>
      <w:r>
        <w:t>24</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4.5. Sistema delle fonti</w:t>
      </w:r>
      <w:r>
        <w:tab/>
      </w:r>
      <w:r>
        <w:fldChar w:fldCharType="begin"/>
      </w:r>
      <w:r>
        <w:instrText xml:space="preserve"> PAGEREF _Toc458677971 \h </w:instrText>
      </w:r>
      <w:r>
        <w:fldChar w:fldCharType="separate"/>
      </w:r>
      <w:r>
        <w:t>25</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4.6. Richiami alla legge n. 400 del 1988</w:t>
      </w:r>
      <w:r>
        <w:tab/>
      </w:r>
      <w:r>
        <w:fldChar w:fldCharType="begin"/>
      </w:r>
      <w:r>
        <w:instrText xml:space="preserve"> PAGEREF _Toc458677972 \h </w:instrText>
      </w:r>
      <w:r>
        <w:fldChar w:fldCharType="separate"/>
      </w:r>
      <w:r>
        <w:t>34</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4.7. Profili della legislazione delegata</w:t>
      </w:r>
      <w:r>
        <w:tab/>
      </w:r>
      <w:r>
        <w:fldChar w:fldCharType="begin"/>
      </w:r>
      <w:r>
        <w:instrText xml:space="preserve"> PAGEREF _Toc458677973 \h </w:instrText>
      </w:r>
      <w:r>
        <w:fldChar w:fldCharType="separate"/>
      </w:r>
      <w:r>
        <w:t>41</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4.8. Omogeneità/eterogeneità del contenuto</w:t>
      </w:r>
      <w:r>
        <w:tab/>
      </w:r>
      <w:r>
        <w:fldChar w:fldCharType="begin"/>
      </w:r>
      <w:r>
        <w:instrText xml:space="preserve"> PAGEREF _Toc458677974 \h </w:instrText>
      </w:r>
      <w:r>
        <w:fldChar w:fldCharType="separate"/>
      </w:r>
      <w:r>
        <w:t>44</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4.9. Richiami alla legge n. 212 del 2000</w:t>
      </w:r>
      <w:r>
        <w:tab/>
      </w:r>
      <w:r>
        <w:fldChar w:fldCharType="begin"/>
      </w:r>
      <w:r>
        <w:instrText xml:space="preserve"> PAGEREF _Toc458677975 \h </w:instrText>
      </w:r>
      <w:r>
        <w:fldChar w:fldCharType="separate"/>
      </w:r>
      <w:r>
        <w:t>47</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4.10. Profili di coordinamento con disposizioni di rango costituzionale</w:t>
      </w:r>
      <w:r>
        <w:tab/>
      </w:r>
      <w:r>
        <w:fldChar w:fldCharType="begin"/>
      </w:r>
      <w:r>
        <w:instrText xml:space="preserve"> PAGEREF _Toc458677976 \h </w:instrText>
      </w:r>
      <w:r>
        <w:fldChar w:fldCharType="separate"/>
      </w:r>
      <w:r>
        <w:t>49</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color w:val="0000FF"/>
        </w:rPr>
        <w:t>4.11. La giurisprudenza della Corte costituzionale</w:t>
      </w:r>
      <w:r>
        <w:tab/>
      </w:r>
      <w:r>
        <w:fldChar w:fldCharType="begin"/>
      </w:r>
      <w:r>
        <w:instrText xml:space="preserve"> PAGEREF _Toc458677977 \h </w:instrText>
      </w:r>
      <w:r>
        <w:fldChar w:fldCharType="separate"/>
      </w:r>
      <w:r>
        <w:t>52</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iCs/>
          <w:color w:val="0000FF"/>
        </w:rPr>
        <w:t>4.11.1. Limiti di contenuto dei decreti-legge</w:t>
      </w:r>
      <w:r>
        <w:tab/>
      </w:r>
      <w:r>
        <w:fldChar w:fldCharType="begin"/>
      </w:r>
      <w:r>
        <w:instrText xml:space="preserve"> PAGEREF _Toc458677978 \h </w:instrText>
      </w:r>
      <w:r>
        <w:fldChar w:fldCharType="separate"/>
      </w:r>
      <w:r>
        <w:t>52</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iCs/>
          <w:color w:val="0000FF"/>
        </w:rPr>
        <w:t>4.11.2. La formulazione di disposizioni di delega</w:t>
      </w:r>
      <w:r>
        <w:tab/>
      </w:r>
      <w:r>
        <w:fldChar w:fldCharType="begin"/>
      </w:r>
      <w:r>
        <w:instrText xml:space="preserve"> PAGEREF _Toc458677979 \h </w:instrText>
      </w:r>
      <w:r>
        <w:fldChar w:fldCharType="separate"/>
      </w:r>
      <w:r>
        <w:t>52</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i/>
          <w:iCs/>
          <w:color w:val="0000FF"/>
        </w:rPr>
        <w:t>4.11.3. I decreti di natura non regolamentare</w:t>
      </w:r>
      <w:r>
        <w:tab/>
      </w:r>
      <w:r>
        <w:fldChar w:fldCharType="begin"/>
      </w:r>
      <w:r>
        <w:instrText xml:space="preserve"> PAGEREF _Toc458677980 \h </w:instrText>
      </w:r>
      <w:r>
        <w:fldChar w:fldCharType="separate"/>
      </w:r>
      <w:r>
        <w:t>54</w:t>
      </w:r>
      <w:r>
        <w:fldChar w:fldCharType="end"/>
      </w:r>
    </w:p>
    <w:p w:rsidR="004D473F" w:rsidRDefault="004D473F">
      <w:pPr>
        <w:pStyle w:val="Sommario2"/>
        <w:rPr>
          <w:rFonts w:asciiTheme="minorHAnsi" w:eastAsiaTheme="minorEastAsia" w:hAnsiTheme="minorHAnsi" w:cstheme="minorBidi"/>
          <w:b w:val="0"/>
          <w:sz w:val="22"/>
          <w:szCs w:val="22"/>
        </w:rPr>
      </w:pPr>
      <w:r w:rsidRPr="00A93B0B">
        <w:rPr>
          <w:rFonts w:ascii="Garamond" w:hAnsi="Garamond"/>
          <w:bCs/>
          <w:i/>
          <w:iCs/>
          <w:color w:val="0000FF"/>
        </w:rPr>
        <w:t>V. CONCLUSIONI</w:t>
      </w:r>
      <w:r>
        <w:tab/>
      </w:r>
      <w:r>
        <w:fldChar w:fldCharType="begin"/>
      </w:r>
      <w:r>
        <w:instrText xml:space="preserve"> PAGEREF _Toc458677981 \h </w:instrText>
      </w:r>
      <w:r>
        <w:fldChar w:fldCharType="separate"/>
      </w:r>
      <w:r>
        <w:t>57</w:t>
      </w:r>
      <w:r>
        <w:fldChar w:fldCharType="end"/>
      </w:r>
    </w:p>
    <w:p w:rsidR="004D473F" w:rsidRDefault="004D473F">
      <w:pPr>
        <w:pStyle w:val="Sommario2"/>
        <w:rPr>
          <w:rFonts w:asciiTheme="minorHAnsi" w:eastAsiaTheme="minorEastAsia" w:hAnsiTheme="minorHAnsi" w:cstheme="minorBidi"/>
          <w:b w:val="0"/>
          <w:sz w:val="22"/>
          <w:szCs w:val="22"/>
        </w:rPr>
      </w:pPr>
      <w:r w:rsidRPr="00A93B0B">
        <w:rPr>
          <w:rFonts w:ascii="Garamond" w:hAnsi="Garamond"/>
          <w:bCs/>
          <w:i/>
          <w:iCs/>
          <w:color w:val="0000FF"/>
        </w:rPr>
        <w:t>VI. TABELLE</w:t>
      </w:r>
      <w:r>
        <w:tab/>
      </w:r>
      <w:r>
        <w:fldChar w:fldCharType="begin"/>
      </w:r>
      <w:r>
        <w:instrText xml:space="preserve"> PAGEREF _Toc458677982 \h </w:instrText>
      </w:r>
      <w:r>
        <w:fldChar w:fldCharType="separate"/>
      </w:r>
      <w:r>
        <w:t>59</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color w:val="0000FF"/>
        </w:rPr>
        <w:t>TAB. 1 “RILIEVI NEL PARERE”</w:t>
      </w:r>
      <w:r>
        <w:tab/>
      </w:r>
      <w:r>
        <w:fldChar w:fldCharType="begin"/>
      </w:r>
      <w:r>
        <w:instrText xml:space="preserve"> PAGEREF _Toc458677983 \h </w:instrText>
      </w:r>
      <w:r>
        <w:fldChar w:fldCharType="separate"/>
      </w:r>
      <w:r>
        <w:t>61</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color w:val="0000FF"/>
        </w:rPr>
        <w:t>TAB. 2 “RICHIAMI CIRCOLARE”</w:t>
      </w:r>
      <w:r>
        <w:tab/>
      </w:r>
      <w:r>
        <w:fldChar w:fldCharType="begin"/>
      </w:r>
      <w:r>
        <w:instrText xml:space="preserve"> PAGEREF _Toc458677984 \h </w:instrText>
      </w:r>
      <w:r>
        <w:fldChar w:fldCharType="separate"/>
      </w:r>
      <w:r>
        <w:t>63</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color w:val="0000FF"/>
        </w:rPr>
        <w:lastRenderedPageBreak/>
        <w:t>TAB. 3 “ULTERIORI RICHIAMI”</w:t>
      </w:r>
      <w:r>
        <w:tab/>
      </w:r>
      <w:r>
        <w:fldChar w:fldCharType="begin"/>
      </w:r>
      <w:r>
        <w:instrText xml:space="preserve"> PAGEREF _Toc458677985 \h </w:instrText>
      </w:r>
      <w:r>
        <w:fldChar w:fldCharType="separate"/>
      </w:r>
      <w:r>
        <w:t>65</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color w:val="0000FF"/>
        </w:rPr>
        <w:t>TAB. 4 “SISTEMA DELLE FONTI”</w:t>
      </w:r>
      <w:r>
        <w:tab/>
      </w:r>
      <w:r>
        <w:fldChar w:fldCharType="begin"/>
      </w:r>
      <w:r>
        <w:instrText xml:space="preserve"> PAGEREF _Toc458677986 \h </w:instrText>
      </w:r>
      <w:r>
        <w:fldChar w:fldCharType="separate"/>
      </w:r>
      <w:r>
        <w:t>66</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color w:val="0000FF"/>
        </w:rPr>
        <w:t>TAB. 5 “LEGGE 400/1988”</w:t>
      </w:r>
      <w:r>
        <w:tab/>
      </w:r>
      <w:r>
        <w:fldChar w:fldCharType="begin"/>
      </w:r>
      <w:r>
        <w:instrText xml:space="preserve"> PAGEREF _Toc458677987 \h </w:instrText>
      </w:r>
      <w:r>
        <w:fldChar w:fldCharType="separate"/>
      </w:r>
      <w:r>
        <w:t>68</w:t>
      </w:r>
      <w:r>
        <w:fldChar w:fldCharType="end"/>
      </w:r>
    </w:p>
    <w:p w:rsidR="004D473F" w:rsidRDefault="004D473F">
      <w:pPr>
        <w:pStyle w:val="Sommario3"/>
        <w:rPr>
          <w:rFonts w:asciiTheme="minorHAnsi" w:eastAsiaTheme="minorEastAsia" w:hAnsiTheme="minorHAnsi" w:cstheme="minorBidi"/>
          <w:szCs w:val="22"/>
        </w:rPr>
      </w:pPr>
      <w:r w:rsidRPr="00A93B0B">
        <w:rPr>
          <w:rFonts w:ascii="Garamond" w:hAnsi="Garamond"/>
          <w:color w:val="0000FF"/>
        </w:rPr>
        <w:t>TAB. 6 “DISPOSIZIONI DI DELEGA”</w:t>
      </w:r>
      <w:r>
        <w:tab/>
      </w:r>
      <w:r>
        <w:fldChar w:fldCharType="begin"/>
      </w:r>
      <w:r>
        <w:instrText xml:space="preserve"> PAGEREF _Toc458677988 \h </w:instrText>
      </w:r>
      <w:r>
        <w:fldChar w:fldCharType="separate"/>
      </w:r>
      <w:r>
        <w:t>69</w:t>
      </w:r>
      <w:r>
        <w:fldChar w:fldCharType="end"/>
      </w:r>
    </w:p>
    <w:p w:rsidR="004D473F" w:rsidRDefault="004D473F">
      <w:pPr>
        <w:pStyle w:val="Sommario2"/>
        <w:rPr>
          <w:rFonts w:asciiTheme="minorHAnsi" w:eastAsiaTheme="minorEastAsia" w:hAnsiTheme="minorHAnsi" w:cstheme="minorBidi"/>
          <w:b w:val="0"/>
          <w:sz w:val="22"/>
          <w:szCs w:val="22"/>
        </w:rPr>
      </w:pPr>
      <w:r w:rsidRPr="00A93B0B">
        <w:rPr>
          <w:rFonts w:ascii="Garamond" w:hAnsi="Garamond"/>
          <w:i/>
          <w:color w:val="0000FF"/>
        </w:rPr>
        <w:t>SCHEDE DEI PARERI</w:t>
      </w:r>
      <w:r>
        <w:tab/>
      </w:r>
      <w:r>
        <w:fldChar w:fldCharType="begin"/>
      </w:r>
      <w:r>
        <w:instrText xml:space="preserve"> PAGEREF _Toc458677989 \h </w:instrText>
      </w:r>
      <w:r>
        <w:fldChar w:fldCharType="separate"/>
      </w:r>
      <w:r>
        <w:t>71</w:t>
      </w:r>
      <w:r>
        <w:fldChar w:fldCharType="end"/>
      </w:r>
    </w:p>
    <w:p w:rsidR="0003257F" w:rsidRPr="003505A6" w:rsidRDefault="0003257F" w:rsidP="0003257F">
      <w:r w:rsidRPr="003505A6">
        <w:rPr>
          <w:rFonts w:ascii="Garamond" w:hAnsi="Garamond"/>
        </w:rPr>
        <w:fldChar w:fldCharType="end"/>
      </w:r>
    </w:p>
    <w:p w:rsidR="0003257F" w:rsidRPr="003505A6" w:rsidRDefault="0003257F" w:rsidP="0003257F"/>
    <w:p w:rsidR="0003257F" w:rsidRPr="003505A6" w:rsidRDefault="0003257F" w:rsidP="0003257F">
      <w:pPr>
        <w:sectPr w:rsidR="0003257F" w:rsidRPr="003505A6" w:rsidSect="0003257F">
          <w:headerReference w:type="default" r:id="rId12"/>
          <w:footerReference w:type="default" r:id="rId13"/>
          <w:type w:val="oddPage"/>
          <w:pgSz w:w="11906" w:h="16838" w:code="9"/>
          <w:pgMar w:top="1985" w:right="1985" w:bottom="1985" w:left="1985" w:header="1134" w:footer="1134" w:gutter="0"/>
          <w:pgNumType w:fmt="upperRoman" w:start="1"/>
          <w:cols w:space="720"/>
          <w:formProt w:val="0"/>
        </w:sectPr>
      </w:pPr>
    </w:p>
    <w:p w:rsidR="00430F18" w:rsidRPr="003505A6" w:rsidRDefault="00430F18" w:rsidP="00040C11">
      <w:pPr>
        <w:pStyle w:val="Titolo1"/>
        <w:rPr>
          <w:rFonts w:ascii="Garamond" w:hAnsi="Garamond"/>
          <w:i/>
          <w:color w:val="0000FF"/>
          <w:sz w:val="44"/>
          <w:szCs w:val="44"/>
        </w:rPr>
      </w:pPr>
      <w:bookmarkStart w:id="5" w:name="_Toc458677956"/>
      <w:r w:rsidRPr="00E954FB">
        <w:rPr>
          <w:rFonts w:ascii="Garamond" w:hAnsi="Garamond"/>
          <w:i/>
          <w:color w:val="0000FF"/>
          <w:sz w:val="44"/>
          <w:szCs w:val="44"/>
        </w:rPr>
        <w:lastRenderedPageBreak/>
        <w:t>PREMESSA</w:t>
      </w:r>
      <w:bookmarkEnd w:id="3"/>
      <w:bookmarkEnd w:id="4"/>
      <w:bookmarkEnd w:id="5"/>
    </w:p>
    <w:p w:rsidR="0029354A" w:rsidRPr="003505A6" w:rsidRDefault="00430F18" w:rsidP="008329E9">
      <w:pPr>
        <w:spacing w:before="120" w:after="120"/>
        <w:rPr>
          <w:rFonts w:ascii="Garamond" w:hAnsi="Garamond"/>
          <w:i/>
          <w:sz w:val="32"/>
          <w:szCs w:val="32"/>
        </w:rPr>
      </w:pPr>
      <w:r w:rsidRPr="003505A6">
        <w:rPr>
          <w:rFonts w:ascii="Garamond" w:hAnsi="Garamond"/>
          <w:i/>
          <w:sz w:val="32"/>
          <w:szCs w:val="32"/>
        </w:rPr>
        <w:t xml:space="preserve">Il </w:t>
      </w:r>
      <w:r w:rsidR="00D67C37">
        <w:rPr>
          <w:rFonts w:ascii="Garamond" w:hAnsi="Garamond"/>
          <w:i/>
          <w:sz w:val="32"/>
          <w:szCs w:val="32"/>
        </w:rPr>
        <w:t>quarto</w:t>
      </w:r>
      <w:r w:rsidR="003005AB" w:rsidRPr="003505A6">
        <w:rPr>
          <w:rFonts w:ascii="Garamond" w:hAnsi="Garamond"/>
          <w:i/>
          <w:sz w:val="32"/>
          <w:szCs w:val="32"/>
        </w:rPr>
        <w:t xml:space="preserve"> </w:t>
      </w:r>
      <w:r w:rsidRPr="003505A6">
        <w:rPr>
          <w:rFonts w:ascii="Garamond" w:hAnsi="Garamond"/>
          <w:i/>
          <w:sz w:val="32"/>
          <w:szCs w:val="32"/>
        </w:rPr>
        <w:t>turno di presidenza del Comitato per la legislazione</w:t>
      </w:r>
      <w:r w:rsidR="00D2239A" w:rsidRPr="003505A6">
        <w:rPr>
          <w:rFonts w:ascii="Garamond" w:hAnsi="Garamond"/>
          <w:i/>
          <w:sz w:val="32"/>
          <w:szCs w:val="32"/>
        </w:rPr>
        <w:t xml:space="preserve"> </w:t>
      </w:r>
      <w:r w:rsidR="008329E9" w:rsidRPr="003505A6">
        <w:rPr>
          <w:rFonts w:ascii="Garamond" w:hAnsi="Garamond"/>
          <w:i/>
          <w:sz w:val="32"/>
          <w:szCs w:val="32"/>
        </w:rPr>
        <w:t xml:space="preserve">si colloca </w:t>
      </w:r>
      <w:r w:rsidR="0077331C" w:rsidRPr="003505A6">
        <w:rPr>
          <w:rFonts w:ascii="Garamond" w:hAnsi="Garamond"/>
          <w:i/>
          <w:sz w:val="32"/>
          <w:szCs w:val="32"/>
        </w:rPr>
        <w:t>i</w:t>
      </w:r>
      <w:r w:rsidR="008329E9" w:rsidRPr="003505A6">
        <w:rPr>
          <w:rFonts w:ascii="Garamond" w:hAnsi="Garamond"/>
          <w:i/>
          <w:sz w:val="32"/>
          <w:szCs w:val="32"/>
        </w:rPr>
        <w:t xml:space="preserve">n una fase centrale della legislatura, che </w:t>
      </w:r>
      <w:r w:rsidR="003C0079">
        <w:rPr>
          <w:rFonts w:ascii="Garamond" w:hAnsi="Garamond"/>
          <w:i/>
          <w:sz w:val="32"/>
          <w:szCs w:val="32"/>
        </w:rPr>
        <w:t>consolida</w:t>
      </w:r>
      <w:r w:rsidR="008329E9" w:rsidRPr="003505A6">
        <w:rPr>
          <w:rFonts w:ascii="Garamond" w:hAnsi="Garamond"/>
          <w:i/>
          <w:sz w:val="32"/>
          <w:szCs w:val="32"/>
        </w:rPr>
        <w:t xml:space="preserve">, dal punto di vista della produzione normativa, </w:t>
      </w:r>
      <w:r w:rsidR="003C0079">
        <w:rPr>
          <w:rFonts w:ascii="Garamond" w:hAnsi="Garamond"/>
          <w:i/>
          <w:sz w:val="32"/>
          <w:szCs w:val="32"/>
        </w:rPr>
        <w:t>le tendenze in atto da alcuni mesi e già descritte nel rapporto sul precedente turno di presidenza, con qualche passo indietro dal punto di vista del rispetto del sistema delle fonti.</w:t>
      </w:r>
    </w:p>
    <w:p w:rsidR="008329E9" w:rsidRPr="003505A6" w:rsidRDefault="008000D5" w:rsidP="000B3D90">
      <w:pPr>
        <w:spacing w:before="120" w:after="120"/>
        <w:rPr>
          <w:rFonts w:ascii="Garamond" w:hAnsi="Garamond"/>
          <w:i/>
          <w:sz w:val="32"/>
          <w:szCs w:val="32"/>
        </w:rPr>
      </w:pPr>
      <w:r>
        <w:rPr>
          <w:rFonts w:ascii="Garamond" w:hAnsi="Garamond"/>
          <w:i/>
          <w:sz w:val="32"/>
          <w:szCs w:val="32"/>
        </w:rPr>
        <w:t>Le tendenze di</w:t>
      </w:r>
      <w:r w:rsidR="0065354C" w:rsidRPr="003505A6">
        <w:rPr>
          <w:rFonts w:ascii="Garamond" w:hAnsi="Garamond"/>
          <w:i/>
          <w:sz w:val="32"/>
          <w:szCs w:val="32"/>
        </w:rPr>
        <w:t xml:space="preserve"> quest</w:t>
      </w:r>
      <w:r w:rsidR="007C1FE0">
        <w:rPr>
          <w:rFonts w:ascii="Garamond" w:hAnsi="Garamond"/>
          <w:i/>
          <w:sz w:val="32"/>
          <w:szCs w:val="32"/>
        </w:rPr>
        <w:t>i di</w:t>
      </w:r>
      <w:r>
        <w:rPr>
          <w:rFonts w:ascii="Garamond" w:hAnsi="Garamond"/>
          <w:i/>
          <w:sz w:val="32"/>
          <w:szCs w:val="32"/>
        </w:rPr>
        <w:t>eci mesi</w:t>
      </w:r>
      <w:r w:rsidR="007C1FE0">
        <w:rPr>
          <w:rFonts w:ascii="Garamond" w:hAnsi="Garamond"/>
          <w:i/>
          <w:sz w:val="32"/>
          <w:szCs w:val="32"/>
        </w:rPr>
        <w:t xml:space="preserve"> possono </w:t>
      </w:r>
      <w:r>
        <w:rPr>
          <w:rFonts w:ascii="Garamond" w:hAnsi="Garamond"/>
          <w:i/>
          <w:sz w:val="32"/>
          <w:szCs w:val="32"/>
        </w:rPr>
        <w:t>essere così sintetizzate</w:t>
      </w:r>
      <w:r w:rsidR="008329E9" w:rsidRPr="003505A6">
        <w:rPr>
          <w:rFonts w:ascii="Garamond" w:hAnsi="Garamond"/>
          <w:i/>
          <w:sz w:val="32"/>
          <w:szCs w:val="32"/>
        </w:rPr>
        <w:t xml:space="preserve">: </w:t>
      </w:r>
    </w:p>
    <w:p w:rsidR="008329E9" w:rsidRPr="003505A6" w:rsidRDefault="008329E9" w:rsidP="000B3D90">
      <w:pPr>
        <w:spacing w:before="120" w:after="120"/>
        <w:rPr>
          <w:rFonts w:ascii="Garamond" w:hAnsi="Garamond"/>
          <w:i/>
          <w:sz w:val="32"/>
          <w:szCs w:val="32"/>
        </w:rPr>
      </w:pPr>
      <w:r w:rsidRPr="003505A6">
        <w:rPr>
          <w:rFonts w:ascii="Garamond" w:hAnsi="Garamond"/>
          <w:i/>
          <w:sz w:val="32"/>
          <w:szCs w:val="32"/>
        </w:rPr>
        <w:t>i decreti-legge vengono utilizzati con una certa parsimonia</w:t>
      </w:r>
      <w:r w:rsidR="008000D5">
        <w:rPr>
          <w:rFonts w:ascii="Garamond" w:hAnsi="Garamond"/>
          <w:i/>
          <w:sz w:val="32"/>
          <w:szCs w:val="32"/>
        </w:rPr>
        <w:t xml:space="preserve"> ma si susseguono incessantemente in alcuni ambiti cruciali. Dei </w:t>
      </w:r>
      <w:r w:rsidR="00BD75AA">
        <w:rPr>
          <w:rFonts w:ascii="Garamond" w:hAnsi="Garamond"/>
          <w:i/>
          <w:sz w:val="32"/>
          <w:szCs w:val="32"/>
        </w:rPr>
        <w:t>12</w:t>
      </w:r>
      <w:r w:rsidR="008000D5">
        <w:rPr>
          <w:rFonts w:ascii="Garamond" w:hAnsi="Garamond"/>
          <w:i/>
          <w:sz w:val="32"/>
          <w:szCs w:val="32"/>
        </w:rPr>
        <w:t xml:space="preserve"> decreti-legge sui quali si è pronunciato il Comitato: 3 hanno riguardato il settore bancario; 2 la problematica cessione dell’ILVA; 2 hanno prorogato la partecipazione italiana</w:t>
      </w:r>
      <w:r w:rsidR="00C4389B">
        <w:rPr>
          <w:rFonts w:ascii="Garamond" w:hAnsi="Garamond"/>
          <w:i/>
          <w:sz w:val="32"/>
          <w:szCs w:val="32"/>
        </w:rPr>
        <w:t xml:space="preserve"> alle missioni internazionali; 3</w:t>
      </w:r>
      <w:r w:rsidR="008000D5">
        <w:rPr>
          <w:rFonts w:ascii="Garamond" w:hAnsi="Garamond"/>
          <w:i/>
          <w:sz w:val="32"/>
          <w:szCs w:val="32"/>
        </w:rPr>
        <w:t xml:space="preserve"> contengono variegate misure</w:t>
      </w:r>
      <w:r w:rsidR="003A6DDA">
        <w:rPr>
          <w:rFonts w:ascii="Garamond" w:hAnsi="Garamond"/>
          <w:i/>
          <w:sz w:val="32"/>
          <w:szCs w:val="32"/>
        </w:rPr>
        <w:t>,</w:t>
      </w:r>
      <w:r w:rsidR="008000D5">
        <w:rPr>
          <w:rFonts w:ascii="Garamond" w:hAnsi="Garamond"/>
          <w:i/>
          <w:sz w:val="32"/>
          <w:szCs w:val="32"/>
        </w:rPr>
        <w:t xml:space="preserve"> per lo più di carattere finanziario, per i territori e gli enti locali e regionali; 2 sono stati finalizzati a prorogare termini (il tradizionale “milleproroghe” di fine anno e il puntuale intervento per posticipare l’entrata a regime del processo amministrativo telematico)</w:t>
      </w:r>
      <w:r w:rsidR="00BD75AA">
        <w:rPr>
          <w:rFonts w:ascii="Garamond" w:hAnsi="Garamond"/>
          <w:i/>
          <w:sz w:val="32"/>
          <w:szCs w:val="32"/>
        </w:rPr>
        <w:t>; 1 ha riguardato il sistema scolastico e la ricerca</w:t>
      </w:r>
      <w:r w:rsidR="001B5A27">
        <w:rPr>
          <w:rFonts w:ascii="Garamond" w:hAnsi="Garamond"/>
          <w:i/>
          <w:sz w:val="32"/>
          <w:szCs w:val="32"/>
        </w:rPr>
        <w:t>.</w:t>
      </w:r>
      <w:r w:rsidR="003A6DDA">
        <w:rPr>
          <w:rFonts w:ascii="Garamond" w:hAnsi="Garamond"/>
          <w:i/>
          <w:sz w:val="32"/>
          <w:szCs w:val="32"/>
        </w:rPr>
        <w:t xml:space="preserve"> I</w:t>
      </w:r>
      <w:r w:rsidR="001B5A27">
        <w:rPr>
          <w:rFonts w:ascii="Garamond" w:hAnsi="Garamond"/>
          <w:i/>
          <w:sz w:val="32"/>
          <w:szCs w:val="32"/>
        </w:rPr>
        <w:t xml:space="preserve">l risultato è che in certi settori si produce una </w:t>
      </w:r>
      <w:r w:rsidR="00BD75AA">
        <w:rPr>
          <w:rFonts w:ascii="Garamond" w:hAnsi="Garamond"/>
          <w:i/>
          <w:sz w:val="32"/>
          <w:szCs w:val="32"/>
        </w:rPr>
        <w:t xml:space="preserve">accentuata volatilità e una </w:t>
      </w:r>
      <w:r w:rsidR="001B5A27">
        <w:rPr>
          <w:rFonts w:ascii="Garamond" w:hAnsi="Garamond"/>
          <w:i/>
          <w:sz w:val="32"/>
          <w:szCs w:val="32"/>
        </w:rPr>
        <w:t>stratificazione normativa, non sempre facilmente dipanabile, anche per i ricorrenti difetti di coordinamento della nuova normativa rispetto a quella già vigente;</w:t>
      </w:r>
    </w:p>
    <w:p w:rsidR="008329E9" w:rsidRPr="003505A6" w:rsidRDefault="003A6DDA" w:rsidP="000B3D90">
      <w:pPr>
        <w:spacing w:before="120" w:after="120"/>
        <w:rPr>
          <w:rFonts w:ascii="Garamond" w:hAnsi="Garamond"/>
          <w:i/>
          <w:sz w:val="32"/>
          <w:szCs w:val="32"/>
        </w:rPr>
      </w:pPr>
      <w:r>
        <w:rPr>
          <w:rFonts w:ascii="Garamond" w:hAnsi="Garamond"/>
          <w:i/>
          <w:sz w:val="32"/>
          <w:szCs w:val="32"/>
        </w:rPr>
        <w:t xml:space="preserve">per quanto riguarda </w:t>
      </w:r>
      <w:r w:rsidR="008329E9" w:rsidRPr="003505A6">
        <w:rPr>
          <w:rFonts w:ascii="Garamond" w:hAnsi="Garamond"/>
          <w:i/>
          <w:sz w:val="32"/>
          <w:szCs w:val="32"/>
        </w:rPr>
        <w:t xml:space="preserve">gli adempimenti previsti negli atti legislativi, </w:t>
      </w:r>
      <w:r>
        <w:rPr>
          <w:rFonts w:ascii="Garamond" w:hAnsi="Garamond"/>
          <w:i/>
          <w:sz w:val="32"/>
          <w:szCs w:val="32"/>
        </w:rPr>
        <w:t xml:space="preserve">si registra qualche </w:t>
      </w:r>
      <w:r w:rsidR="00DC78AD">
        <w:rPr>
          <w:rFonts w:ascii="Garamond" w:hAnsi="Garamond"/>
          <w:i/>
          <w:sz w:val="32"/>
          <w:szCs w:val="32"/>
        </w:rPr>
        <w:t>differenza</w:t>
      </w:r>
      <w:r>
        <w:rPr>
          <w:rFonts w:ascii="Garamond" w:hAnsi="Garamond"/>
          <w:i/>
          <w:sz w:val="32"/>
          <w:szCs w:val="32"/>
        </w:rPr>
        <w:t xml:space="preserve"> rispetto al precedente turno di presidenza, nel quale, per esempio, non era mai stata</w:t>
      </w:r>
      <w:r w:rsidR="008329E9" w:rsidRPr="003505A6">
        <w:rPr>
          <w:rFonts w:ascii="Garamond" w:hAnsi="Garamond"/>
          <w:i/>
          <w:sz w:val="32"/>
          <w:szCs w:val="32"/>
        </w:rPr>
        <w:t xml:space="preserve"> constata</w:t>
      </w:r>
      <w:r w:rsidR="006769E4" w:rsidRPr="003505A6">
        <w:rPr>
          <w:rFonts w:ascii="Garamond" w:hAnsi="Garamond"/>
          <w:i/>
          <w:sz w:val="32"/>
          <w:szCs w:val="32"/>
        </w:rPr>
        <w:t>ta</w:t>
      </w:r>
      <w:r w:rsidR="008329E9" w:rsidRPr="003505A6">
        <w:rPr>
          <w:rFonts w:ascii="Garamond" w:hAnsi="Garamond"/>
          <w:i/>
          <w:sz w:val="32"/>
          <w:szCs w:val="32"/>
        </w:rPr>
        <w:t xml:space="preserve"> la previsione di decreti ministeriali di natura non regolamentare</w:t>
      </w:r>
      <w:r w:rsidR="003F1EC0" w:rsidRPr="003505A6">
        <w:rPr>
          <w:rFonts w:ascii="Garamond" w:hAnsi="Garamond"/>
          <w:i/>
          <w:sz w:val="32"/>
          <w:szCs w:val="32"/>
        </w:rPr>
        <w:t xml:space="preserve">. </w:t>
      </w:r>
      <w:r>
        <w:rPr>
          <w:rFonts w:ascii="Garamond" w:hAnsi="Garamond"/>
          <w:i/>
          <w:sz w:val="32"/>
          <w:szCs w:val="32"/>
        </w:rPr>
        <w:t>In questi dieci mesi, sono diversi i pareri che si occupano del ricorso ad atti atipici e di fenomeni speculari di legificazione di fonti subordinate e dequalificazione delle fonti legislative e regolamentari;</w:t>
      </w:r>
    </w:p>
    <w:p w:rsidR="003F1EC0" w:rsidRPr="003505A6" w:rsidRDefault="003A6DDA" w:rsidP="000B3D90">
      <w:pPr>
        <w:spacing w:before="120" w:after="120"/>
        <w:rPr>
          <w:rFonts w:ascii="Garamond" w:hAnsi="Garamond"/>
          <w:i/>
          <w:sz w:val="32"/>
          <w:szCs w:val="32"/>
        </w:rPr>
      </w:pPr>
      <w:r>
        <w:rPr>
          <w:rFonts w:ascii="Garamond" w:hAnsi="Garamond"/>
          <w:i/>
          <w:sz w:val="32"/>
          <w:szCs w:val="32"/>
        </w:rPr>
        <w:t xml:space="preserve">si consolida </w:t>
      </w:r>
      <w:r w:rsidR="008329E9" w:rsidRPr="003505A6">
        <w:rPr>
          <w:rFonts w:ascii="Garamond" w:hAnsi="Garamond"/>
          <w:i/>
          <w:sz w:val="32"/>
          <w:szCs w:val="32"/>
        </w:rPr>
        <w:t>l’attenzione per la legislazio</w:t>
      </w:r>
      <w:r w:rsidR="003F1EC0" w:rsidRPr="003505A6">
        <w:rPr>
          <w:rFonts w:ascii="Garamond" w:hAnsi="Garamond"/>
          <w:i/>
          <w:sz w:val="32"/>
          <w:szCs w:val="32"/>
        </w:rPr>
        <w:t>ne delegata, per lo più rivolta a complessi procedimenti di riforma: ne sono testimoni i 1</w:t>
      </w:r>
      <w:r>
        <w:rPr>
          <w:rFonts w:ascii="Garamond" w:hAnsi="Garamond"/>
          <w:i/>
          <w:sz w:val="32"/>
          <w:szCs w:val="32"/>
        </w:rPr>
        <w:t>3</w:t>
      </w:r>
      <w:r w:rsidR="003F1EC0" w:rsidRPr="003505A6">
        <w:rPr>
          <w:rFonts w:ascii="Garamond" w:hAnsi="Garamond"/>
          <w:i/>
          <w:sz w:val="32"/>
          <w:szCs w:val="32"/>
        </w:rPr>
        <w:t xml:space="preserve"> pareri (su 2</w:t>
      </w:r>
      <w:r>
        <w:rPr>
          <w:rFonts w:ascii="Garamond" w:hAnsi="Garamond"/>
          <w:i/>
          <w:sz w:val="32"/>
          <w:szCs w:val="32"/>
        </w:rPr>
        <w:t>6</w:t>
      </w:r>
      <w:r w:rsidR="003F1EC0" w:rsidRPr="003505A6">
        <w:rPr>
          <w:rFonts w:ascii="Garamond" w:hAnsi="Garamond"/>
          <w:i/>
          <w:sz w:val="32"/>
          <w:szCs w:val="32"/>
        </w:rPr>
        <w:t>) espressi dal Comitato.</w:t>
      </w:r>
    </w:p>
    <w:p w:rsidR="003F1EC0" w:rsidRPr="003505A6" w:rsidRDefault="003F1EC0" w:rsidP="000B3D90">
      <w:pPr>
        <w:spacing w:before="120" w:after="120"/>
        <w:rPr>
          <w:rFonts w:ascii="Garamond" w:hAnsi="Garamond"/>
          <w:i/>
          <w:sz w:val="32"/>
          <w:szCs w:val="32"/>
        </w:rPr>
      </w:pPr>
      <w:r w:rsidRPr="003505A6">
        <w:rPr>
          <w:rFonts w:ascii="Garamond" w:hAnsi="Garamond"/>
          <w:i/>
          <w:sz w:val="32"/>
          <w:szCs w:val="32"/>
        </w:rPr>
        <w:lastRenderedPageBreak/>
        <w:t xml:space="preserve">Restano le </w:t>
      </w:r>
      <w:r w:rsidR="0065354C" w:rsidRPr="003505A6">
        <w:rPr>
          <w:rFonts w:ascii="Garamond" w:hAnsi="Garamond"/>
          <w:i/>
          <w:sz w:val="32"/>
          <w:szCs w:val="32"/>
        </w:rPr>
        <w:t>problematic</w:t>
      </w:r>
      <w:r w:rsidRPr="003505A6">
        <w:rPr>
          <w:rFonts w:ascii="Garamond" w:hAnsi="Garamond"/>
          <w:i/>
          <w:sz w:val="32"/>
          <w:szCs w:val="32"/>
        </w:rPr>
        <w:t xml:space="preserve">ità evidenziate in tutti i rapporti degli ultimi anni, poiché </w:t>
      </w:r>
      <w:r w:rsidR="0065354C" w:rsidRPr="003505A6">
        <w:rPr>
          <w:rFonts w:ascii="Garamond" w:hAnsi="Garamond"/>
          <w:i/>
          <w:sz w:val="32"/>
          <w:szCs w:val="32"/>
        </w:rPr>
        <w:t xml:space="preserve">la produzione normativa resta volatile, stratificata, </w:t>
      </w:r>
      <w:r w:rsidRPr="003505A6">
        <w:rPr>
          <w:rFonts w:ascii="Garamond" w:hAnsi="Garamond"/>
          <w:i/>
          <w:sz w:val="32"/>
          <w:szCs w:val="32"/>
        </w:rPr>
        <w:t>difficile da attuare.</w:t>
      </w:r>
    </w:p>
    <w:p w:rsidR="003F5B9F" w:rsidRDefault="003F1EC0" w:rsidP="003F5B9F">
      <w:pPr>
        <w:spacing w:before="120" w:after="120"/>
        <w:rPr>
          <w:rFonts w:ascii="Garamond" w:hAnsi="Garamond"/>
          <w:i/>
          <w:sz w:val="32"/>
          <w:szCs w:val="32"/>
        </w:rPr>
      </w:pPr>
      <w:r w:rsidRPr="003505A6">
        <w:rPr>
          <w:rFonts w:ascii="Garamond" w:hAnsi="Garamond"/>
          <w:i/>
          <w:sz w:val="32"/>
          <w:szCs w:val="32"/>
        </w:rPr>
        <w:t>I</w:t>
      </w:r>
      <w:r w:rsidR="0065354C" w:rsidRPr="003505A6">
        <w:rPr>
          <w:rFonts w:ascii="Garamond" w:hAnsi="Garamond"/>
          <w:i/>
          <w:sz w:val="32"/>
          <w:szCs w:val="32"/>
        </w:rPr>
        <w:t xml:space="preserve">l Comitato per la legislazione ha </w:t>
      </w:r>
      <w:r w:rsidRPr="003505A6">
        <w:rPr>
          <w:rFonts w:ascii="Garamond" w:hAnsi="Garamond"/>
          <w:i/>
          <w:sz w:val="32"/>
          <w:szCs w:val="32"/>
        </w:rPr>
        <w:t>continuato la propria</w:t>
      </w:r>
      <w:r w:rsidR="0065354C" w:rsidRPr="003505A6">
        <w:rPr>
          <w:rFonts w:ascii="Garamond" w:hAnsi="Garamond"/>
          <w:i/>
          <w:sz w:val="32"/>
          <w:szCs w:val="32"/>
        </w:rPr>
        <w:t xml:space="preserve"> attività</w:t>
      </w:r>
      <w:r w:rsidR="001260A8" w:rsidRPr="003505A6">
        <w:rPr>
          <w:rFonts w:ascii="Garamond" w:hAnsi="Garamond"/>
          <w:i/>
          <w:sz w:val="32"/>
          <w:szCs w:val="32"/>
        </w:rPr>
        <w:t xml:space="preserve">, </w:t>
      </w:r>
      <w:r w:rsidR="003A6DDA">
        <w:rPr>
          <w:rFonts w:ascii="Garamond" w:hAnsi="Garamond"/>
          <w:i/>
          <w:sz w:val="32"/>
          <w:szCs w:val="32"/>
        </w:rPr>
        <w:t xml:space="preserve">intercettando </w:t>
      </w:r>
      <w:r w:rsidR="003F5B9F" w:rsidRPr="003F5B9F">
        <w:rPr>
          <w:rFonts w:ascii="Garamond" w:hAnsi="Garamond"/>
          <w:i/>
          <w:sz w:val="32"/>
          <w:szCs w:val="32"/>
        </w:rPr>
        <w:t xml:space="preserve">la produzione legislativa di maggior rilievo, con poche eccezioni (prima delle quali la legge di stabilità): da un lato, i decreti-legge chiamati ad affrontare talune tra le problematiche attualmente più spinose, dall’altro, i processi riformatori affidati a procedimenti delegati. </w:t>
      </w:r>
    </w:p>
    <w:p w:rsidR="003F5B9F" w:rsidRPr="003F5B9F" w:rsidRDefault="003F5B9F" w:rsidP="003F5B9F">
      <w:pPr>
        <w:spacing w:before="120" w:after="120"/>
        <w:rPr>
          <w:rFonts w:ascii="Garamond" w:hAnsi="Garamond"/>
          <w:i/>
          <w:sz w:val="32"/>
          <w:szCs w:val="32"/>
        </w:rPr>
      </w:pPr>
      <w:r>
        <w:rPr>
          <w:rFonts w:ascii="Garamond" w:hAnsi="Garamond"/>
          <w:i/>
          <w:sz w:val="32"/>
          <w:szCs w:val="32"/>
        </w:rPr>
        <w:t>Il successo dei procedimenti legislativi nei quali il Governo gioca ruoli da protagonista assoluto (decretazione d’urgenza; legislazione delegata; leggi di ratifica) denota le difficoltà di un Parlamento sempre più emendatore piuttosto che legislatore; dà la possibilità al Comitato di pronunciarsi sui progetti di legge più rilevanti; là dove non sia obbligatorio il parere del Comitato, è intervenuta in qualche caso la richiesta proveniente dalle Co</w:t>
      </w:r>
      <w:r w:rsidR="00427773">
        <w:rPr>
          <w:rFonts w:ascii="Garamond" w:hAnsi="Garamond"/>
          <w:i/>
          <w:sz w:val="32"/>
          <w:szCs w:val="32"/>
        </w:rPr>
        <w:t>m</w:t>
      </w:r>
      <w:r>
        <w:rPr>
          <w:rFonts w:ascii="Garamond" w:hAnsi="Garamond"/>
          <w:i/>
          <w:sz w:val="32"/>
          <w:szCs w:val="32"/>
        </w:rPr>
        <w:t>mis</w:t>
      </w:r>
      <w:r w:rsidR="00427773">
        <w:rPr>
          <w:rFonts w:ascii="Garamond" w:hAnsi="Garamond"/>
          <w:i/>
          <w:sz w:val="32"/>
          <w:szCs w:val="32"/>
        </w:rPr>
        <w:t>s</w:t>
      </w:r>
      <w:r>
        <w:rPr>
          <w:rFonts w:ascii="Garamond" w:hAnsi="Garamond"/>
          <w:i/>
          <w:sz w:val="32"/>
          <w:szCs w:val="32"/>
        </w:rPr>
        <w:t>ioni di</w:t>
      </w:r>
      <w:r w:rsidR="00427773">
        <w:rPr>
          <w:rFonts w:ascii="Garamond" w:hAnsi="Garamond"/>
          <w:i/>
          <w:sz w:val="32"/>
          <w:szCs w:val="32"/>
        </w:rPr>
        <w:t xml:space="preserve"> </w:t>
      </w:r>
      <w:r>
        <w:rPr>
          <w:rFonts w:ascii="Garamond" w:hAnsi="Garamond"/>
          <w:i/>
          <w:sz w:val="32"/>
          <w:szCs w:val="32"/>
        </w:rPr>
        <w:t xml:space="preserve">merito, che ha permesso al Comitato di </w:t>
      </w:r>
      <w:r w:rsidR="00427773">
        <w:rPr>
          <w:rFonts w:ascii="Garamond" w:hAnsi="Garamond"/>
          <w:i/>
          <w:sz w:val="32"/>
          <w:szCs w:val="32"/>
        </w:rPr>
        <w:t>esprimere il parere – nei precedenti turni di presidenza – sulla riforma costituzionale e, in questi dieci mesi, su un testo delicato come quello riguardante la disciplina dei partiti politici.</w:t>
      </w:r>
    </w:p>
    <w:p w:rsidR="00456851" w:rsidRPr="003505A6" w:rsidRDefault="006A7014" w:rsidP="003F5B9F">
      <w:pPr>
        <w:spacing w:before="120" w:after="120"/>
        <w:rPr>
          <w:rFonts w:ascii="Garamond" w:hAnsi="Garamond"/>
          <w:i/>
          <w:sz w:val="32"/>
          <w:szCs w:val="32"/>
        </w:rPr>
      </w:pPr>
      <w:r w:rsidRPr="003505A6">
        <w:rPr>
          <w:rFonts w:ascii="Garamond" w:hAnsi="Garamond"/>
          <w:i/>
          <w:sz w:val="32"/>
          <w:szCs w:val="32"/>
        </w:rPr>
        <w:t xml:space="preserve">Al rapporto </w:t>
      </w:r>
      <w:r w:rsidR="00F71A09" w:rsidRPr="003505A6">
        <w:rPr>
          <w:rFonts w:ascii="Garamond" w:hAnsi="Garamond"/>
          <w:i/>
          <w:sz w:val="32"/>
          <w:szCs w:val="32"/>
        </w:rPr>
        <w:t>s</w:t>
      </w:r>
      <w:r w:rsidR="00EE5C7E" w:rsidRPr="003505A6">
        <w:rPr>
          <w:rFonts w:ascii="Garamond" w:hAnsi="Garamond"/>
          <w:i/>
          <w:sz w:val="32"/>
          <w:szCs w:val="32"/>
        </w:rPr>
        <w:t>aran</w:t>
      </w:r>
      <w:r w:rsidR="00F71A09" w:rsidRPr="003505A6">
        <w:rPr>
          <w:rFonts w:ascii="Garamond" w:hAnsi="Garamond"/>
          <w:i/>
          <w:sz w:val="32"/>
          <w:szCs w:val="32"/>
        </w:rPr>
        <w:t>no</w:t>
      </w:r>
      <w:r w:rsidR="00C7574F" w:rsidRPr="003505A6">
        <w:rPr>
          <w:rFonts w:ascii="Garamond" w:hAnsi="Garamond"/>
          <w:i/>
          <w:sz w:val="32"/>
          <w:szCs w:val="32"/>
        </w:rPr>
        <w:t xml:space="preserve"> allegat</w:t>
      </w:r>
      <w:r w:rsidR="00F71A09" w:rsidRPr="003505A6">
        <w:rPr>
          <w:rFonts w:ascii="Garamond" w:hAnsi="Garamond"/>
          <w:i/>
          <w:sz w:val="32"/>
          <w:szCs w:val="32"/>
        </w:rPr>
        <w:t>e</w:t>
      </w:r>
      <w:r w:rsidR="00C7574F" w:rsidRPr="003505A6">
        <w:rPr>
          <w:rFonts w:ascii="Garamond" w:hAnsi="Garamond"/>
          <w:i/>
          <w:sz w:val="32"/>
          <w:szCs w:val="32"/>
        </w:rPr>
        <w:t xml:space="preserve"> </w:t>
      </w:r>
      <w:r w:rsidR="00456851" w:rsidRPr="003505A6">
        <w:rPr>
          <w:rFonts w:ascii="Garamond" w:hAnsi="Garamond"/>
          <w:i/>
          <w:sz w:val="32"/>
          <w:szCs w:val="32"/>
        </w:rPr>
        <w:t>schede analitiche (navigabili al loro interno) ne</w:t>
      </w:r>
      <w:r w:rsidR="001459B9" w:rsidRPr="003505A6">
        <w:rPr>
          <w:rFonts w:ascii="Garamond" w:hAnsi="Garamond"/>
          <w:i/>
          <w:sz w:val="32"/>
          <w:szCs w:val="32"/>
        </w:rPr>
        <w:t>lle</w:t>
      </w:r>
      <w:r w:rsidR="00456851" w:rsidRPr="003505A6">
        <w:rPr>
          <w:rFonts w:ascii="Garamond" w:hAnsi="Garamond"/>
          <w:i/>
          <w:sz w:val="32"/>
          <w:szCs w:val="32"/>
        </w:rPr>
        <w:t xml:space="preserve"> quali si offre una lettura </w:t>
      </w:r>
      <w:r w:rsidR="001459B9" w:rsidRPr="003505A6">
        <w:rPr>
          <w:rFonts w:ascii="Garamond" w:hAnsi="Garamond"/>
          <w:i/>
          <w:sz w:val="32"/>
          <w:szCs w:val="32"/>
        </w:rPr>
        <w:t xml:space="preserve">circostanziata </w:t>
      </w:r>
      <w:r w:rsidR="00456851" w:rsidRPr="003505A6">
        <w:rPr>
          <w:rFonts w:ascii="Garamond" w:hAnsi="Garamond"/>
          <w:i/>
          <w:sz w:val="32"/>
          <w:szCs w:val="32"/>
        </w:rPr>
        <w:t>dei pareri espressi dal Comitato.</w:t>
      </w:r>
    </w:p>
    <w:p w:rsidR="0003257F" w:rsidRPr="003505A6" w:rsidRDefault="0003257F" w:rsidP="00456851">
      <w:pPr>
        <w:rPr>
          <w:rFonts w:ascii="Garamond" w:hAnsi="Garamond"/>
          <w:i/>
          <w:sz w:val="32"/>
          <w:szCs w:val="32"/>
        </w:rPr>
      </w:pPr>
    </w:p>
    <w:p w:rsidR="0003257F" w:rsidRPr="003505A6" w:rsidRDefault="0003257F" w:rsidP="00456851">
      <w:pPr>
        <w:rPr>
          <w:rFonts w:ascii="Garamond" w:hAnsi="Garamond"/>
          <w:i/>
          <w:sz w:val="32"/>
          <w:szCs w:val="32"/>
        </w:rPr>
      </w:pPr>
    </w:p>
    <w:p w:rsidR="00427773" w:rsidRDefault="00427773">
      <w:pPr>
        <w:spacing w:line="240" w:lineRule="auto"/>
        <w:ind w:firstLine="0"/>
        <w:jc w:val="left"/>
        <w:rPr>
          <w:rFonts w:ascii="Garamond" w:hAnsi="Garamond"/>
          <w:i/>
          <w:sz w:val="32"/>
          <w:szCs w:val="32"/>
        </w:rPr>
      </w:pPr>
      <w:r>
        <w:rPr>
          <w:rFonts w:ascii="Garamond" w:hAnsi="Garamond"/>
          <w:i/>
          <w:sz w:val="32"/>
          <w:szCs w:val="32"/>
        </w:rPr>
        <w:br w:type="page"/>
      </w:r>
    </w:p>
    <w:p w:rsidR="00F5409F" w:rsidRPr="003505A6" w:rsidRDefault="00F5409F" w:rsidP="00456851">
      <w:pPr>
        <w:spacing w:after="120"/>
        <w:rPr>
          <w:rFonts w:ascii="Garamond" w:hAnsi="Garamond"/>
          <w:i/>
          <w:sz w:val="32"/>
          <w:szCs w:val="32"/>
        </w:rPr>
        <w:sectPr w:rsidR="00F5409F" w:rsidRPr="003505A6" w:rsidSect="002E43DF">
          <w:type w:val="oddPage"/>
          <w:pgSz w:w="11906" w:h="16838" w:code="9"/>
          <w:pgMar w:top="1985" w:right="1985" w:bottom="1985" w:left="1985" w:header="1134" w:footer="1134" w:gutter="0"/>
          <w:pgNumType w:start="1"/>
          <w:cols w:space="720"/>
          <w:formProt w:val="0"/>
        </w:sectPr>
      </w:pPr>
    </w:p>
    <w:p w:rsidR="00AB0849" w:rsidRPr="003505A6" w:rsidRDefault="00AB0849" w:rsidP="00D13E46">
      <w:pPr>
        <w:pStyle w:val="Titolo1"/>
        <w:spacing w:before="360"/>
        <w:rPr>
          <w:rFonts w:ascii="Garamond" w:hAnsi="Garamond"/>
          <w:i/>
          <w:color w:val="0000FF"/>
          <w:sz w:val="44"/>
          <w:szCs w:val="44"/>
        </w:rPr>
      </w:pPr>
      <w:bookmarkStart w:id="6" w:name="_Toc337653462"/>
      <w:bookmarkStart w:id="7" w:name="_Toc342035919"/>
      <w:bookmarkStart w:id="8" w:name="_Toc458677957"/>
      <w:r w:rsidRPr="003505A6">
        <w:rPr>
          <w:rFonts w:ascii="Garamond" w:hAnsi="Garamond"/>
          <w:i/>
          <w:color w:val="0000FF"/>
          <w:sz w:val="44"/>
          <w:szCs w:val="44"/>
        </w:rPr>
        <w:lastRenderedPageBreak/>
        <w:t>I.</w:t>
      </w:r>
      <w:r w:rsidRPr="003505A6">
        <w:rPr>
          <w:rFonts w:ascii="Garamond" w:hAnsi="Garamond"/>
          <w:i/>
          <w:color w:val="0000FF"/>
          <w:sz w:val="44"/>
          <w:szCs w:val="44"/>
        </w:rPr>
        <w:br/>
      </w:r>
      <w:r w:rsidRPr="003F5B9F">
        <w:rPr>
          <w:rFonts w:ascii="Garamond" w:hAnsi="Garamond"/>
          <w:i/>
          <w:color w:val="0000FF"/>
          <w:sz w:val="44"/>
          <w:szCs w:val="44"/>
        </w:rPr>
        <w:t>PUBBLICAZIONI ED EVENTI</w:t>
      </w:r>
      <w:bookmarkEnd w:id="6"/>
      <w:bookmarkEnd w:id="7"/>
      <w:bookmarkEnd w:id="8"/>
    </w:p>
    <w:p w:rsidR="00827CAB" w:rsidRPr="003505A6" w:rsidRDefault="00827CAB" w:rsidP="001416F6">
      <w:pPr>
        <w:ind w:firstLine="0"/>
        <w:rPr>
          <w:rFonts w:ascii="Garamond" w:hAnsi="Garamond"/>
          <w:b/>
          <w:i/>
          <w:color w:val="0000FF"/>
          <w:sz w:val="40"/>
          <w:szCs w:val="40"/>
        </w:rPr>
      </w:pPr>
    </w:p>
    <w:p w:rsidR="00AB0849" w:rsidRPr="003505A6" w:rsidRDefault="00146171" w:rsidP="00126454">
      <w:pPr>
        <w:pStyle w:val="Titolo2"/>
        <w:rPr>
          <w:rFonts w:ascii="Garamond" w:hAnsi="Garamond"/>
          <w:i/>
          <w:color w:val="0000FF"/>
          <w:sz w:val="40"/>
          <w:szCs w:val="40"/>
        </w:rPr>
      </w:pPr>
      <w:bookmarkStart w:id="9" w:name="_Toc337653464"/>
      <w:bookmarkStart w:id="10" w:name="_Toc342035921"/>
      <w:bookmarkStart w:id="11" w:name="_Toc458677958"/>
      <w:r w:rsidRPr="00A60753">
        <w:rPr>
          <w:rFonts w:ascii="Garamond" w:hAnsi="Garamond"/>
          <w:i/>
          <w:color w:val="0000FF"/>
          <w:sz w:val="40"/>
          <w:szCs w:val="40"/>
        </w:rPr>
        <w:t>1.</w:t>
      </w:r>
      <w:r w:rsidR="00A60753" w:rsidRPr="00A60753">
        <w:rPr>
          <w:rFonts w:ascii="Garamond" w:hAnsi="Garamond"/>
          <w:i/>
          <w:color w:val="0000FF"/>
          <w:sz w:val="40"/>
          <w:szCs w:val="40"/>
        </w:rPr>
        <w:t>1</w:t>
      </w:r>
      <w:r w:rsidR="00AB0849" w:rsidRPr="00A60753">
        <w:rPr>
          <w:rFonts w:ascii="Garamond" w:hAnsi="Garamond"/>
          <w:i/>
          <w:color w:val="0000FF"/>
          <w:sz w:val="40"/>
          <w:szCs w:val="40"/>
        </w:rPr>
        <w:t>. Gli Appunti del Comitato</w:t>
      </w:r>
      <w:bookmarkEnd w:id="9"/>
      <w:bookmarkEnd w:id="10"/>
      <w:bookmarkEnd w:id="11"/>
    </w:p>
    <w:p w:rsidR="009D0420" w:rsidRPr="003505A6" w:rsidRDefault="00754715" w:rsidP="00040C11">
      <w:pPr>
        <w:autoSpaceDE w:val="0"/>
        <w:autoSpaceDN w:val="0"/>
        <w:adjustRightInd w:val="0"/>
        <w:rPr>
          <w:rFonts w:ascii="Garamond" w:hAnsi="Garamond"/>
          <w:sz w:val="32"/>
          <w:szCs w:val="32"/>
        </w:rPr>
      </w:pPr>
      <w:r w:rsidRPr="003505A6">
        <w:rPr>
          <w:rFonts w:ascii="Garamond" w:hAnsi="Garamond"/>
          <w:sz w:val="32"/>
          <w:szCs w:val="32"/>
        </w:rPr>
        <w:t xml:space="preserve">Nei dieci mesi di riferimento sono stati pubblicati </w:t>
      </w:r>
      <w:r w:rsidR="009D0420" w:rsidRPr="003505A6">
        <w:rPr>
          <w:rFonts w:ascii="Garamond" w:hAnsi="Garamond"/>
          <w:sz w:val="32"/>
          <w:szCs w:val="32"/>
        </w:rPr>
        <w:t>tre</w:t>
      </w:r>
      <w:r w:rsidRPr="003505A6">
        <w:rPr>
          <w:rFonts w:ascii="Garamond" w:hAnsi="Garamond"/>
          <w:sz w:val="32"/>
          <w:szCs w:val="32"/>
        </w:rPr>
        <w:t xml:space="preserve"> fascicol</w:t>
      </w:r>
      <w:r w:rsidR="009D0420" w:rsidRPr="003505A6">
        <w:rPr>
          <w:rFonts w:ascii="Garamond" w:hAnsi="Garamond"/>
          <w:sz w:val="32"/>
          <w:szCs w:val="32"/>
        </w:rPr>
        <w:t>i</w:t>
      </w:r>
      <w:r w:rsidRPr="003505A6">
        <w:rPr>
          <w:rFonts w:ascii="Garamond" w:hAnsi="Garamond"/>
          <w:sz w:val="32"/>
          <w:szCs w:val="32"/>
        </w:rPr>
        <w:t xml:space="preserve"> della collana “Appunti del Comitato per la legislazione”, promossa dal Comitato fin dal 2004 in funzione di un aggiornamento periodico sull’attività normativa</w:t>
      </w:r>
      <w:r w:rsidR="009D0420" w:rsidRPr="003505A6">
        <w:rPr>
          <w:rFonts w:ascii="Garamond" w:hAnsi="Garamond"/>
          <w:sz w:val="32"/>
          <w:szCs w:val="32"/>
        </w:rPr>
        <w:t>:</w:t>
      </w:r>
    </w:p>
    <w:p w:rsidR="001715FD" w:rsidRPr="003505A6" w:rsidRDefault="0077331C" w:rsidP="00040C11">
      <w:pPr>
        <w:autoSpaceDE w:val="0"/>
        <w:autoSpaceDN w:val="0"/>
        <w:adjustRightInd w:val="0"/>
        <w:rPr>
          <w:rFonts w:ascii="Garamond" w:hAnsi="Garamond"/>
          <w:sz w:val="32"/>
          <w:szCs w:val="32"/>
        </w:rPr>
      </w:pPr>
      <w:r w:rsidRPr="003505A6">
        <w:rPr>
          <w:rFonts w:ascii="Garamond" w:hAnsi="Garamond"/>
          <w:sz w:val="32"/>
          <w:szCs w:val="32"/>
        </w:rPr>
        <w:t xml:space="preserve">▪ </w:t>
      </w:r>
      <w:r w:rsidR="009D0420" w:rsidRPr="003505A6">
        <w:rPr>
          <w:rFonts w:ascii="Garamond" w:hAnsi="Garamond"/>
          <w:sz w:val="32"/>
          <w:szCs w:val="32"/>
        </w:rPr>
        <w:t xml:space="preserve">il </w:t>
      </w:r>
      <w:r w:rsidR="00036A30">
        <w:rPr>
          <w:rFonts w:ascii="Garamond" w:hAnsi="Garamond"/>
          <w:sz w:val="32"/>
          <w:szCs w:val="32"/>
        </w:rPr>
        <w:t>settimo</w:t>
      </w:r>
      <w:r w:rsidR="009D0420" w:rsidRPr="003505A6">
        <w:rPr>
          <w:rFonts w:ascii="Garamond" w:hAnsi="Garamond"/>
          <w:sz w:val="32"/>
          <w:szCs w:val="32"/>
        </w:rPr>
        <w:t xml:space="preserve"> fascicolo ha puntato l’attenzione </w:t>
      </w:r>
      <w:r w:rsidR="00036A30">
        <w:rPr>
          <w:rFonts w:ascii="Garamond" w:hAnsi="Garamond"/>
          <w:sz w:val="32"/>
          <w:szCs w:val="32"/>
        </w:rPr>
        <w:t>sull</w:t>
      </w:r>
      <w:r w:rsidR="00036A30" w:rsidRPr="00036A30">
        <w:rPr>
          <w:rFonts w:ascii="Garamond" w:hAnsi="Garamond"/>
          <w:sz w:val="32"/>
          <w:szCs w:val="32"/>
        </w:rPr>
        <w:t>'attuazione del diritto europeo a tre anni dalla legge 234/2012</w:t>
      </w:r>
      <w:r w:rsidR="009D0420" w:rsidRPr="003505A6">
        <w:rPr>
          <w:rFonts w:ascii="Garamond" w:hAnsi="Garamond"/>
          <w:sz w:val="32"/>
          <w:szCs w:val="32"/>
        </w:rPr>
        <w:t>;</w:t>
      </w:r>
      <w:r w:rsidR="00754715" w:rsidRPr="003505A6">
        <w:rPr>
          <w:rFonts w:ascii="Garamond" w:hAnsi="Garamond"/>
          <w:sz w:val="32"/>
          <w:szCs w:val="32"/>
        </w:rPr>
        <w:t xml:space="preserve"> </w:t>
      </w:r>
    </w:p>
    <w:p w:rsidR="00754715" w:rsidRPr="003505A6" w:rsidRDefault="0077331C" w:rsidP="00040C11">
      <w:pPr>
        <w:autoSpaceDE w:val="0"/>
        <w:autoSpaceDN w:val="0"/>
        <w:adjustRightInd w:val="0"/>
        <w:rPr>
          <w:rFonts w:ascii="Garamond" w:hAnsi="Garamond"/>
          <w:sz w:val="32"/>
          <w:szCs w:val="32"/>
        </w:rPr>
      </w:pPr>
      <w:r w:rsidRPr="003505A6">
        <w:rPr>
          <w:rFonts w:ascii="Garamond" w:hAnsi="Garamond"/>
          <w:sz w:val="32"/>
          <w:szCs w:val="32"/>
        </w:rPr>
        <w:t xml:space="preserve">▪ </w:t>
      </w:r>
      <w:r w:rsidR="00036A30">
        <w:rPr>
          <w:rFonts w:ascii="Garamond" w:hAnsi="Garamond"/>
          <w:sz w:val="32"/>
          <w:szCs w:val="32"/>
        </w:rPr>
        <w:t>l’ottavo</w:t>
      </w:r>
      <w:r w:rsidR="00754715" w:rsidRPr="003505A6">
        <w:rPr>
          <w:rFonts w:ascii="Garamond" w:hAnsi="Garamond"/>
          <w:sz w:val="32"/>
          <w:szCs w:val="32"/>
        </w:rPr>
        <w:t xml:space="preserve"> fascicolo ha </w:t>
      </w:r>
      <w:r w:rsidR="00036A30">
        <w:rPr>
          <w:rFonts w:ascii="Garamond" w:hAnsi="Garamond"/>
          <w:sz w:val="32"/>
          <w:szCs w:val="32"/>
        </w:rPr>
        <w:t>analizzato in dettaglio l</w:t>
      </w:r>
      <w:r w:rsidR="00036A30" w:rsidRPr="00036A30">
        <w:rPr>
          <w:rFonts w:ascii="Garamond" w:hAnsi="Garamond"/>
          <w:sz w:val="32"/>
          <w:szCs w:val="32"/>
        </w:rPr>
        <w:t>a legge di stabilità 2016</w:t>
      </w:r>
      <w:r w:rsidR="00036A30">
        <w:rPr>
          <w:rFonts w:ascii="Garamond" w:hAnsi="Garamond"/>
          <w:sz w:val="32"/>
          <w:szCs w:val="32"/>
        </w:rPr>
        <w:t>;</w:t>
      </w:r>
    </w:p>
    <w:p w:rsidR="00754715" w:rsidRPr="003505A6" w:rsidRDefault="0077331C" w:rsidP="00040C11">
      <w:pPr>
        <w:autoSpaceDE w:val="0"/>
        <w:autoSpaceDN w:val="0"/>
        <w:adjustRightInd w:val="0"/>
        <w:rPr>
          <w:rFonts w:ascii="Garamond" w:hAnsi="Garamond"/>
          <w:sz w:val="32"/>
          <w:szCs w:val="32"/>
        </w:rPr>
      </w:pPr>
      <w:r w:rsidRPr="003505A6">
        <w:rPr>
          <w:rFonts w:ascii="Garamond" w:hAnsi="Garamond"/>
          <w:sz w:val="32"/>
          <w:szCs w:val="32"/>
        </w:rPr>
        <w:t xml:space="preserve">▪ </w:t>
      </w:r>
      <w:r w:rsidR="00B64AA2" w:rsidRPr="003505A6">
        <w:rPr>
          <w:rFonts w:ascii="Garamond" w:hAnsi="Garamond"/>
          <w:sz w:val="32"/>
          <w:szCs w:val="32"/>
        </w:rPr>
        <w:t>i</w:t>
      </w:r>
      <w:r w:rsidR="00754715" w:rsidRPr="003505A6">
        <w:rPr>
          <w:rFonts w:ascii="Garamond" w:hAnsi="Garamond"/>
          <w:sz w:val="32"/>
          <w:szCs w:val="32"/>
        </w:rPr>
        <w:t xml:space="preserve">l </w:t>
      </w:r>
      <w:r w:rsidR="00036A30">
        <w:rPr>
          <w:rFonts w:ascii="Garamond" w:hAnsi="Garamond"/>
          <w:sz w:val="32"/>
          <w:szCs w:val="32"/>
        </w:rPr>
        <w:t>nono fascicolo reca una disam</w:t>
      </w:r>
      <w:r w:rsidR="00DD690B">
        <w:rPr>
          <w:rFonts w:ascii="Garamond" w:hAnsi="Garamond"/>
          <w:sz w:val="32"/>
          <w:szCs w:val="32"/>
        </w:rPr>
        <w:t>in</w:t>
      </w:r>
      <w:r w:rsidR="00036A30">
        <w:rPr>
          <w:rFonts w:ascii="Garamond" w:hAnsi="Garamond"/>
          <w:sz w:val="32"/>
          <w:szCs w:val="32"/>
        </w:rPr>
        <w:t xml:space="preserve">a </w:t>
      </w:r>
      <w:r w:rsidR="00DD690B">
        <w:rPr>
          <w:rFonts w:ascii="Garamond" w:hAnsi="Garamond"/>
          <w:sz w:val="32"/>
          <w:szCs w:val="32"/>
        </w:rPr>
        <w:t>de</w:t>
      </w:r>
      <w:r w:rsidR="00036A30">
        <w:rPr>
          <w:rFonts w:ascii="Garamond" w:hAnsi="Garamond"/>
          <w:sz w:val="32"/>
          <w:szCs w:val="32"/>
        </w:rPr>
        <w:t>i</w:t>
      </w:r>
      <w:r w:rsidR="00036A30" w:rsidRPr="00036A30">
        <w:rPr>
          <w:rFonts w:ascii="Garamond" w:hAnsi="Garamond"/>
          <w:sz w:val="32"/>
          <w:szCs w:val="32"/>
        </w:rPr>
        <w:t xml:space="preserve"> decreti del presidente del Consiglio dei ministri emanati nel biennio 2014-2015</w:t>
      </w:r>
      <w:r w:rsidR="00754715" w:rsidRPr="003505A6">
        <w:rPr>
          <w:rFonts w:ascii="Garamond" w:hAnsi="Garamond"/>
          <w:sz w:val="32"/>
          <w:szCs w:val="32"/>
        </w:rPr>
        <w:t>.</w:t>
      </w:r>
    </w:p>
    <w:p w:rsidR="00D82CF1" w:rsidRPr="003505A6" w:rsidRDefault="00D82CF1" w:rsidP="00040C11">
      <w:pPr>
        <w:autoSpaceDE w:val="0"/>
        <w:autoSpaceDN w:val="0"/>
        <w:adjustRightInd w:val="0"/>
        <w:rPr>
          <w:rFonts w:ascii="Garamond" w:hAnsi="Garamond"/>
          <w:sz w:val="32"/>
          <w:szCs w:val="32"/>
        </w:rPr>
      </w:pPr>
    </w:p>
    <w:p w:rsidR="00AB0849" w:rsidRPr="003505A6" w:rsidRDefault="00AB0849" w:rsidP="00126454">
      <w:pPr>
        <w:pStyle w:val="Titolo2"/>
        <w:rPr>
          <w:rFonts w:ascii="Garamond" w:hAnsi="Garamond"/>
          <w:i/>
          <w:color w:val="0000FF"/>
          <w:sz w:val="40"/>
          <w:szCs w:val="40"/>
        </w:rPr>
      </w:pPr>
      <w:bookmarkStart w:id="12" w:name="_Toc337653465"/>
      <w:bookmarkStart w:id="13" w:name="_Toc342035922"/>
      <w:bookmarkStart w:id="14" w:name="_Toc458677959"/>
      <w:r w:rsidRPr="00A60753">
        <w:rPr>
          <w:rFonts w:ascii="Garamond" w:hAnsi="Garamond"/>
          <w:i/>
          <w:color w:val="0000FF"/>
          <w:sz w:val="40"/>
          <w:szCs w:val="40"/>
        </w:rPr>
        <w:t>1.</w:t>
      </w:r>
      <w:r w:rsidR="00A60753" w:rsidRPr="00A60753">
        <w:rPr>
          <w:rFonts w:ascii="Garamond" w:hAnsi="Garamond"/>
          <w:i/>
          <w:color w:val="0000FF"/>
          <w:sz w:val="40"/>
          <w:szCs w:val="40"/>
        </w:rPr>
        <w:t>2</w:t>
      </w:r>
      <w:r w:rsidRPr="00A60753">
        <w:rPr>
          <w:rFonts w:ascii="Garamond" w:hAnsi="Garamond"/>
          <w:i/>
          <w:color w:val="0000FF"/>
          <w:sz w:val="40"/>
          <w:szCs w:val="40"/>
        </w:rPr>
        <w:t>. Il sito internet</w:t>
      </w:r>
      <w:bookmarkEnd w:id="12"/>
      <w:bookmarkEnd w:id="13"/>
      <w:bookmarkEnd w:id="14"/>
    </w:p>
    <w:p w:rsidR="00AB0849" w:rsidRPr="003505A6" w:rsidRDefault="00AB0849" w:rsidP="00040C11">
      <w:pPr>
        <w:autoSpaceDE w:val="0"/>
        <w:autoSpaceDN w:val="0"/>
        <w:adjustRightInd w:val="0"/>
        <w:rPr>
          <w:rFonts w:ascii="Garamond" w:hAnsi="Garamond"/>
          <w:sz w:val="32"/>
          <w:szCs w:val="32"/>
        </w:rPr>
      </w:pPr>
      <w:r w:rsidRPr="003505A6">
        <w:rPr>
          <w:rFonts w:ascii="Garamond" w:hAnsi="Garamond"/>
          <w:sz w:val="32"/>
          <w:szCs w:val="32"/>
        </w:rPr>
        <w:t xml:space="preserve">I contenuti delle pagine dedicate al Comitato nel sito della Camera sono oggetto di costante aggiornamento. Sul sito sono disponibili, per ciascuna legislatura, la composizione del Comitato, l’ordine del giorno, i resoconti sommari delle sedute, i resoconti stenografici delle audizioni, i testi integrali dei Rapporti sulla legislazione, i rapporti sull’attività svolta dal Comitato, gli atti delle iniziative promosse e, tramite un </w:t>
      </w:r>
      <w:r w:rsidRPr="003505A6">
        <w:rPr>
          <w:rFonts w:ascii="Garamond" w:hAnsi="Garamond"/>
          <w:i/>
          <w:sz w:val="32"/>
          <w:szCs w:val="32"/>
        </w:rPr>
        <w:t>link</w:t>
      </w:r>
      <w:r w:rsidRPr="003505A6">
        <w:rPr>
          <w:rFonts w:ascii="Garamond" w:hAnsi="Garamond"/>
          <w:sz w:val="32"/>
          <w:szCs w:val="32"/>
        </w:rPr>
        <w:t xml:space="preserve"> alle pagine dell’Osservatorio sulla legislazione, i materiali di documentazione</w:t>
      </w:r>
      <w:r w:rsidR="003A53B9" w:rsidRPr="003505A6">
        <w:rPr>
          <w:rFonts w:ascii="Garamond" w:hAnsi="Garamond"/>
          <w:sz w:val="32"/>
          <w:szCs w:val="32"/>
        </w:rPr>
        <w:t xml:space="preserve"> e gli “Appunti del Comitato”.</w:t>
      </w:r>
    </w:p>
    <w:p w:rsidR="000159AE" w:rsidRPr="003505A6" w:rsidRDefault="000159AE" w:rsidP="00040C11">
      <w:pPr>
        <w:autoSpaceDE w:val="0"/>
        <w:autoSpaceDN w:val="0"/>
        <w:adjustRightInd w:val="0"/>
        <w:rPr>
          <w:rFonts w:ascii="Garamond" w:hAnsi="Garamond"/>
          <w:sz w:val="32"/>
          <w:szCs w:val="32"/>
        </w:rPr>
      </w:pPr>
    </w:p>
    <w:p w:rsidR="000159AE" w:rsidRPr="003505A6" w:rsidRDefault="000159AE" w:rsidP="000D03BE">
      <w:pPr>
        <w:autoSpaceDE w:val="0"/>
        <w:autoSpaceDN w:val="0"/>
        <w:adjustRightInd w:val="0"/>
        <w:rPr>
          <w:rFonts w:ascii="Garamond" w:hAnsi="Garamond"/>
          <w:sz w:val="32"/>
          <w:szCs w:val="32"/>
        </w:rPr>
      </w:pPr>
    </w:p>
    <w:p w:rsidR="00670EB5" w:rsidRPr="003505A6" w:rsidRDefault="00670EB5" w:rsidP="00670EB5">
      <w:pPr>
        <w:pStyle w:val="Titolo1"/>
        <w:rPr>
          <w:rFonts w:ascii="Garamond" w:hAnsi="Garamond"/>
          <w:i/>
          <w:color w:val="0000FF"/>
          <w:sz w:val="44"/>
          <w:szCs w:val="44"/>
        </w:rPr>
      </w:pPr>
      <w:bookmarkStart w:id="15" w:name="_Toc337653466"/>
      <w:bookmarkStart w:id="16" w:name="_Toc342035923"/>
      <w:bookmarkStart w:id="17" w:name="_Toc458677960"/>
      <w:r w:rsidRPr="003505A6">
        <w:rPr>
          <w:rFonts w:ascii="Garamond" w:hAnsi="Garamond"/>
          <w:i/>
          <w:color w:val="0000FF"/>
          <w:sz w:val="44"/>
          <w:szCs w:val="44"/>
        </w:rPr>
        <w:t>II.</w:t>
      </w:r>
      <w:r w:rsidRPr="003505A6">
        <w:rPr>
          <w:rFonts w:ascii="Garamond" w:hAnsi="Garamond"/>
          <w:i/>
          <w:color w:val="0000FF"/>
          <w:sz w:val="44"/>
          <w:szCs w:val="44"/>
        </w:rPr>
        <w:br/>
        <w:t>L’ATTIVAZIONE DEL COMITATO</w:t>
      </w:r>
      <w:bookmarkEnd w:id="15"/>
      <w:bookmarkEnd w:id="16"/>
      <w:bookmarkEnd w:id="17"/>
    </w:p>
    <w:p w:rsidR="0069390B" w:rsidRPr="00D369CE" w:rsidRDefault="003005AB" w:rsidP="009C4326">
      <w:pPr>
        <w:rPr>
          <w:rFonts w:ascii="Garamond" w:hAnsi="Garamond"/>
          <w:b/>
          <w:sz w:val="32"/>
          <w:szCs w:val="32"/>
        </w:rPr>
      </w:pPr>
      <w:r w:rsidRPr="00D369CE">
        <w:rPr>
          <w:rFonts w:ascii="Garamond" w:hAnsi="Garamond"/>
          <w:sz w:val="32"/>
          <w:szCs w:val="32"/>
        </w:rPr>
        <w:t xml:space="preserve">Nel </w:t>
      </w:r>
      <w:r w:rsidR="00A60753" w:rsidRPr="00D369CE">
        <w:rPr>
          <w:rFonts w:ascii="Garamond" w:hAnsi="Garamond"/>
          <w:sz w:val="32"/>
          <w:szCs w:val="32"/>
        </w:rPr>
        <w:t>quart</w:t>
      </w:r>
      <w:r w:rsidRPr="00D369CE">
        <w:rPr>
          <w:rFonts w:ascii="Garamond" w:hAnsi="Garamond"/>
          <w:sz w:val="32"/>
          <w:szCs w:val="32"/>
        </w:rPr>
        <w:t>o</w:t>
      </w:r>
      <w:r w:rsidR="002C6CEF" w:rsidRPr="00D369CE">
        <w:rPr>
          <w:rFonts w:ascii="Garamond" w:hAnsi="Garamond"/>
          <w:sz w:val="32"/>
          <w:szCs w:val="32"/>
        </w:rPr>
        <w:t xml:space="preserve"> turno di presidenza il Comitato si è riunito </w:t>
      </w:r>
      <w:r w:rsidR="00D12E38" w:rsidRPr="00D369CE">
        <w:rPr>
          <w:rFonts w:ascii="Garamond" w:hAnsi="Garamond"/>
          <w:b/>
          <w:bCs/>
          <w:color w:val="800000"/>
          <w:sz w:val="32"/>
          <w:szCs w:val="32"/>
        </w:rPr>
        <w:t>20</w:t>
      </w:r>
      <w:r w:rsidR="00670EB5" w:rsidRPr="00D369CE">
        <w:rPr>
          <w:rStyle w:val="StileGrassetto"/>
          <w:rFonts w:ascii="Garamond" w:hAnsi="Garamond"/>
          <w:sz w:val="32"/>
          <w:szCs w:val="32"/>
        </w:rPr>
        <w:t xml:space="preserve"> </w:t>
      </w:r>
      <w:r w:rsidR="002C6CEF" w:rsidRPr="00D369CE">
        <w:rPr>
          <w:rStyle w:val="StileGrassetto"/>
          <w:rFonts w:ascii="Garamond" w:hAnsi="Garamond"/>
          <w:b w:val="0"/>
          <w:sz w:val="32"/>
          <w:szCs w:val="32"/>
        </w:rPr>
        <w:t>volte, esprimendo</w:t>
      </w:r>
      <w:r w:rsidR="00A227D4" w:rsidRPr="00D369CE">
        <w:rPr>
          <w:rStyle w:val="StileGrassetto"/>
          <w:rFonts w:ascii="Garamond" w:hAnsi="Garamond"/>
          <w:b w:val="0"/>
          <w:sz w:val="32"/>
          <w:szCs w:val="32"/>
        </w:rPr>
        <w:t xml:space="preserve"> </w:t>
      </w:r>
      <w:r w:rsidR="00D35136" w:rsidRPr="00D369CE">
        <w:rPr>
          <w:rStyle w:val="StileGrassetto"/>
          <w:rFonts w:ascii="Garamond" w:hAnsi="Garamond"/>
          <w:color w:val="800000"/>
          <w:sz w:val="32"/>
          <w:szCs w:val="32"/>
        </w:rPr>
        <w:t>2</w:t>
      </w:r>
      <w:r w:rsidR="00D12E38" w:rsidRPr="00D369CE">
        <w:rPr>
          <w:rStyle w:val="StileGrassetto"/>
          <w:rFonts w:ascii="Garamond" w:hAnsi="Garamond"/>
          <w:color w:val="800000"/>
          <w:sz w:val="32"/>
          <w:szCs w:val="32"/>
        </w:rPr>
        <w:t>6</w:t>
      </w:r>
      <w:r w:rsidR="00670EB5" w:rsidRPr="00D369CE">
        <w:rPr>
          <w:rStyle w:val="StileGrassetto"/>
          <w:rFonts w:ascii="Garamond" w:hAnsi="Garamond"/>
          <w:b w:val="0"/>
          <w:sz w:val="32"/>
          <w:szCs w:val="32"/>
        </w:rPr>
        <w:t xml:space="preserve"> pareri</w:t>
      </w:r>
      <w:r w:rsidR="00670EB5" w:rsidRPr="00D369CE">
        <w:rPr>
          <w:rFonts w:ascii="Garamond" w:hAnsi="Garamond"/>
          <w:b/>
          <w:sz w:val="32"/>
          <w:szCs w:val="32"/>
        </w:rPr>
        <w:t xml:space="preserve"> </w:t>
      </w:r>
      <w:r w:rsidR="00670EB5" w:rsidRPr="00D369CE">
        <w:rPr>
          <w:rFonts w:ascii="Garamond" w:hAnsi="Garamond"/>
          <w:sz w:val="32"/>
          <w:szCs w:val="32"/>
        </w:rPr>
        <w:t>su</w:t>
      </w:r>
      <w:r w:rsidR="00670EB5" w:rsidRPr="00D369CE">
        <w:rPr>
          <w:rFonts w:ascii="Garamond" w:hAnsi="Garamond"/>
          <w:b/>
          <w:sz w:val="32"/>
          <w:szCs w:val="32"/>
        </w:rPr>
        <w:t xml:space="preserve"> </w:t>
      </w:r>
      <w:r w:rsidR="00D35136" w:rsidRPr="00D369CE">
        <w:rPr>
          <w:rFonts w:ascii="Garamond" w:hAnsi="Garamond"/>
          <w:b/>
          <w:color w:val="800000"/>
          <w:sz w:val="32"/>
          <w:szCs w:val="32"/>
        </w:rPr>
        <w:t>2</w:t>
      </w:r>
      <w:r w:rsidR="00E61845" w:rsidRPr="00D369CE">
        <w:rPr>
          <w:rFonts w:ascii="Garamond" w:hAnsi="Garamond"/>
          <w:b/>
          <w:color w:val="800000"/>
          <w:sz w:val="32"/>
          <w:szCs w:val="32"/>
        </w:rPr>
        <w:t>6</w:t>
      </w:r>
      <w:r w:rsidR="00F1489A" w:rsidRPr="00D369CE">
        <w:rPr>
          <w:rFonts w:ascii="Garamond" w:hAnsi="Garamond"/>
          <w:b/>
          <w:sz w:val="32"/>
          <w:szCs w:val="32"/>
        </w:rPr>
        <w:t xml:space="preserve"> </w:t>
      </w:r>
      <w:r w:rsidR="00670EB5" w:rsidRPr="00D369CE">
        <w:rPr>
          <w:rFonts w:ascii="Garamond" w:hAnsi="Garamond"/>
          <w:sz w:val="32"/>
          <w:szCs w:val="32"/>
        </w:rPr>
        <w:t>provvedimenti normativi</w:t>
      </w:r>
      <w:r w:rsidR="00465684" w:rsidRPr="00D369CE">
        <w:rPr>
          <w:rFonts w:ascii="Garamond" w:hAnsi="Garamond"/>
          <w:sz w:val="32"/>
          <w:szCs w:val="32"/>
        </w:rPr>
        <w:t xml:space="preserve">, tutti rimessi al suo esame d’ufficio, con la rilevante eccezione del </w:t>
      </w:r>
      <w:r w:rsidR="00D12E38" w:rsidRPr="00D369CE">
        <w:rPr>
          <w:rFonts w:ascii="Garamond" w:hAnsi="Garamond"/>
          <w:sz w:val="32"/>
          <w:szCs w:val="32"/>
        </w:rPr>
        <w:t>progetto</w:t>
      </w:r>
      <w:r w:rsidR="00465684" w:rsidRPr="00D369CE">
        <w:rPr>
          <w:rFonts w:ascii="Garamond" w:hAnsi="Garamond"/>
          <w:sz w:val="32"/>
          <w:szCs w:val="32"/>
        </w:rPr>
        <w:t xml:space="preserve"> di legge </w:t>
      </w:r>
      <w:r w:rsidR="00D12E38" w:rsidRPr="00D369CE">
        <w:rPr>
          <w:rFonts w:ascii="Garamond" w:hAnsi="Garamond"/>
          <w:sz w:val="32"/>
          <w:szCs w:val="32"/>
        </w:rPr>
        <w:t>riguardante la disciplina dei partiti politici</w:t>
      </w:r>
      <w:r w:rsidR="00465684" w:rsidRPr="00D369CE">
        <w:rPr>
          <w:rFonts w:ascii="Garamond" w:hAnsi="Garamond"/>
          <w:sz w:val="32"/>
          <w:szCs w:val="32"/>
        </w:rPr>
        <w:t xml:space="preserve"> (</w:t>
      </w:r>
      <w:r w:rsidR="00D12E38" w:rsidRPr="00D369CE">
        <w:rPr>
          <w:rFonts w:ascii="Garamond" w:hAnsi="Garamond"/>
          <w:sz w:val="32"/>
          <w:szCs w:val="32"/>
        </w:rPr>
        <w:t>A</w:t>
      </w:r>
      <w:r w:rsidR="00465684" w:rsidRPr="00D369CE">
        <w:rPr>
          <w:rFonts w:ascii="Garamond" w:hAnsi="Garamond"/>
          <w:sz w:val="32"/>
          <w:szCs w:val="32"/>
        </w:rPr>
        <w:t xml:space="preserve">. C. </w:t>
      </w:r>
      <w:r w:rsidR="00D12E38" w:rsidRPr="00D369CE">
        <w:rPr>
          <w:rFonts w:ascii="Garamond" w:hAnsi="Garamond"/>
          <w:sz w:val="32"/>
          <w:szCs w:val="32"/>
        </w:rPr>
        <w:t>2839, TU con altre 21 proposte di legge</w:t>
      </w:r>
      <w:r w:rsidR="00465684" w:rsidRPr="00D369CE">
        <w:rPr>
          <w:rFonts w:ascii="Garamond" w:hAnsi="Garamond"/>
          <w:sz w:val="32"/>
          <w:szCs w:val="32"/>
        </w:rPr>
        <w:t>)</w:t>
      </w:r>
      <w:r w:rsidR="003833D9" w:rsidRPr="00D369CE">
        <w:rPr>
          <w:rFonts w:ascii="Garamond" w:hAnsi="Garamond"/>
          <w:sz w:val="32"/>
          <w:szCs w:val="32"/>
        </w:rPr>
        <w:t>:</w:t>
      </w:r>
    </w:p>
    <w:p w:rsidR="00670EB5" w:rsidRPr="00D369CE" w:rsidRDefault="00D35136" w:rsidP="001A3808">
      <w:pPr>
        <w:numPr>
          <w:ilvl w:val="1"/>
          <w:numId w:val="8"/>
        </w:numPr>
        <w:tabs>
          <w:tab w:val="num" w:pos="567"/>
        </w:tabs>
        <w:spacing w:before="120"/>
        <w:ind w:left="567" w:hanging="283"/>
        <w:rPr>
          <w:rFonts w:ascii="Garamond" w:hAnsi="Garamond"/>
          <w:i/>
          <w:iCs/>
          <w:sz w:val="32"/>
          <w:szCs w:val="32"/>
        </w:rPr>
      </w:pPr>
      <w:r w:rsidRPr="00D369CE">
        <w:rPr>
          <w:rFonts w:ascii="Garamond" w:hAnsi="Garamond"/>
          <w:b/>
          <w:iCs/>
          <w:color w:val="800000"/>
          <w:sz w:val="32"/>
          <w:szCs w:val="32"/>
        </w:rPr>
        <w:t>1</w:t>
      </w:r>
      <w:r w:rsidR="00AA762C" w:rsidRPr="00D369CE">
        <w:rPr>
          <w:rFonts w:ascii="Garamond" w:hAnsi="Garamond"/>
          <w:b/>
          <w:iCs/>
          <w:color w:val="800000"/>
          <w:sz w:val="32"/>
          <w:szCs w:val="32"/>
        </w:rPr>
        <w:t>2</w:t>
      </w:r>
      <w:r w:rsidR="00670EB5" w:rsidRPr="00D369CE">
        <w:rPr>
          <w:rFonts w:ascii="Garamond" w:hAnsi="Garamond"/>
          <w:iCs/>
          <w:sz w:val="32"/>
          <w:szCs w:val="32"/>
        </w:rPr>
        <w:t xml:space="preserve"> disegni di legge di conversione di decreti-legge (a </w:t>
      </w:r>
      <w:r w:rsidR="007917BD" w:rsidRPr="00D369CE">
        <w:rPr>
          <w:rFonts w:ascii="Garamond" w:hAnsi="Garamond"/>
          <w:iCs/>
          <w:sz w:val="32"/>
          <w:szCs w:val="32"/>
        </w:rPr>
        <w:t>norma</w:t>
      </w:r>
      <w:r w:rsidR="00670EB5" w:rsidRPr="00D369CE">
        <w:rPr>
          <w:rFonts w:ascii="Garamond" w:hAnsi="Garamond"/>
          <w:iCs/>
          <w:sz w:val="32"/>
          <w:szCs w:val="32"/>
        </w:rPr>
        <w:t xml:space="preserve"> dell’</w:t>
      </w:r>
      <w:r w:rsidR="00670EB5" w:rsidRPr="00D369CE">
        <w:rPr>
          <w:rFonts w:ascii="Garamond" w:hAnsi="Garamond"/>
          <w:iCs/>
          <w:color w:val="0000FF"/>
          <w:sz w:val="32"/>
          <w:szCs w:val="32"/>
        </w:rPr>
        <w:t>articolo 96-</w:t>
      </w:r>
      <w:r w:rsidR="00670EB5" w:rsidRPr="00D369CE">
        <w:rPr>
          <w:rFonts w:ascii="Garamond" w:hAnsi="Garamond"/>
          <w:i/>
          <w:iCs/>
          <w:color w:val="0000FF"/>
          <w:sz w:val="32"/>
          <w:szCs w:val="32"/>
        </w:rPr>
        <w:t>bis</w:t>
      </w:r>
      <w:r w:rsidR="00670EB5" w:rsidRPr="00D369CE">
        <w:rPr>
          <w:rFonts w:ascii="Garamond" w:hAnsi="Garamond"/>
          <w:iCs/>
          <w:color w:val="0000FF"/>
          <w:sz w:val="32"/>
          <w:szCs w:val="32"/>
        </w:rPr>
        <w:t>, comma 1</w:t>
      </w:r>
      <w:r w:rsidR="001F75E2" w:rsidRPr="00D369CE">
        <w:rPr>
          <w:rFonts w:ascii="Garamond" w:hAnsi="Garamond"/>
          <w:iCs/>
          <w:color w:val="0000FF"/>
          <w:sz w:val="32"/>
          <w:szCs w:val="32"/>
        </w:rPr>
        <w:t xml:space="preserve"> del r</w:t>
      </w:r>
      <w:r w:rsidR="000C2BFB" w:rsidRPr="00D369CE">
        <w:rPr>
          <w:rFonts w:ascii="Garamond" w:hAnsi="Garamond"/>
          <w:iCs/>
          <w:color w:val="0000FF"/>
          <w:sz w:val="32"/>
          <w:szCs w:val="32"/>
        </w:rPr>
        <w:t>egolamento della Camera</w:t>
      </w:r>
      <w:r w:rsidR="00670EB5" w:rsidRPr="00D369CE">
        <w:rPr>
          <w:rFonts w:ascii="Garamond" w:hAnsi="Garamond"/>
          <w:iCs/>
          <w:sz w:val="32"/>
          <w:szCs w:val="32"/>
        </w:rPr>
        <w:t>)</w:t>
      </w:r>
      <w:r w:rsidR="00465684" w:rsidRPr="00D369CE">
        <w:rPr>
          <w:rFonts w:ascii="Garamond" w:hAnsi="Garamond"/>
          <w:iCs/>
          <w:sz w:val="32"/>
          <w:szCs w:val="32"/>
        </w:rPr>
        <w:t>;</w:t>
      </w:r>
      <w:r w:rsidR="0002073D" w:rsidRPr="00D369CE">
        <w:rPr>
          <w:rFonts w:ascii="Garamond" w:hAnsi="Garamond"/>
          <w:iCs/>
          <w:sz w:val="32"/>
          <w:szCs w:val="32"/>
        </w:rPr>
        <w:t xml:space="preserve"> </w:t>
      </w:r>
    </w:p>
    <w:p w:rsidR="00E942E4" w:rsidRPr="003505A6" w:rsidRDefault="00E61845" w:rsidP="00E942E4">
      <w:pPr>
        <w:numPr>
          <w:ilvl w:val="1"/>
          <w:numId w:val="8"/>
        </w:numPr>
        <w:tabs>
          <w:tab w:val="num" w:pos="567"/>
        </w:tabs>
        <w:ind w:left="567" w:hanging="283"/>
        <w:rPr>
          <w:rFonts w:ascii="Garamond" w:hAnsi="Garamond"/>
          <w:i/>
          <w:iCs/>
          <w:sz w:val="32"/>
          <w:szCs w:val="32"/>
        </w:rPr>
      </w:pPr>
      <w:r w:rsidRPr="00D369CE">
        <w:rPr>
          <w:rFonts w:ascii="Garamond" w:hAnsi="Garamond"/>
          <w:b/>
          <w:bCs/>
          <w:iCs/>
          <w:color w:val="800000"/>
          <w:sz w:val="32"/>
          <w:szCs w:val="32"/>
        </w:rPr>
        <w:t>1</w:t>
      </w:r>
      <w:r w:rsidR="00AA762C" w:rsidRPr="00D369CE">
        <w:rPr>
          <w:rFonts w:ascii="Garamond" w:hAnsi="Garamond"/>
          <w:b/>
          <w:bCs/>
          <w:iCs/>
          <w:color w:val="800000"/>
          <w:sz w:val="32"/>
          <w:szCs w:val="32"/>
        </w:rPr>
        <w:t>3</w:t>
      </w:r>
      <w:r w:rsidR="004743EA" w:rsidRPr="00D369CE">
        <w:rPr>
          <w:rFonts w:ascii="Garamond" w:hAnsi="Garamond"/>
          <w:b/>
          <w:bCs/>
          <w:iCs/>
          <w:color w:val="800000"/>
          <w:sz w:val="32"/>
          <w:szCs w:val="32"/>
        </w:rPr>
        <w:t xml:space="preserve"> </w:t>
      </w:r>
      <w:r w:rsidR="004743EA" w:rsidRPr="00D369CE">
        <w:rPr>
          <w:rFonts w:ascii="Garamond" w:hAnsi="Garamond"/>
          <w:iCs/>
          <w:sz w:val="32"/>
          <w:szCs w:val="32"/>
        </w:rPr>
        <w:t>progetti di legge contenenti disposizioni di delega,</w:t>
      </w:r>
      <w:r w:rsidR="004743EA" w:rsidRPr="003505A6">
        <w:rPr>
          <w:rFonts w:ascii="Garamond" w:hAnsi="Garamond"/>
          <w:iCs/>
          <w:sz w:val="32"/>
          <w:szCs w:val="32"/>
        </w:rPr>
        <w:t xml:space="preserve"> sottoposti all’esame del Comitato </w:t>
      </w:r>
      <w:r w:rsidR="001F75E2" w:rsidRPr="003505A6">
        <w:rPr>
          <w:rFonts w:ascii="Garamond" w:hAnsi="Garamond"/>
          <w:iCs/>
          <w:sz w:val="32"/>
          <w:szCs w:val="32"/>
        </w:rPr>
        <w:t>a norma dell’</w:t>
      </w:r>
      <w:r w:rsidR="001F75E2" w:rsidRPr="003505A6">
        <w:rPr>
          <w:rFonts w:ascii="Garamond" w:hAnsi="Garamond"/>
          <w:iCs/>
          <w:color w:val="0000FF"/>
          <w:sz w:val="32"/>
          <w:szCs w:val="32"/>
        </w:rPr>
        <w:t>articolo 16-</w:t>
      </w:r>
      <w:r w:rsidR="001F75E2" w:rsidRPr="003505A6">
        <w:rPr>
          <w:rFonts w:ascii="Garamond" w:hAnsi="Garamond"/>
          <w:i/>
          <w:iCs/>
          <w:color w:val="0000FF"/>
          <w:sz w:val="32"/>
          <w:szCs w:val="32"/>
        </w:rPr>
        <w:t>bis</w:t>
      </w:r>
      <w:r w:rsidR="001F75E2" w:rsidRPr="003505A6">
        <w:rPr>
          <w:rFonts w:ascii="Garamond" w:hAnsi="Garamond"/>
          <w:iCs/>
          <w:color w:val="0000FF"/>
          <w:sz w:val="32"/>
          <w:szCs w:val="32"/>
        </w:rPr>
        <w:t>, comma 6-</w:t>
      </w:r>
      <w:r w:rsidR="001F75E2" w:rsidRPr="003505A6">
        <w:rPr>
          <w:rFonts w:ascii="Garamond" w:hAnsi="Garamond"/>
          <w:i/>
          <w:iCs/>
          <w:color w:val="0000FF"/>
          <w:sz w:val="32"/>
          <w:szCs w:val="32"/>
        </w:rPr>
        <w:t>bis</w:t>
      </w:r>
      <w:r w:rsidR="004743EA" w:rsidRPr="003505A6">
        <w:rPr>
          <w:rFonts w:ascii="Garamond" w:hAnsi="Garamond"/>
          <w:iCs/>
          <w:sz w:val="32"/>
          <w:szCs w:val="32"/>
        </w:rPr>
        <w:t xml:space="preserve"> </w:t>
      </w:r>
      <w:r w:rsidR="001F75E2" w:rsidRPr="003505A6">
        <w:rPr>
          <w:rFonts w:ascii="Garamond" w:hAnsi="Garamond"/>
          <w:iCs/>
          <w:color w:val="0000FF"/>
          <w:sz w:val="32"/>
          <w:szCs w:val="32"/>
        </w:rPr>
        <w:t>del regolamento della Camera</w:t>
      </w:r>
      <w:r w:rsidR="00A60753">
        <w:rPr>
          <w:rFonts w:ascii="Garamond" w:hAnsi="Garamond"/>
          <w:iCs/>
          <w:color w:val="0000FF"/>
          <w:sz w:val="32"/>
          <w:szCs w:val="32"/>
        </w:rPr>
        <w:t>,</w:t>
      </w:r>
      <w:r w:rsidR="00E942E4">
        <w:rPr>
          <w:rFonts w:ascii="Garamond" w:hAnsi="Garamond"/>
          <w:iCs/>
          <w:color w:val="0000FF"/>
          <w:sz w:val="32"/>
          <w:szCs w:val="32"/>
        </w:rPr>
        <w:t xml:space="preserve"> </w:t>
      </w:r>
      <w:r w:rsidR="00A60753">
        <w:rPr>
          <w:rFonts w:ascii="Garamond" w:hAnsi="Garamond"/>
          <w:iCs/>
          <w:sz w:val="32"/>
          <w:szCs w:val="32"/>
        </w:rPr>
        <w:t>dei quali</w:t>
      </w:r>
      <w:r w:rsidR="00AB2587">
        <w:rPr>
          <w:rStyle w:val="Rimandonotaapidipagina"/>
          <w:rFonts w:ascii="Garamond" w:hAnsi="Garamond"/>
          <w:iCs/>
          <w:sz w:val="32"/>
          <w:szCs w:val="32"/>
        </w:rPr>
        <w:footnoteReference w:id="1"/>
      </w:r>
      <w:r w:rsidR="00E942E4" w:rsidRPr="003505A6">
        <w:rPr>
          <w:rFonts w:ascii="Garamond" w:hAnsi="Garamond"/>
          <w:iCs/>
          <w:sz w:val="32"/>
          <w:szCs w:val="32"/>
        </w:rPr>
        <w:t>:</w:t>
      </w:r>
      <w:r w:rsidR="00E942E4" w:rsidRPr="003505A6">
        <w:rPr>
          <w:rFonts w:ascii="Garamond" w:hAnsi="Garamond"/>
          <w:b/>
          <w:bCs/>
          <w:iCs/>
          <w:color w:val="800000"/>
          <w:sz w:val="32"/>
          <w:szCs w:val="32"/>
        </w:rPr>
        <w:t xml:space="preserve"> </w:t>
      </w:r>
    </w:p>
    <w:p w:rsidR="00E942E4" w:rsidRPr="003505A6" w:rsidRDefault="00E942E4" w:rsidP="00E942E4">
      <w:pPr>
        <w:numPr>
          <w:ilvl w:val="0"/>
          <w:numId w:val="14"/>
        </w:numPr>
        <w:rPr>
          <w:rFonts w:ascii="Garamond" w:hAnsi="Garamond"/>
          <w:i/>
          <w:iCs/>
          <w:sz w:val="32"/>
          <w:szCs w:val="32"/>
        </w:rPr>
      </w:pPr>
      <w:r w:rsidRPr="003505A6">
        <w:rPr>
          <w:rFonts w:ascii="Garamond" w:hAnsi="Garamond"/>
          <w:b/>
          <w:bCs/>
          <w:iCs/>
          <w:color w:val="800000"/>
          <w:sz w:val="32"/>
          <w:szCs w:val="32"/>
        </w:rPr>
        <w:t>6</w:t>
      </w:r>
      <w:r w:rsidRPr="003505A6">
        <w:rPr>
          <w:rFonts w:ascii="Garamond" w:hAnsi="Garamond"/>
          <w:b/>
          <w:bCs/>
          <w:i/>
          <w:iCs/>
          <w:sz w:val="32"/>
          <w:szCs w:val="32"/>
        </w:rPr>
        <w:t xml:space="preserve"> </w:t>
      </w:r>
      <w:r w:rsidRPr="003505A6">
        <w:rPr>
          <w:rFonts w:ascii="Garamond" w:hAnsi="Garamond"/>
          <w:iCs/>
          <w:sz w:val="32"/>
          <w:szCs w:val="32"/>
        </w:rPr>
        <w:t xml:space="preserve">disegni di legge governativi contenenti disposizioni di delega in materia di </w:t>
      </w:r>
      <w:r w:rsidR="00BE1EE7">
        <w:rPr>
          <w:rFonts w:ascii="Garamond" w:hAnsi="Garamond"/>
          <w:iCs/>
          <w:sz w:val="32"/>
          <w:szCs w:val="32"/>
        </w:rPr>
        <w:t>processo civile</w:t>
      </w:r>
      <w:r w:rsidRPr="003505A6">
        <w:rPr>
          <w:rFonts w:ascii="Garamond" w:hAnsi="Garamond"/>
          <w:iCs/>
          <w:sz w:val="32"/>
          <w:szCs w:val="32"/>
        </w:rPr>
        <w:t xml:space="preserve"> (C. 2</w:t>
      </w:r>
      <w:r w:rsidR="00BE1EE7">
        <w:rPr>
          <w:rFonts w:ascii="Garamond" w:hAnsi="Garamond"/>
          <w:iCs/>
          <w:sz w:val="32"/>
          <w:szCs w:val="32"/>
        </w:rPr>
        <w:t>953</w:t>
      </w:r>
      <w:r w:rsidRPr="003505A6">
        <w:rPr>
          <w:rFonts w:ascii="Garamond" w:hAnsi="Garamond"/>
          <w:iCs/>
          <w:sz w:val="32"/>
          <w:szCs w:val="32"/>
        </w:rPr>
        <w:t xml:space="preserve">), di </w:t>
      </w:r>
      <w:r w:rsidR="00BE1EE7">
        <w:rPr>
          <w:rFonts w:ascii="Garamond" w:hAnsi="Garamond"/>
          <w:iCs/>
          <w:sz w:val="32"/>
          <w:szCs w:val="32"/>
        </w:rPr>
        <w:t>agricoltura</w:t>
      </w:r>
      <w:r w:rsidRPr="003505A6">
        <w:rPr>
          <w:rFonts w:ascii="Garamond" w:hAnsi="Garamond"/>
          <w:iCs/>
          <w:sz w:val="32"/>
          <w:szCs w:val="32"/>
        </w:rPr>
        <w:t xml:space="preserve"> (C. </w:t>
      </w:r>
      <w:r w:rsidR="00BE1EE7">
        <w:rPr>
          <w:rFonts w:ascii="Garamond" w:hAnsi="Garamond"/>
          <w:iCs/>
          <w:sz w:val="32"/>
          <w:szCs w:val="32"/>
        </w:rPr>
        <w:t>3119,</w:t>
      </w:r>
      <w:r w:rsidRPr="003505A6">
        <w:rPr>
          <w:rFonts w:ascii="Garamond" w:hAnsi="Garamond"/>
          <w:iCs/>
          <w:sz w:val="32"/>
          <w:szCs w:val="32"/>
        </w:rPr>
        <w:t xml:space="preserve"> </w:t>
      </w:r>
      <w:r w:rsidR="00BE1EE7">
        <w:rPr>
          <w:rFonts w:ascii="Garamond" w:hAnsi="Garamond"/>
          <w:iCs/>
          <w:sz w:val="32"/>
          <w:szCs w:val="32"/>
        </w:rPr>
        <w:t>collegato agricolo</w:t>
      </w:r>
      <w:r w:rsidRPr="003505A6">
        <w:rPr>
          <w:rFonts w:ascii="Garamond" w:hAnsi="Garamond"/>
          <w:iCs/>
          <w:sz w:val="32"/>
          <w:szCs w:val="32"/>
        </w:rPr>
        <w:t xml:space="preserve">), di </w:t>
      </w:r>
      <w:r w:rsidR="00BE1EE7">
        <w:rPr>
          <w:rFonts w:ascii="Garamond" w:hAnsi="Garamond"/>
          <w:iCs/>
          <w:sz w:val="32"/>
          <w:szCs w:val="32"/>
        </w:rPr>
        <w:t>consumo del suolo</w:t>
      </w:r>
      <w:r w:rsidRPr="003505A6">
        <w:rPr>
          <w:rFonts w:ascii="Garamond" w:hAnsi="Garamond"/>
          <w:iCs/>
          <w:sz w:val="32"/>
          <w:szCs w:val="32"/>
        </w:rPr>
        <w:t xml:space="preserve"> </w:t>
      </w:r>
      <w:r w:rsidR="00BE1EE7" w:rsidRPr="003505A6">
        <w:rPr>
          <w:rFonts w:ascii="Garamond" w:hAnsi="Garamond"/>
          <w:iCs/>
          <w:sz w:val="32"/>
          <w:szCs w:val="32"/>
        </w:rPr>
        <w:t>(C</w:t>
      </w:r>
      <w:r w:rsidR="00BE1EE7">
        <w:rPr>
          <w:rFonts w:ascii="Garamond" w:hAnsi="Garamond"/>
          <w:iCs/>
          <w:sz w:val="32"/>
          <w:szCs w:val="32"/>
        </w:rPr>
        <w:t>.</w:t>
      </w:r>
      <w:r w:rsidR="00BE1EE7" w:rsidRPr="003505A6">
        <w:rPr>
          <w:rFonts w:ascii="Garamond" w:hAnsi="Garamond"/>
          <w:iCs/>
          <w:sz w:val="32"/>
          <w:szCs w:val="32"/>
        </w:rPr>
        <w:t xml:space="preserve"> </w:t>
      </w:r>
      <w:r w:rsidR="00A60753">
        <w:rPr>
          <w:rFonts w:ascii="Garamond" w:hAnsi="Garamond"/>
          <w:iCs/>
          <w:sz w:val="32"/>
          <w:szCs w:val="32"/>
        </w:rPr>
        <w:t>2039</w:t>
      </w:r>
      <w:r w:rsidR="00BE1EE7" w:rsidRPr="003505A6">
        <w:rPr>
          <w:rFonts w:ascii="Garamond" w:hAnsi="Garamond"/>
          <w:iCs/>
          <w:sz w:val="32"/>
          <w:szCs w:val="32"/>
        </w:rPr>
        <w:t>)</w:t>
      </w:r>
      <w:r w:rsidRPr="003505A6">
        <w:rPr>
          <w:rFonts w:ascii="Garamond" w:hAnsi="Garamond"/>
          <w:iCs/>
          <w:sz w:val="32"/>
          <w:szCs w:val="32"/>
        </w:rPr>
        <w:t xml:space="preserve">, di </w:t>
      </w:r>
      <w:r w:rsidR="00BE1EE7">
        <w:rPr>
          <w:rFonts w:ascii="Garamond" w:hAnsi="Garamond"/>
          <w:iCs/>
          <w:sz w:val="32"/>
          <w:szCs w:val="32"/>
        </w:rPr>
        <w:t>magistratura ordinaria e giudici di pace</w:t>
      </w:r>
      <w:r w:rsidRPr="003505A6">
        <w:rPr>
          <w:rFonts w:ascii="Garamond" w:hAnsi="Garamond"/>
          <w:iCs/>
          <w:sz w:val="32"/>
          <w:szCs w:val="32"/>
        </w:rPr>
        <w:t xml:space="preserve"> (C 3</w:t>
      </w:r>
      <w:r w:rsidR="00BE1EE7">
        <w:rPr>
          <w:rFonts w:ascii="Garamond" w:hAnsi="Garamond"/>
          <w:iCs/>
          <w:sz w:val="32"/>
          <w:szCs w:val="32"/>
        </w:rPr>
        <w:t>672</w:t>
      </w:r>
      <w:r w:rsidRPr="003505A6">
        <w:rPr>
          <w:rFonts w:ascii="Garamond" w:hAnsi="Garamond"/>
          <w:iCs/>
          <w:sz w:val="32"/>
          <w:szCs w:val="32"/>
        </w:rPr>
        <w:t>)</w:t>
      </w:r>
      <w:r w:rsidR="00BE1EE7">
        <w:rPr>
          <w:rFonts w:ascii="Garamond" w:hAnsi="Garamond"/>
          <w:iCs/>
          <w:sz w:val="32"/>
          <w:szCs w:val="32"/>
        </w:rPr>
        <w:t>,</w:t>
      </w:r>
      <w:r w:rsidRPr="003505A6">
        <w:rPr>
          <w:rFonts w:ascii="Garamond" w:hAnsi="Garamond"/>
          <w:iCs/>
          <w:sz w:val="32"/>
          <w:szCs w:val="32"/>
        </w:rPr>
        <w:t xml:space="preserve"> di </w:t>
      </w:r>
      <w:r w:rsidR="00BE1EE7">
        <w:rPr>
          <w:rFonts w:ascii="Garamond" w:hAnsi="Garamond"/>
          <w:iCs/>
          <w:sz w:val="32"/>
          <w:szCs w:val="32"/>
        </w:rPr>
        <w:t>Terzo settore</w:t>
      </w:r>
      <w:r w:rsidRPr="003505A6">
        <w:rPr>
          <w:rFonts w:ascii="Garamond" w:hAnsi="Garamond"/>
          <w:iCs/>
          <w:sz w:val="32"/>
          <w:szCs w:val="32"/>
        </w:rPr>
        <w:t xml:space="preserve"> (C. </w:t>
      </w:r>
      <w:r w:rsidR="00384845">
        <w:rPr>
          <w:rFonts w:ascii="Garamond" w:hAnsi="Garamond"/>
          <w:iCs/>
          <w:sz w:val="32"/>
          <w:szCs w:val="32"/>
        </w:rPr>
        <w:t>2617-B</w:t>
      </w:r>
      <w:r w:rsidRPr="003505A6">
        <w:rPr>
          <w:rFonts w:ascii="Garamond" w:hAnsi="Garamond"/>
          <w:iCs/>
          <w:sz w:val="32"/>
          <w:szCs w:val="32"/>
        </w:rPr>
        <w:t>)</w:t>
      </w:r>
      <w:r w:rsidR="00BE1EE7">
        <w:rPr>
          <w:rFonts w:ascii="Garamond" w:hAnsi="Garamond"/>
          <w:iCs/>
          <w:sz w:val="32"/>
          <w:szCs w:val="32"/>
        </w:rPr>
        <w:t xml:space="preserve"> e di contrasto alla povertà (C. 3594)</w:t>
      </w:r>
      <w:r w:rsidRPr="003505A6">
        <w:rPr>
          <w:rFonts w:ascii="Garamond" w:hAnsi="Garamond"/>
          <w:iCs/>
          <w:sz w:val="32"/>
          <w:szCs w:val="32"/>
        </w:rPr>
        <w:t>;</w:t>
      </w:r>
    </w:p>
    <w:p w:rsidR="00E942E4" w:rsidRPr="00384845" w:rsidRDefault="00E942E4" w:rsidP="00E942E4">
      <w:pPr>
        <w:numPr>
          <w:ilvl w:val="0"/>
          <w:numId w:val="14"/>
        </w:numPr>
        <w:rPr>
          <w:rFonts w:ascii="Garamond" w:hAnsi="Garamond"/>
          <w:i/>
          <w:iCs/>
          <w:sz w:val="32"/>
          <w:szCs w:val="32"/>
        </w:rPr>
      </w:pPr>
      <w:r w:rsidRPr="003505A6">
        <w:rPr>
          <w:rFonts w:ascii="Garamond" w:hAnsi="Garamond"/>
          <w:b/>
          <w:bCs/>
          <w:iCs/>
          <w:color w:val="800000"/>
          <w:sz w:val="32"/>
          <w:szCs w:val="32"/>
        </w:rPr>
        <w:t xml:space="preserve">1 </w:t>
      </w:r>
      <w:r w:rsidRPr="003505A6">
        <w:rPr>
          <w:rFonts w:ascii="Garamond" w:hAnsi="Garamond"/>
          <w:iCs/>
          <w:sz w:val="32"/>
          <w:szCs w:val="32"/>
        </w:rPr>
        <w:t xml:space="preserve">disegno di legge governativo di delegazione europea (C. </w:t>
      </w:r>
      <w:r w:rsidR="00384845">
        <w:rPr>
          <w:rFonts w:ascii="Garamond" w:hAnsi="Garamond"/>
          <w:iCs/>
          <w:sz w:val="32"/>
          <w:szCs w:val="32"/>
        </w:rPr>
        <w:t>3540</w:t>
      </w:r>
      <w:r w:rsidRPr="003505A6">
        <w:rPr>
          <w:rFonts w:ascii="Garamond" w:hAnsi="Garamond"/>
          <w:iCs/>
          <w:sz w:val="32"/>
          <w:szCs w:val="32"/>
        </w:rPr>
        <w:t>, legge di delegazione europea 201</w:t>
      </w:r>
      <w:r w:rsidR="00384845">
        <w:rPr>
          <w:rFonts w:ascii="Garamond" w:hAnsi="Garamond"/>
          <w:iCs/>
          <w:sz w:val="32"/>
          <w:szCs w:val="32"/>
        </w:rPr>
        <w:t>5</w:t>
      </w:r>
      <w:r w:rsidRPr="003505A6">
        <w:rPr>
          <w:rFonts w:ascii="Garamond" w:hAnsi="Garamond"/>
          <w:iCs/>
          <w:sz w:val="32"/>
          <w:szCs w:val="32"/>
        </w:rPr>
        <w:t>);</w:t>
      </w:r>
    </w:p>
    <w:p w:rsidR="00384845" w:rsidRPr="00384845" w:rsidRDefault="00384845" w:rsidP="00E942E4">
      <w:pPr>
        <w:numPr>
          <w:ilvl w:val="0"/>
          <w:numId w:val="14"/>
        </w:numPr>
        <w:rPr>
          <w:rFonts w:ascii="Garamond" w:hAnsi="Garamond"/>
          <w:iCs/>
          <w:sz w:val="32"/>
          <w:szCs w:val="32"/>
        </w:rPr>
      </w:pPr>
      <w:r>
        <w:rPr>
          <w:rFonts w:ascii="Garamond" w:hAnsi="Garamond"/>
          <w:b/>
          <w:bCs/>
          <w:iCs/>
          <w:color w:val="800000"/>
          <w:sz w:val="32"/>
          <w:szCs w:val="32"/>
        </w:rPr>
        <w:t xml:space="preserve">1 </w:t>
      </w:r>
      <w:r w:rsidRPr="003505A6">
        <w:rPr>
          <w:rFonts w:ascii="Garamond" w:hAnsi="Garamond"/>
          <w:iCs/>
          <w:sz w:val="32"/>
          <w:szCs w:val="32"/>
        </w:rPr>
        <w:t>disegno di legge governativo di</w:t>
      </w:r>
      <w:r>
        <w:rPr>
          <w:rFonts w:ascii="Garamond" w:hAnsi="Garamond"/>
          <w:iCs/>
          <w:sz w:val="32"/>
          <w:szCs w:val="32"/>
        </w:rPr>
        <w:t xml:space="preserve"> legge europea (C. 3821, legge europea 2015 - 2016)</w:t>
      </w:r>
      <w:r w:rsidR="00A60753">
        <w:rPr>
          <w:rFonts w:ascii="Garamond" w:hAnsi="Garamond"/>
          <w:iCs/>
          <w:sz w:val="32"/>
          <w:szCs w:val="32"/>
        </w:rPr>
        <w:t>, contenente una disposizione di delega</w:t>
      </w:r>
      <w:r>
        <w:rPr>
          <w:rFonts w:ascii="Garamond" w:hAnsi="Garamond"/>
          <w:iCs/>
          <w:sz w:val="32"/>
          <w:szCs w:val="32"/>
        </w:rPr>
        <w:t>;</w:t>
      </w:r>
    </w:p>
    <w:p w:rsidR="00E942E4" w:rsidRPr="00384845" w:rsidRDefault="00384845" w:rsidP="00E942E4">
      <w:pPr>
        <w:numPr>
          <w:ilvl w:val="0"/>
          <w:numId w:val="14"/>
        </w:numPr>
        <w:rPr>
          <w:rFonts w:ascii="Garamond" w:hAnsi="Garamond"/>
          <w:i/>
          <w:iCs/>
          <w:sz w:val="32"/>
          <w:szCs w:val="32"/>
        </w:rPr>
      </w:pPr>
      <w:r>
        <w:rPr>
          <w:rFonts w:ascii="Garamond" w:hAnsi="Garamond"/>
          <w:b/>
          <w:bCs/>
          <w:iCs/>
          <w:color w:val="800000"/>
          <w:sz w:val="32"/>
          <w:szCs w:val="32"/>
        </w:rPr>
        <w:t>1</w:t>
      </w:r>
      <w:r w:rsidR="00E942E4" w:rsidRPr="003505A6">
        <w:rPr>
          <w:rFonts w:ascii="Garamond" w:hAnsi="Garamond"/>
          <w:bCs/>
          <w:iCs/>
          <w:color w:val="000066"/>
          <w:sz w:val="32"/>
          <w:szCs w:val="32"/>
        </w:rPr>
        <w:t xml:space="preserve"> </w:t>
      </w:r>
      <w:r w:rsidR="00E942E4" w:rsidRPr="003505A6">
        <w:rPr>
          <w:rFonts w:ascii="Garamond" w:hAnsi="Garamond"/>
          <w:bCs/>
          <w:iCs/>
          <w:sz w:val="32"/>
          <w:szCs w:val="32"/>
        </w:rPr>
        <w:t>test</w:t>
      </w:r>
      <w:r>
        <w:rPr>
          <w:rFonts w:ascii="Garamond" w:hAnsi="Garamond"/>
          <w:bCs/>
          <w:iCs/>
          <w:sz w:val="32"/>
          <w:szCs w:val="32"/>
        </w:rPr>
        <w:t>o</w:t>
      </w:r>
      <w:r w:rsidR="00E942E4" w:rsidRPr="003505A6">
        <w:rPr>
          <w:rFonts w:ascii="Garamond" w:hAnsi="Garamond"/>
          <w:bCs/>
          <w:iCs/>
          <w:sz w:val="32"/>
          <w:szCs w:val="32"/>
        </w:rPr>
        <w:t xml:space="preserve"> unificat</w:t>
      </w:r>
      <w:r>
        <w:rPr>
          <w:rFonts w:ascii="Garamond" w:hAnsi="Garamond"/>
          <w:bCs/>
          <w:iCs/>
          <w:sz w:val="32"/>
          <w:szCs w:val="32"/>
        </w:rPr>
        <w:t>o</w:t>
      </w:r>
      <w:r w:rsidR="00E942E4" w:rsidRPr="003505A6">
        <w:rPr>
          <w:rFonts w:ascii="Garamond" w:hAnsi="Garamond"/>
          <w:bCs/>
          <w:iCs/>
          <w:sz w:val="32"/>
          <w:szCs w:val="32"/>
        </w:rPr>
        <w:t xml:space="preserve"> di proposte di legge di iniziativa parlamentare riguardant</w:t>
      </w:r>
      <w:r>
        <w:rPr>
          <w:rFonts w:ascii="Garamond" w:hAnsi="Garamond"/>
          <w:bCs/>
          <w:iCs/>
          <w:sz w:val="32"/>
          <w:szCs w:val="32"/>
        </w:rPr>
        <w:t xml:space="preserve">e il Fondo </w:t>
      </w:r>
      <w:r w:rsidR="00DD690B">
        <w:rPr>
          <w:rFonts w:ascii="Garamond" w:hAnsi="Garamond"/>
          <w:bCs/>
          <w:iCs/>
          <w:sz w:val="32"/>
          <w:szCs w:val="32"/>
        </w:rPr>
        <w:t>per l’</w:t>
      </w:r>
      <w:r>
        <w:rPr>
          <w:rFonts w:ascii="Garamond" w:hAnsi="Garamond"/>
          <w:bCs/>
          <w:iCs/>
          <w:sz w:val="32"/>
          <w:szCs w:val="32"/>
        </w:rPr>
        <w:t>editoria (C. 3317 e abb.)</w:t>
      </w:r>
      <w:r w:rsidR="00E942E4" w:rsidRPr="003505A6">
        <w:rPr>
          <w:rFonts w:ascii="Garamond" w:hAnsi="Garamond"/>
          <w:bCs/>
          <w:iCs/>
          <w:sz w:val="32"/>
          <w:szCs w:val="32"/>
        </w:rPr>
        <w:t xml:space="preserve">; </w:t>
      </w:r>
    </w:p>
    <w:p w:rsidR="00384845" w:rsidRPr="003505A6" w:rsidRDefault="00384845" w:rsidP="00E942E4">
      <w:pPr>
        <w:numPr>
          <w:ilvl w:val="0"/>
          <w:numId w:val="14"/>
        </w:numPr>
        <w:rPr>
          <w:rFonts w:ascii="Garamond" w:hAnsi="Garamond"/>
          <w:i/>
          <w:iCs/>
          <w:sz w:val="32"/>
          <w:szCs w:val="32"/>
        </w:rPr>
      </w:pPr>
      <w:r>
        <w:rPr>
          <w:rFonts w:ascii="Garamond" w:hAnsi="Garamond"/>
          <w:b/>
          <w:bCs/>
          <w:iCs/>
          <w:color w:val="800000"/>
          <w:sz w:val="32"/>
          <w:szCs w:val="32"/>
        </w:rPr>
        <w:lastRenderedPageBreak/>
        <w:t xml:space="preserve">4 </w:t>
      </w:r>
      <w:r>
        <w:rPr>
          <w:rFonts w:ascii="Garamond" w:hAnsi="Garamond"/>
          <w:sz w:val="32"/>
          <w:szCs w:val="32"/>
        </w:rPr>
        <w:t xml:space="preserve">proposte di legge parlamentare </w:t>
      </w:r>
      <w:r w:rsidRPr="003505A6">
        <w:rPr>
          <w:rFonts w:ascii="Garamond" w:hAnsi="Garamond"/>
          <w:iCs/>
          <w:sz w:val="32"/>
          <w:szCs w:val="32"/>
        </w:rPr>
        <w:t>contenenti disposizioni di delega in materia di</w:t>
      </w:r>
      <w:r>
        <w:rPr>
          <w:rFonts w:ascii="Garamond" w:hAnsi="Garamond"/>
          <w:iCs/>
          <w:sz w:val="32"/>
          <w:szCs w:val="32"/>
        </w:rPr>
        <w:t xml:space="preserve"> gestione delle acque pubbliche e servizio idrico (C. 2212), unioni civili e convivenze (C. 3634), riforma del sistema dei confidi (C. 3209) e di ratifica della Convenzione in materia di assistenza giudiziaria penale (C. 1460-B);</w:t>
      </w:r>
    </w:p>
    <w:p w:rsidR="00465684" w:rsidRPr="003505A6" w:rsidRDefault="00AA762C" w:rsidP="00E942E4">
      <w:pPr>
        <w:numPr>
          <w:ilvl w:val="1"/>
          <w:numId w:val="8"/>
        </w:numPr>
        <w:tabs>
          <w:tab w:val="num" w:pos="567"/>
        </w:tabs>
        <w:ind w:left="567" w:hanging="283"/>
        <w:rPr>
          <w:rFonts w:ascii="Garamond" w:hAnsi="Garamond"/>
          <w:i/>
          <w:iCs/>
          <w:sz w:val="32"/>
          <w:szCs w:val="32"/>
        </w:rPr>
      </w:pPr>
      <w:r w:rsidRPr="00D369CE">
        <w:rPr>
          <w:rFonts w:ascii="Garamond" w:hAnsi="Garamond"/>
          <w:b/>
          <w:bCs/>
          <w:iCs/>
          <w:color w:val="800000"/>
          <w:sz w:val="32"/>
          <w:szCs w:val="32"/>
        </w:rPr>
        <w:t>1</w:t>
      </w:r>
      <w:r w:rsidRPr="00D369CE">
        <w:rPr>
          <w:rFonts w:ascii="Garamond" w:hAnsi="Garamond"/>
          <w:sz w:val="32"/>
          <w:szCs w:val="32"/>
        </w:rPr>
        <w:t xml:space="preserve"> proposta di legge parlamentare </w:t>
      </w:r>
      <w:r w:rsidRPr="00D369CE">
        <w:rPr>
          <w:rFonts w:ascii="Garamond" w:hAnsi="Garamond"/>
          <w:iCs/>
          <w:sz w:val="32"/>
          <w:szCs w:val="32"/>
        </w:rPr>
        <w:t>sottoposta al parere del</w:t>
      </w:r>
      <w:r w:rsidRPr="003505A6">
        <w:rPr>
          <w:rFonts w:ascii="Garamond" w:hAnsi="Garamond"/>
          <w:iCs/>
          <w:sz w:val="32"/>
          <w:szCs w:val="32"/>
        </w:rPr>
        <w:t xml:space="preserve"> Comitato a norma dell’articolo 16-</w:t>
      </w:r>
      <w:r w:rsidRPr="003505A6">
        <w:rPr>
          <w:rFonts w:ascii="Garamond" w:hAnsi="Garamond"/>
          <w:i/>
          <w:iCs/>
          <w:sz w:val="32"/>
          <w:szCs w:val="32"/>
        </w:rPr>
        <w:t>bis</w:t>
      </w:r>
      <w:r w:rsidRPr="003505A6">
        <w:rPr>
          <w:rFonts w:ascii="Garamond" w:hAnsi="Garamond"/>
          <w:iCs/>
          <w:sz w:val="32"/>
          <w:szCs w:val="32"/>
        </w:rPr>
        <w:t>, comma 4 del regolamento, su richiesta di almeno un quinto dei componenti la Commissione Affari costituzionali</w:t>
      </w:r>
      <w:r w:rsidR="00384845">
        <w:rPr>
          <w:rFonts w:ascii="Garamond" w:hAnsi="Garamond"/>
          <w:iCs/>
          <w:sz w:val="32"/>
          <w:szCs w:val="32"/>
        </w:rPr>
        <w:t xml:space="preserve">, riguardante </w:t>
      </w:r>
      <w:r w:rsidR="00384845" w:rsidRPr="003505A6">
        <w:rPr>
          <w:rFonts w:ascii="Garamond" w:hAnsi="Garamond"/>
          <w:bCs/>
          <w:iCs/>
          <w:sz w:val="32"/>
          <w:szCs w:val="32"/>
        </w:rPr>
        <w:t xml:space="preserve">la </w:t>
      </w:r>
      <w:r w:rsidR="00384845">
        <w:rPr>
          <w:rFonts w:ascii="Garamond" w:hAnsi="Garamond"/>
          <w:bCs/>
          <w:iCs/>
          <w:sz w:val="32"/>
          <w:szCs w:val="32"/>
        </w:rPr>
        <w:t>disciplina dei partiti politici</w:t>
      </w:r>
      <w:r w:rsidR="00384845" w:rsidRPr="003505A6">
        <w:rPr>
          <w:rFonts w:ascii="Garamond" w:hAnsi="Garamond"/>
          <w:bCs/>
          <w:iCs/>
          <w:sz w:val="32"/>
          <w:szCs w:val="32"/>
        </w:rPr>
        <w:t xml:space="preserve"> (TU </w:t>
      </w:r>
      <w:r w:rsidR="00384845">
        <w:rPr>
          <w:rFonts w:ascii="Garamond" w:hAnsi="Garamond"/>
          <w:bCs/>
          <w:iCs/>
          <w:sz w:val="32"/>
          <w:szCs w:val="32"/>
        </w:rPr>
        <w:t>2839</w:t>
      </w:r>
      <w:r w:rsidR="00384845" w:rsidRPr="003505A6">
        <w:rPr>
          <w:rFonts w:ascii="Garamond" w:hAnsi="Garamond"/>
          <w:bCs/>
          <w:iCs/>
          <w:sz w:val="32"/>
          <w:szCs w:val="32"/>
        </w:rPr>
        <w:t xml:space="preserve"> ed abb.)</w:t>
      </w:r>
      <w:r w:rsidR="00465684" w:rsidRPr="003505A6">
        <w:rPr>
          <w:rFonts w:ascii="Garamond" w:hAnsi="Garamond"/>
          <w:iCs/>
          <w:sz w:val="32"/>
          <w:szCs w:val="32"/>
        </w:rPr>
        <w:t xml:space="preserve">. </w:t>
      </w:r>
    </w:p>
    <w:p w:rsidR="00742C46" w:rsidRDefault="00742C46" w:rsidP="00384845">
      <w:pPr>
        <w:ind w:left="1004" w:firstLine="0"/>
        <w:rPr>
          <w:rFonts w:ascii="Garamond" w:hAnsi="Garamond"/>
          <w:b/>
          <w:bCs/>
          <w:iCs/>
          <w:color w:val="800000"/>
          <w:sz w:val="32"/>
          <w:szCs w:val="32"/>
        </w:rPr>
      </w:pPr>
    </w:p>
    <w:p w:rsidR="00384845" w:rsidRPr="00384845" w:rsidRDefault="00384845" w:rsidP="00384845">
      <w:pPr>
        <w:ind w:left="1004" w:firstLine="0"/>
        <w:rPr>
          <w:rFonts w:ascii="Garamond" w:hAnsi="Garamond"/>
          <w:bCs/>
          <w:iCs/>
          <w:sz w:val="32"/>
          <w:szCs w:val="32"/>
        </w:rPr>
      </w:pPr>
    </w:p>
    <w:p w:rsidR="009D6BA7" w:rsidRPr="003505A6" w:rsidRDefault="009D6BA7" w:rsidP="00670EB5">
      <w:pPr>
        <w:rPr>
          <w:rFonts w:ascii="Garamond" w:hAnsi="Garamond"/>
          <w:bCs/>
          <w:iCs/>
          <w:sz w:val="32"/>
          <w:szCs w:val="32"/>
        </w:rPr>
      </w:pPr>
    </w:p>
    <w:tbl>
      <w:tblPr>
        <w:tblW w:w="8560" w:type="dxa"/>
        <w:tblInd w:w="55" w:type="dxa"/>
        <w:tblCellMar>
          <w:left w:w="70" w:type="dxa"/>
          <w:right w:w="70" w:type="dxa"/>
        </w:tblCellMar>
        <w:tblLook w:val="0000" w:firstRow="0" w:lastRow="0" w:firstColumn="0" w:lastColumn="0" w:noHBand="0" w:noVBand="0"/>
      </w:tblPr>
      <w:tblGrid>
        <w:gridCol w:w="2140"/>
        <w:gridCol w:w="2140"/>
        <w:gridCol w:w="2140"/>
        <w:gridCol w:w="2140"/>
      </w:tblGrid>
      <w:tr w:rsidR="00E61845" w:rsidRPr="003505A6" w:rsidTr="00D61355">
        <w:trPr>
          <w:trHeight w:val="765"/>
        </w:trPr>
        <w:tc>
          <w:tcPr>
            <w:tcW w:w="2140" w:type="dxa"/>
            <w:tcBorders>
              <w:top w:val="single" w:sz="8" w:space="0" w:color="000000"/>
              <w:left w:val="single" w:sz="8" w:space="0" w:color="000000"/>
              <w:bottom w:val="single" w:sz="8" w:space="0" w:color="000000"/>
              <w:right w:val="single" w:sz="8" w:space="0" w:color="000000"/>
            </w:tcBorders>
            <w:shd w:val="clear" w:color="auto" w:fill="99CCFF"/>
            <w:vAlign w:val="center"/>
          </w:tcPr>
          <w:p w:rsidR="00E61845" w:rsidRPr="003505A6" w:rsidRDefault="00E61845" w:rsidP="00D61355">
            <w:pPr>
              <w:keepNext/>
              <w:spacing w:line="240" w:lineRule="auto"/>
              <w:ind w:firstLine="0"/>
              <w:jc w:val="center"/>
              <w:rPr>
                <w:rFonts w:ascii="Garamond" w:hAnsi="Garamond" w:cs="Arial"/>
                <w:b/>
                <w:bCs/>
                <w:i/>
                <w:iCs/>
                <w:sz w:val="28"/>
                <w:szCs w:val="28"/>
              </w:rPr>
            </w:pPr>
            <w:r w:rsidRPr="003505A6">
              <w:rPr>
                <w:rFonts w:ascii="Garamond" w:hAnsi="Garamond" w:cs="Arial"/>
                <w:b/>
                <w:bCs/>
                <w:i/>
                <w:iCs/>
                <w:sz w:val="28"/>
                <w:szCs w:val="28"/>
              </w:rPr>
              <w:t>Tipologia pareri</w:t>
            </w:r>
          </w:p>
        </w:tc>
        <w:tc>
          <w:tcPr>
            <w:tcW w:w="2140" w:type="dxa"/>
            <w:tcBorders>
              <w:top w:val="single" w:sz="8" w:space="0" w:color="000000"/>
              <w:left w:val="nil"/>
              <w:bottom w:val="single" w:sz="8" w:space="0" w:color="000000"/>
              <w:right w:val="single" w:sz="8" w:space="0" w:color="000000"/>
            </w:tcBorders>
            <w:shd w:val="clear" w:color="auto" w:fill="99CCFF"/>
            <w:vAlign w:val="center"/>
          </w:tcPr>
          <w:p w:rsidR="00E61845" w:rsidRPr="003505A6" w:rsidRDefault="00E61845" w:rsidP="00D61355">
            <w:pPr>
              <w:keepNext/>
              <w:spacing w:line="240" w:lineRule="auto"/>
              <w:ind w:firstLine="0"/>
              <w:jc w:val="center"/>
              <w:rPr>
                <w:rFonts w:ascii="Garamond" w:hAnsi="Garamond" w:cs="Arial"/>
                <w:b/>
                <w:bCs/>
                <w:i/>
                <w:iCs/>
                <w:sz w:val="28"/>
                <w:szCs w:val="28"/>
              </w:rPr>
            </w:pPr>
            <w:r w:rsidRPr="003505A6">
              <w:rPr>
                <w:rFonts w:ascii="Garamond" w:hAnsi="Garamond" w:cs="Arial"/>
                <w:b/>
                <w:bCs/>
                <w:i/>
                <w:iCs/>
                <w:sz w:val="28"/>
                <w:szCs w:val="28"/>
              </w:rPr>
              <w:t>Numero</w:t>
            </w:r>
          </w:p>
        </w:tc>
        <w:tc>
          <w:tcPr>
            <w:tcW w:w="2140" w:type="dxa"/>
            <w:tcBorders>
              <w:top w:val="single" w:sz="8" w:space="0" w:color="000000"/>
              <w:left w:val="nil"/>
              <w:bottom w:val="single" w:sz="8" w:space="0" w:color="000000"/>
              <w:right w:val="single" w:sz="8" w:space="0" w:color="000000"/>
            </w:tcBorders>
            <w:shd w:val="clear" w:color="auto" w:fill="99CCFF"/>
            <w:vAlign w:val="center"/>
          </w:tcPr>
          <w:p w:rsidR="00E61845" w:rsidRPr="003505A6" w:rsidRDefault="00E61845" w:rsidP="00D61355">
            <w:pPr>
              <w:keepNext/>
              <w:spacing w:line="240" w:lineRule="auto"/>
              <w:ind w:firstLine="0"/>
              <w:jc w:val="center"/>
              <w:rPr>
                <w:rFonts w:ascii="Garamond" w:hAnsi="Garamond" w:cs="Arial"/>
                <w:b/>
                <w:bCs/>
                <w:i/>
                <w:iCs/>
                <w:sz w:val="28"/>
                <w:szCs w:val="28"/>
              </w:rPr>
            </w:pPr>
            <w:r w:rsidRPr="003505A6">
              <w:rPr>
                <w:rFonts w:ascii="Garamond" w:hAnsi="Garamond" w:cs="Arial"/>
                <w:b/>
                <w:bCs/>
                <w:i/>
                <w:iCs/>
                <w:sz w:val="28"/>
                <w:szCs w:val="28"/>
              </w:rPr>
              <w:t>%</w:t>
            </w:r>
          </w:p>
        </w:tc>
        <w:tc>
          <w:tcPr>
            <w:tcW w:w="2140" w:type="dxa"/>
            <w:tcBorders>
              <w:top w:val="single" w:sz="8" w:space="0" w:color="000000"/>
              <w:left w:val="nil"/>
              <w:bottom w:val="single" w:sz="8" w:space="0" w:color="000000"/>
              <w:right w:val="single" w:sz="8" w:space="0" w:color="000000"/>
            </w:tcBorders>
            <w:shd w:val="clear" w:color="auto" w:fill="99CCFF"/>
            <w:vAlign w:val="center"/>
          </w:tcPr>
          <w:p w:rsidR="00E61845" w:rsidRPr="003505A6" w:rsidRDefault="00E61845" w:rsidP="00D61355">
            <w:pPr>
              <w:keepNext/>
              <w:spacing w:line="240" w:lineRule="auto"/>
              <w:ind w:firstLine="0"/>
              <w:jc w:val="center"/>
              <w:rPr>
                <w:rFonts w:ascii="Garamond" w:hAnsi="Garamond" w:cs="Arial"/>
                <w:b/>
                <w:bCs/>
                <w:i/>
                <w:iCs/>
                <w:sz w:val="28"/>
                <w:szCs w:val="28"/>
              </w:rPr>
            </w:pPr>
            <w:r w:rsidRPr="003505A6">
              <w:rPr>
                <w:rFonts w:ascii="Garamond" w:hAnsi="Garamond" w:cs="Arial"/>
                <w:b/>
                <w:bCs/>
                <w:i/>
                <w:iCs/>
                <w:sz w:val="28"/>
                <w:szCs w:val="28"/>
              </w:rPr>
              <w:t>Tipologia provvedimenti</w:t>
            </w:r>
          </w:p>
        </w:tc>
      </w:tr>
      <w:tr w:rsidR="00E61845" w:rsidRPr="003505A6" w:rsidTr="002D19DE">
        <w:trPr>
          <w:trHeight w:val="1140"/>
        </w:trPr>
        <w:tc>
          <w:tcPr>
            <w:tcW w:w="2140" w:type="dxa"/>
            <w:tcBorders>
              <w:top w:val="nil"/>
              <w:left w:val="single" w:sz="8" w:space="0" w:color="000000"/>
              <w:bottom w:val="single" w:sz="8" w:space="0" w:color="000000"/>
              <w:right w:val="single" w:sz="8" w:space="0" w:color="000000"/>
            </w:tcBorders>
            <w:shd w:val="clear" w:color="auto" w:fill="auto"/>
            <w:vAlign w:val="center"/>
          </w:tcPr>
          <w:p w:rsidR="00E61845" w:rsidRPr="003505A6" w:rsidRDefault="00E61845" w:rsidP="002D19DE">
            <w:pPr>
              <w:keepNext/>
              <w:spacing w:line="240" w:lineRule="auto"/>
              <w:ind w:firstLine="0"/>
              <w:jc w:val="center"/>
              <w:rPr>
                <w:rFonts w:ascii="Garamond" w:hAnsi="Garamond" w:cs="Arial"/>
                <w:i/>
                <w:iCs/>
                <w:sz w:val="28"/>
                <w:szCs w:val="28"/>
              </w:rPr>
            </w:pPr>
            <w:r w:rsidRPr="003505A6">
              <w:rPr>
                <w:rFonts w:ascii="Garamond" w:hAnsi="Garamond" w:cs="Arial"/>
                <w:i/>
                <w:iCs/>
                <w:sz w:val="28"/>
                <w:szCs w:val="28"/>
              </w:rPr>
              <w:t>Pareri espressi ai sensi dell'articolo</w:t>
            </w:r>
            <w:r w:rsidRPr="003505A6">
              <w:rPr>
                <w:rFonts w:ascii="Garamond" w:hAnsi="Garamond" w:cs="Arial"/>
                <w:b/>
                <w:bCs/>
                <w:i/>
                <w:iCs/>
                <w:color w:val="FF0000"/>
                <w:sz w:val="28"/>
                <w:szCs w:val="28"/>
              </w:rPr>
              <w:t xml:space="preserve"> </w:t>
            </w:r>
            <w:r w:rsidRPr="003505A6">
              <w:rPr>
                <w:rFonts w:ascii="Garamond" w:hAnsi="Garamond" w:cs="Arial"/>
                <w:b/>
                <w:bCs/>
                <w:i/>
                <w:iCs/>
                <w:color w:val="800000"/>
                <w:sz w:val="28"/>
                <w:szCs w:val="28"/>
              </w:rPr>
              <w:t>96-</w:t>
            </w:r>
            <w:r w:rsidRPr="003505A6">
              <w:rPr>
                <w:rFonts w:ascii="Garamond" w:hAnsi="Garamond" w:cs="Arial"/>
                <w:b/>
                <w:bCs/>
                <w:color w:val="800000"/>
                <w:sz w:val="28"/>
                <w:szCs w:val="28"/>
              </w:rPr>
              <w:t>bis</w:t>
            </w:r>
            <w:r w:rsidRPr="003505A6">
              <w:rPr>
                <w:rFonts w:ascii="Garamond" w:hAnsi="Garamond" w:cs="Arial"/>
                <w:b/>
                <w:bCs/>
                <w:i/>
                <w:iCs/>
                <w:color w:val="800000"/>
                <w:sz w:val="28"/>
                <w:szCs w:val="28"/>
              </w:rPr>
              <w:t>, co. 1</w:t>
            </w:r>
          </w:p>
        </w:tc>
        <w:tc>
          <w:tcPr>
            <w:tcW w:w="2140" w:type="dxa"/>
            <w:tcBorders>
              <w:top w:val="nil"/>
              <w:left w:val="nil"/>
              <w:bottom w:val="single" w:sz="8" w:space="0" w:color="000000"/>
              <w:right w:val="single" w:sz="8" w:space="0" w:color="000000"/>
            </w:tcBorders>
            <w:shd w:val="clear" w:color="auto" w:fill="auto"/>
            <w:vAlign w:val="center"/>
          </w:tcPr>
          <w:p w:rsidR="00E61845" w:rsidRPr="003505A6" w:rsidRDefault="00E61845" w:rsidP="00D61355">
            <w:pPr>
              <w:keepNext/>
              <w:spacing w:line="240" w:lineRule="auto"/>
              <w:ind w:firstLine="0"/>
              <w:jc w:val="center"/>
              <w:rPr>
                <w:rFonts w:ascii="Garamond" w:hAnsi="Garamond" w:cs="Arial"/>
                <w:b/>
                <w:bCs/>
                <w:i/>
                <w:iCs/>
                <w:sz w:val="28"/>
                <w:szCs w:val="28"/>
              </w:rPr>
            </w:pPr>
            <w:r w:rsidRPr="003505A6">
              <w:rPr>
                <w:rFonts w:ascii="Garamond" w:hAnsi="Garamond" w:cs="Arial"/>
                <w:b/>
                <w:bCs/>
                <w:i/>
                <w:iCs/>
                <w:sz w:val="28"/>
                <w:szCs w:val="28"/>
              </w:rPr>
              <w:t>1</w:t>
            </w:r>
            <w:r w:rsidR="00D61355">
              <w:rPr>
                <w:rFonts w:ascii="Garamond" w:hAnsi="Garamond" w:cs="Arial"/>
                <w:b/>
                <w:bCs/>
                <w:i/>
                <w:iCs/>
                <w:sz w:val="28"/>
                <w:szCs w:val="28"/>
              </w:rPr>
              <w:t>2</w:t>
            </w:r>
          </w:p>
        </w:tc>
        <w:tc>
          <w:tcPr>
            <w:tcW w:w="2140" w:type="dxa"/>
            <w:tcBorders>
              <w:top w:val="nil"/>
              <w:left w:val="nil"/>
              <w:bottom w:val="single" w:sz="8" w:space="0" w:color="000000"/>
              <w:right w:val="single" w:sz="8" w:space="0" w:color="000000"/>
            </w:tcBorders>
            <w:shd w:val="clear" w:color="auto" w:fill="auto"/>
            <w:vAlign w:val="center"/>
          </w:tcPr>
          <w:p w:rsidR="00E61845" w:rsidRPr="003505A6" w:rsidRDefault="00411573" w:rsidP="00411573">
            <w:pPr>
              <w:keepNext/>
              <w:spacing w:line="240" w:lineRule="auto"/>
              <w:ind w:firstLine="0"/>
              <w:jc w:val="center"/>
              <w:rPr>
                <w:rFonts w:ascii="Garamond" w:hAnsi="Garamond" w:cs="Arial"/>
                <w:b/>
                <w:bCs/>
                <w:i/>
                <w:iCs/>
                <w:sz w:val="28"/>
                <w:szCs w:val="28"/>
              </w:rPr>
            </w:pPr>
            <w:r>
              <w:rPr>
                <w:rFonts w:ascii="Garamond" w:hAnsi="Garamond" w:cs="Arial"/>
                <w:b/>
                <w:bCs/>
                <w:i/>
                <w:iCs/>
                <w:sz w:val="28"/>
                <w:szCs w:val="28"/>
              </w:rPr>
              <w:t>46</w:t>
            </w:r>
            <w:r w:rsidR="009A382F" w:rsidRPr="003505A6">
              <w:rPr>
                <w:rFonts w:ascii="Garamond" w:hAnsi="Garamond" w:cs="Arial"/>
                <w:b/>
                <w:bCs/>
                <w:i/>
                <w:iCs/>
                <w:sz w:val="28"/>
                <w:szCs w:val="28"/>
              </w:rPr>
              <w:t>,</w:t>
            </w:r>
            <w:r>
              <w:rPr>
                <w:rFonts w:ascii="Garamond" w:hAnsi="Garamond" w:cs="Arial"/>
                <w:b/>
                <w:bCs/>
                <w:i/>
                <w:iCs/>
                <w:sz w:val="28"/>
                <w:szCs w:val="28"/>
              </w:rPr>
              <w:t>2</w:t>
            </w:r>
            <w:r w:rsidR="00E61845" w:rsidRPr="003505A6">
              <w:rPr>
                <w:rFonts w:ascii="Garamond" w:hAnsi="Garamond" w:cs="Arial"/>
                <w:b/>
                <w:bCs/>
                <w:i/>
                <w:iCs/>
                <w:sz w:val="28"/>
                <w:szCs w:val="28"/>
              </w:rPr>
              <w:t>%</w:t>
            </w:r>
          </w:p>
        </w:tc>
        <w:tc>
          <w:tcPr>
            <w:tcW w:w="2140" w:type="dxa"/>
            <w:tcBorders>
              <w:top w:val="nil"/>
              <w:left w:val="nil"/>
              <w:bottom w:val="single" w:sz="8" w:space="0" w:color="000000"/>
              <w:right w:val="single" w:sz="8" w:space="0" w:color="000000"/>
            </w:tcBorders>
            <w:shd w:val="clear" w:color="auto" w:fill="auto"/>
            <w:vAlign w:val="center"/>
          </w:tcPr>
          <w:p w:rsidR="00E61845" w:rsidRPr="003505A6" w:rsidRDefault="00E61845" w:rsidP="00411573">
            <w:pPr>
              <w:keepNext/>
              <w:spacing w:line="240" w:lineRule="auto"/>
              <w:ind w:firstLine="0"/>
              <w:jc w:val="center"/>
              <w:rPr>
                <w:rFonts w:ascii="Garamond" w:hAnsi="Garamond" w:cs="Arial"/>
                <w:b/>
                <w:bCs/>
                <w:i/>
                <w:iCs/>
                <w:color w:val="800000"/>
                <w:sz w:val="28"/>
                <w:szCs w:val="28"/>
              </w:rPr>
            </w:pPr>
            <w:r w:rsidRPr="003505A6">
              <w:rPr>
                <w:rFonts w:ascii="Garamond" w:hAnsi="Garamond" w:cs="Arial"/>
                <w:b/>
                <w:bCs/>
                <w:i/>
                <w:iCs/>
                <w:color w:val="800000"/>
                <w:sz w:val="28"/>
                <w:szCs w:val="28"/>
              </w:rPr>
              <w:t>1</w:t>
            </w:r>
            <w:r w:rsidR="00411573">
              <w:rPr>
                <w:rFonts w:ascii="Garamond" w:hAnsi="Garamond" w:cs="Arial"/>
                <w:b/>
                <w:bCs/>
                <w:i/>
                <w:iCs/>
                <w:color w:val="800000"/>
                <w:sz w:val="28"/>
                <w:szCs w:val="28"/>
              </w:rPr>
              <w:t>2</w:t>
            </w:r>
            <w:r w:rsidRPr="003505A6">
              <w:rPr>
                <w:rFonts w:ascii="Garamond" w:hAnsi="Garamond" w:cs="Arial"/>
                <w:i/>
                <w:iCs/>
                <w:color w:val="800000"/>
                <w:sz w:val="28"/>
                <w:szCs w:val="28"/>
              </w:rPr>
              <w:t xml:space="preserve"> </w:t>
            </w:r>
            <w:r w:rsidRPr="003505A6">
              <w:rPr>
                <w:rFonts w:ascii="Garamond" w:hAnsi="Garamond" w:cs="Arial"/>
                <w:i/>
                <w:iCs/>
                <w:sz w:val="28"/>
                <w:szCs w:val="28"/>
              </w:rPr>
              <w:t>disegni di legge di conversione</w:t>
            </w:r>
          </w:p>
        </w:tc>
      </w:tr>
      <w:tr w:rsidR="00E61845" w:rsidRPr="003505A6" w:rsidTr="002D19DE">
        <w:trPr>
          <w:trHeight w:val="1134"/>
        </w:trPr>
        <w:tc>
          <w:tcPr>
            <w:tcW w:w="2140" w:type="dxa"/>
            <w:tcBorders>
              <w:top w:val="single" w:sz="8" w:space="0" w:color="000000"/>
              <w:left w:val="single" w:sz="8" w:space="0" w:color="000000"/>
              <w:bottom w:val="single" w:sz="4" w:space="0" w:color="auto"/>
              <w:right w:val="single" w:sz="8" w:space="0" w:color="000000"/>
            </w:tcBorders>
            <w:shd w:val="clear" w:color="auto" w:fill="auto"/>
            <w:vAlign w:val="center"/>
          </w:tcPr>
          <w:p w:rsidR="00E61845" w:rsidRPr="003505A6" w:rsidRDefault="00E61845" w:rsidP="002D19DE">
            <w:pPr>
              <w:keepNext/>
              <w:spacing w:line="240" w:lineRule="auto"/>
              <w:ind w:firstLine="0"/>
              <w:jc w:val="center"/>
              <w:rPr>
                <w:rFonts w:ascii="Garamond" w:hAnsi="Garamond" w:cs="Arial"/>
                <w:i/>
                <w:iCs/>
                <w:sz w:val="28"/>
                <w:szCs w:val="28"/>
              </w:rPr>
            </w:pPr>
            <w:r w:rsidRPr="003505A6">
              <w:rPr>
                <w:rFonts w:ascii="Garamond" w:hAnsi="Garamond" w:cs="Arial"/>
                <w:i/>
                <w:iCs/>
                <w:sz w:val="28"/>
                <w:szCs w:val="28"/>
              </w:rPr>
              <w:t xml:space="preserve">Pareri espressi ai sensi dell'articolo </w:t>
            </w:r>
            <w:r w:rsidRPr="003505A6">
              <w:rPr>
                <w:rFonts w:ascii="Garamond" w:hAnsi="Garamond" w:cs="Arial"/>
                <w:b/>
                <w:bCs/>
                <w:i/>
                <w:iCs/>
                <w:color w:val="800000"/>
                <w:sz w:val="28"/>
                <w:szCs w:val="28"/>
              </w:rPr>
              <w:t>16-</w:t>
            </w:r>
            <w:r w:rsidRPr="003505A6">
              <w:rPr>
                <w:rFonts w:ascii="Garamond" w:hAnsi="Garamond" w:cs="Arial"/>
                <w:b/>
                <w:bCs/>
                <w:i/>
                <w:color w:val="800000"/>
                <w:sz w:val="28"/>
                <w:szCs w:val="28"/>
              </w:rPr>
              <w:t>bis</w:t>
            </w:r>
            <w:r w:rsidRPr="003505A6">
              <w:rPr>
                <w:rFonts w:ascii="Garamond" w:hAnsi="Garamond" w:cs="Arial"/>
                <w:b/>
                <w:bCs/>
                <w:i/>
                <w:iCs/>
                <w:color w:val="800000"/>
                <w:sz w:val="28"/>
                <w:szCs w:val="28"/>
              </w:rPr>
              <w:t>, co. 6-</w:t>
            </w:r>
            <w:r w:rsidRPr="003505A6">
              <w:rPr>
                <w:rFonts w:ascii="Garamond" w:hAnsi="Garamond" w:cs="Arial"/>
                <w:b/>
                <w:bCs/>
                <w:color w:val="800000"/>
                <w:sz w:val="28"/>
                <w:szCs w:val="28"/>
              </w:rPr>
              <w:t>bis</w:t>
            </w:r>
          </w:p>
        </w:tc>
        <w:tc>
          <w:tcPr>
            <w:tcW w:w="2140" w:type="dxa"/>
            <w:tcBorders>
              <w:top w:val="single" w:sz="8" w:space="0" w:color="000000"/>
              <w:left w:val="nil"/>
              <w:bottom w:val="single" w:sz="4" w:space="0" w:color="auto"/>
              <w:right w:val="single" w:sz="8" w:space="0" w:color="000000"/>
            </w:tcBorders>
            <w:shd w:val="clear" w:color="auto" w:fill="auto"/>
            <w:vAlign w:val="center"/>
          </w:tcPr>
          <w:p w:rsidR="00E61845" w:rsidRPr="003505A6" w:rsidRDefault="00E61845" w:rsidP="00D61355">
            <w:pPr>
              <w:keepNext/>
              <w:spacing w:line="240" w:lineRule="auto"/>
              <w:ind w:firstLine="0"/>
              <w:jc w:val="center"/>
              <w:rPr>
                <w:rFonts w:ascii="Garamond" w:hAnsi="Garamond" w:cs="Arial"/>
                <w:b/>
                <w:bCs/>
                <w:i/>
                <w:iCs/>
                <w:sz w:val="28"/>
                <w:szCs w:val="28"/>
              </w:rPr>
            </w:pPr>
            <w:r w:rsidRPr="003505A6">
              <w:rPr>
                <w:rFonts w:ascii="Garamond" w:hAnsi="Garamond" w:cs="Arial"/>
                <w:b/>
                <w:bCs/>
                <w:i/>
                <w:iCs/>
                <w:sz w:val="28"/>
                <w:szCs w:val="28"/>
              </w:rPr>
              <w:t>1</w:t>
            </w:r>
            <w:r w:rsidR="00D61355">
              <w:rPr>
                <w:rFonts w:ascii="Garamond" w:hAnsi="Garamond" w:cs="Arial"/>
                <w:b/>
                <w:bCs/>
                <w:i/>
                <w:iCs/>
                <w:sz w:val="28"/>
                <w:szCs w:val="28"/>
              </w:rPr>
              <w:t>3</w:t>
            </w:r>
          </w:p>
        </w:tc>
        <w:tc>
          <w:tcPr>
            <w:tcW w:w="2140" w:type="dxa"/>
            <w:tcBorders>
              <w:top w:val="single" w:sz="8" w:space="0" w:color="000000"/>
              <w:left w:val="nil"/>
              <w:bottom w:val="single" w:sz="4" w:space="0" w:color="auto"/>
              <w:right w:val="single" w:sz="8" w:space="0" w:color="000000"/>
            </w:tcBorders>
            <w:shd w:val="clear" w:color="auto" w:fill="auto"/>
            <w:vAlign w:val="center"/>
          </w:tcPr>
          <w:p w:rsidR="00E61845" w:rsidRPr="003505A6" w:rsidRDefault="00411573" w:rsidP="00411573">
            <w:pPr>
              <w:keepNext/>
              <w:spacing w:line="240" w:lineRule="auto"/>
              <w:ind w:firstLine="0"/>
              <w:jc w:val="center"/>
              <w:rPr>
                <w:rFonts w:ascii="Garamond" w:hAnsi="Garamond" w:cs="Arial"/>
                <w:b/>
                <w:bCs/>
                <w:i/>
                <w:iCs/>
                <w:sz w:val="28"/>
                <w:szCs w:val="28"/>
              </w:rPr>
            </w:pPr>
            <w:r>
              <w:rPr>
                <w:rFonts w:ascii="Garamond" w:hAnsi="Garamond" w:cs="Arial"/>
                <w:b/>
                <w:bCs/>
                <w:i/>
                <w:iCs/>
                <w:sz w:val="28"/>
                <w:szCs w:val="28"/>
              </w:rPr>
              <w:t>5</w:t>
            </w:r>
            <w:r w:rsidR="009A382F" w:rsidRPr="003505A6">
              <w:rPr>
                <w:rFonts w:ascii="Garamond" w:hAnsi="Garamond" w:cs="Arial"/>
                <w:b/>
                <w:bCs/>
                <w:i/>
                <w:iCs/>
                <w:sz w:val="28"/>
                <w:szCs w:val="28"/>
              </w:rPr>
              <w:t>0,</w:t>
            </w:r>
            <w:r>
              <w:rPr>
                <w:rFonts w:ascii="Garamond" w:hAnsi="Garamond" w:cs="Arial"/>
                <w:b/>
                <w:bCs/>
                <w:i/>
                <w:iCs/>
                <w:sz w:val="28"/>
                <w:szCs w:val="28"/>
              </w:rPr>
              <w:t>0</w:t>
            </w:r>
            <w:r w:rsidR="00E61845" w:rsidRPr="003505A6">
              <w:rPr>
                <w:rFonts w:ascii="Garamond" w:hAnsi="Garamond" w:cs="Arial"/>
                <w:b/>
                <w:bCs/>
                <w:i/>
                <w:iCs/>
                <w:sz w:val="28"/>
                <w:szCs w:val="28"/>
              </w:rPr>
              <w:t>%</w:t>
            </w:r>
          </w:p>
        </w:tc>
        <w:tc>
          <w:tcPr>
            <w:tcW w:w="2140" w:type="dxa"/>
            <w:tcBorders>
              <w:top w:val="single" w:sz="8" w:space="0" w:color="000000"/>
              <w:left w:val="nil"/>
              <w:bottom w:val="single" w:sz="4" w:space="0" w:color="auto"/>
              <w:right w:val="single" w:sz="8" w:space="0" w:color="000000"/>
            </w:tcBorders>
            <w:shd w:val="clear" w:color="auto" w:fill="auto"/>
            <w:vAlign w:val="center"/>
          </w:tcPr>
          <w:p w:rsidR="00E61845" w:rsidRPr="003505A6" w:rsidRDefault="00E61845" w:rsidP="00411573">
            <w:pPr>
              <w:keepNext/>
              <w:spacing w:line="240" w:lineRule="auto"/>
              <w:ind w:firstLine="0"/>
              <w:jc w:val="center"/>
              <w:rPr>
                <w:rFonts w:ascii="Garamond" w:hAnsi="Garamond" w:cs="Arial"/>
                <w:b/>
                <w:bCs/>
                <w:i/>
                <w:iCs/>
                <w:color w:val="800000"/>
                <w:sz w:val="28"/>
                <w:szCs w:val="28"/>
              </w:rPr>
            </w:pPr>
            <w:r w:rsidRPr="003505A6">
              <w:rPr>
                <w:rFonts w:ascii="Garamond" w:hAnsi="Garamond" w:cs="Arial"/>
                <w:b/>
                <w:bCs/>
                <w:i/>
                <w:iCs/>
                <w:color w:val="800000"/>
                <w:sz w:val="28"/>
                <w:szCs w:val="28"/>
              </w:rPr>
              <w:t>1</w:t>
            </w:r>
            <w:r w:rsidR="00411573">
              <w:rPr>
                <w:rFonts w:ascii="Garamond" w:hAnsi="Garamond" w:cs="Arial"/>
                <w:b/>
                <w:bCs/>
                <w:i/>
                <w:iCs/>
                <w:color w:val="800000"/>
                <w:sz w:val="28"/>
                <w:szCs w:val="28"/>
              </w:rPr>
              <w:t>3</w:t>
            </w:r>
            <w:r w:rsidRPr="003505A6">
              <w:rPr>
                <w:rFonts w:ascii="Garamond" w:hAnsi="Garamond" w:cs="Arial"/>
                <w:b/>
                <w:bCs/>
                <w:i/>
                <w:iCs/>
                <w:color w:val="800000"/>
                <w:sz w:val="28"/>
                <w:szCs w:val="28"/>
              </w:rPr>
              <w:t xml:space="preserve"> </w:t>
            </w:r>
            <w:r w:rsidRPr="003505A6">
              <w:rPr>
                <w:rFonts w:ascii="Garamond" w:hAnsi="Garamond" w:cs="Arial"/>
                <w:i/>
                <w:iCs/>
                <w:sz w:val="28"/>
                <w:szCs w:val="28"/>
              </w:rPr>
              <w:t xml:space="preserve">progetti di legge contenenti disposizioni di delega </w:t>
            </w:r>
          </w:p>
        </w:tc>
      </w:tr>
      <w:tr w:rsidR="00E61845" w:rsidRPr="003505A6" w:rsidTr="002D19DE">
        <w:trPr>
          <w:trHeight w:val="1134"/>
        </w:trPr>
        <w:tc>
          <w:tcPr>
            <w:tcW w:w="2140" w:type="dxa"/>
            <w:tcBorders>
              <w:top w:val="single" w:sz="4" w:space="0" w:color="auto"/>
              <w:left w:val="single" w:sz="8" w:space="0" w:color="000000"/>
              <w:bottom w:val="single" w:sz="8" w:space="0" w:color="000000"/>
              <w:right w:val="single" w:sz="8" w:space="0" w:color="000000"/>
            </w:tcBorders>
            <w:shd w:val="clear" w:color="auto" w:fill="auto"/>
            <w:vAlign w:val="center"/>
          </w:tcPr>
          <w:p w:rsidR="00E61845" w:rsidRPr="003505A6" w:rsidRDefault="00E61845" w:rsidP="002D19DE">
            <w:pPr>
              <w:keepNext/>
              <w:spacing w:line="240" w:lineRule="auto"/>
              <w:ind w:firstLine="0"/>
              <w:jc w:val="center"/>
              <w:rPr>
                <w:rFonts w:ascii="Garamond" w:hAnsi="Garamond" w:cs="Arial"/>
                <w:i/>
                <w:iCs/>
                <w:sz w:val="28"/>
                <w:szCs w:val="28"/>
              </w:rPr>
            </w:pPr>
            <w:r w:rsidRPr="003505A6">
              <w:rPr>
                <w:rFonts w:ascii="Garamond" w:hAnsi="Garamond" w:cs="Arial"/>
                <w:i/>
                <w:iCs/>
                <w:sz w:val="28"/>
                <w:szCs w:val="28"/>
              </w:rPr>
              <w:t xml:space="preserve">Pareri espressi ai sensi dell'articolo </w:t>
            </w:r>
            <w:r w:rsidRPr="003505A6">
              <w:rPr>
                <w:rFonts w:ascii="Garamond" w:hAnsi="Garamond" w:cs="Arial"/>
                <w:b/>
                <w:bCs/>
                <w:i/>
                <w:iCs/>
                <w:color w:val="800000"/>
                <w:sz w:val="28"/>
                <w:szCs w:val="28"/>
              </w:rPr>
              <w:t>16-</w:t>
            </w:r>
            <w:r w:rsidRPr="003505A6">
              <w:rPr>
                <w:rFonts w:ascii="Garamond" w:hAnsi="Garamond" w:cs="Arial"/>
                <w:b/>
                <w:bCs/>
                <w:color w:val="800000"/>
                <w:sz w:val="28"/>
                <w:szCs w:val="28"/>
              </w:rPr>
              <w:t>bis</w:t>
            </w:r>
            <w:r w:rsidRPr="003505A6">
              <w:rPr>
                <w:rFonts w:ascii="Garamond" w:hAnsi="Garamond" w:cs="Arial"/>
                <w:b/>
                <w:bCs/>
                <w:i/>
                <w:iCs/>
                <w:color w:val="800000"/>
                <w:sz w:val="28"/>
                <w:szCs w:val="28"/>
              </w:rPr>
              <w:t>, co. 4</w:t>
            </w:r>
          </w:p>
        </w:tc>
        <w:tc>
          <w:tcPr>
            <w:tcW w:w="2140" w:type="dxa"/>
            <w:tcBorders>
              <w:top w:val="single" w:sz="4" w:space="0" w:color="auto"/>
              <w:left w:val="nil"/>
              <w:bottom w:val="single" w:sz="8" w:space="0" w:color="000000"/>
              <w:right w:val="single" w:sz="8" w:space="0" w:color="000000"/>
            </w:tcBorders>
            <w:shd w:val="clear" w:color="auto" w:fill="auto"/>
            <w:vAlign w:val="center"/>
          </w:tcPr>
          <w:p w:rsidR="00E61845" w:rsidRPr="003505A6" w:rsidRDefault="00E61845" w:rsidP="002D19DE">
            <w:pPr>
              <w:keepNext/>
              <w:spacing w:line="240" w:lineRule="auto"/>
              <w:ind w:firstLine="0"/>
              <w:jc w:val="center"/>
              <w:rPr>
                <w:rFonts w:ascii="Garamond" w:hAnsi="Garamond" w:cs="Arial"/>
                <w:b/>
                <w:bCs/>
                <w:i/>
                <w:iCs/>
                <w:sz w:val="28"/>
                <w:szCs w:val="28"/>
              </w:rPr>
            </w:pPr>
            <w:r w:rsidRPr="003505A6">
              <w:rPr>
                <w:rFonts w:ascii="Garamond" w:hAnsi="Garamond" w:cs="Arial"/>
                <w:b/>
                <w:bCs/>
                <w:i/>
                <w:iCs/>
                <w:sz w:val="28"/>
                <w:szCs w:val="28"/>
              </w:rPr>
              <w:t>1</w:t>
            </w:r>
          </w:p>
        </w:tc>
        <w:tc>
          <w:tcPr>
            <w:tcW w:w="2140" w:type="dxa"/>
            <w:tcBorders>
              <w:top w:val="single" w:sz="4" w:space="0" w:color="auto"/>
              <w:left w:val="nil"/>
              <w:bottom w:val="single" w:sz="8" w:space="0" w:color="000000"/>
              <w:right w:val="single" w:sz="8" w:space="0" w:color="000000"/>
            </w:tcBorders>
            <w:shd w:val="clear" w:color="auto" w:fill="auto"/>
            <w:vAlign w:val="center"/>
          </w:tcPr>
          <w:p w:rsidR="00E61845" w:rsidRPr="003505A6" w:rsidRDefault="009A382F" w:rsidP="00411573">
            <w:pPr>
              <w:keepNext/>
              <w:spacing w:line="240" w:lineRule="auto"/>
              <w:ind w:firstLine="0"/>
              <w:jc w:val="center"/>
              <w:rPr>
                <w:rFonts w:ascii="Garamond" w:hAnsi="Garamond" w:cs="Arial"/>
                <w:b/>
                <w:bCs/>
                <w:i/>
                <w:iCs/>
                <w:sz w:val="28"/>
                <w:szCs w:val="28"/>
              </w:rPr>
            </w:pPr>
            <w:r w:rsidRPr="003505A6">
              <w:rPr>
                <w:rFonts w:ascii="Garamond" w:hAnsi="Garamond" w:cs="Arial"/>
                <w:b/>
                <w:bCs/>
                <w:i/>
                <w:iCs/>
                <w:sz w:val="28"/>
                <w:szCs w:val="28"/>
              </w:rPr>
              <w:t>3,</w:t>
            </w:r>
            <w:r w:rsidR="00411573">
              <w:rPr>
                <w:rFonts w:ascii="Garamond" w:hAnsi="Garamond" w:cs="Arial"/>
                <w:b/>
                <w:bCs/>
                <w:i/>
                <w:iCs/>
                <w:sz w:val="28"/>
                <w:szCs w:val="28"/>
              </w:rPr>
              <w:t>8</w:t>
            </w:r>
            <w:r w:rsidR="00E61845" w:rsidRPr="003505A6">
              <w:rPr>
                <w:rFonts w:ascii="Garamond" w:hAnsi="Garamond" w:cs="Arial"/>
                <w:b/>
                <w:bCs/>
                <w:i/>
                <w:iCs/>
                <w:sz w:val="28"/>
                <w:szCs w:val="28"/>
              </w:rPr>
              <w:t>%</w:t>
            </w:r>
          </w:p>
        </w:tc>
        <w:tc>
          <w:tcPr>
            <w:tcW w:w="2140" w:type="dxa"/>
            <w:tcBorders>
              <w:top w:val="single" w:sz="4" w:space="0" w:color="auto"/>
              <w:left w:val="nil"/>
              <w:bottom w:val="single" w:sz="8" w:space="0" w:color="000000"/>
              <w:right w:val="single" w:sz="8" w:space="0" w:color="000000"/>
            </w:tcBorders>
            <w:shd w:val="clear" w:color="auto" w:fill="auto"/>
            <w:vAlign w:val="center"/>
          </w:tcPr>
          <w:p w:rsidR="00E61845" w:rsidRPr="003505A6" w:rsidRDefault="00E61845" w:rsidP="00411573">
            <w:pPr>
              <w:keepNext/>
              <w:spacing w:line="240" w:lineRule="auto"/>
              <w:ind w:firstLine="0"/>
              <w:jc w:val="center"/>
              <w:rPr>
                <w:rFonts w:ascii="Garamond" w:hAnsi="Garamond" w:cs="Arial"/>
                <w:b/>
                <w:bCs/>
                <w:i/>
                <w:iCs/>
                <w:color w:val="800000"/>
                <w:sz w:val="28"/>
                <w:szCs w:val="28"/>
              </w:rPr>
            </w:pPr>
            <w:r w:rsidRPr="003505A6">
              <w:rPr>
                <w:rFonts w:ascii="Garamond" w:hAnsi="Garamond" w:cs="Arial"/>
                <w:b/>
                <w:bCs/>
                <w:i/>
                <w:iCs/>
                <w:color w:val="800000"/>
                <w:sz w:val="28"/>
                <w:szCs w:val="28"/>
              </w:rPr>
              <w:t>1</w:t>
            </w:r>
            <w:r w:rsidRPr="003505A6">
              <w:rPr>
                <w:rFonts w:ascii="Garamond" w:hAnsi="Garamond" w:cs="Arial"/>
                <w:i/>
                <w:iCs/>
                <w:sz w:val="28"/>
                <w:szCs w:val="28"/>
              </w:rPr>
              <w:t xml:space="preserve"> </w:t>
            </w:r>
            <w:r w:rsidR="00411573">
              <w:rPr>
                <w:rFonts w:ascii="Garamond" w:hAnsi="Garamond" w:cs="Arial"/>
                <w:i/>
                <w:iCs/>
                <w:sz w:val="28"/>
                <w:szCs w:val="28"/>
              </w:rPr>
              <w:t>proposta di legge parlamentare</w:t>
            </w:r>
          </w:p>
        </w:tc>
      </w:tr>
    </w:tbl>
    <w:p w:rsidR="00E92AA7" w:rsidRPr="003505A6" w:rsidRDefault="00E92AA7" w:rsidP="00670EB5">
      <w:pPr>
        <w:rPr>
          <w:rFonts w:ascii="Garamond" w:hAnsi="Garamond"/>
          <w:i/>
          <w:iCs/>
          <w:sz w:val="28"/>
          <w:szCs w:val="28"/>
        </w:rPr>
      </w:pPr>
    </w:p>
    <w:p w:rsidR="00670EB5" w:rsidRPr="003505A6" w:rsidRDefault="00670EB5" w:rsidP="00670EB5">
      <w:pPr>
        <w:rPr>
          <w:rFonts w:ascii="Garamond" w:hAnsi="Garamond"/>
          <w:i/>
          <w:iCs/>
          <w:sz w:val="28"/>
          <w:szCs w:val="28"/>
        </w:rPr>
      </w:pPr>
    </w:p>
    <w:p w:rsidR="00C45450" w:rsidRPr="003505A6" w:rsidRDefault="00C45450" w:rsidP="00670EB5">
      <w:pPr>
        <w:pStyle w:val="Titolo1"/>
        <w:rPr>
          <w:rFonts w:ascii="Garamond" w:hAnsi="Garamond"/>
          <w:iCs/>
          <w:sz w:val="32"/>
          <w:szCs w:val="32"/>
        </w:rPr>
        <w:sectPr w:rsidR="00C45450" w:rsidRPr="003505A6" w:rsidSect="00876071">
          <w:headerReference w:type="even" r:id="rId14"/>
          <w:headerReference w:type="default" r:id="rId15"/>
          <w:type w:val="continuous"/>
          <w:pgSz w:w="11906" w:h="16838" w:code="9"/>
          <w:pgMar w:top="1985" w:right="1985" w:bottom="1985" w:left="1985" w:header="1134" w:footer="1134" w:gutter="0"/>
          <w:cols w:space="720"/>
          <w:formProt w:val="0"/>
        </w:sectPr>
      </w:pPr>
    </w:p>
    <w:p w:rsidR="00BB134D" w:rsidRPr="003505A6" w:rsidRDefault="00C45450" w:rsidP="00B85DDC">
      <w:pPr>
        <w:pStyle w:val="Titolo1"/>
        <w:rPr>
          <w:rFonts w:ascii="Garamond" w:hAnsi="Garamond"/>
          <w:i/>
          <w:color w:val="0000FF"/>
          <w:sz w:val="44"/>
          <w:szCs w:val="44"/>
        </w:rPr>
      </w:pPr>
      <w:bookmarkStart w:id="18" w:name="_Toc337653467"/>
      <w:bookmarkStart w:id="19" w:name="_Toc342035924"/>
      <w:bookmarkStart w:id="20" w:name="_Toc458677961"/>
      <w:r w:rsidRPr="003505A6">
        <w:rPr>
          <w:rFonts w:ascii="Garamond" w:hAnsi="Garamond"/>
          <w:i/>
          <w:color w:val="0000FF"/>
          <w:sz w:val="44"/>
          <w:szCs w:val="44"/>
        </w:rPr>
        <w:lastRenderedPageBreak/>
        <w:t>I</w:t>
      </w:r>
      <w:r w:rsidR="005523E2" w:rsidRPr="003505A6">
        <w:rPr>
          <w:rFonts w:ascii="Garamond" w:hAnsi="Garamond"/>
          <w:i/>
          <w:color w:val="0000FF"/>
          <w:sz w:val="44"/>
          <w:szCs w:val="44"/>
        </w:rPr>
        <w:t>II</w:t>
      </w:r>
      <w:r w:rsidRPr="003505A6">
        <w:rPr>
          <w:rFonts w:ascii="Garamond" w:hAnsi="Garamond"/>
          <w:i/>
          <w:color w:val="0000FF"/>
          <w:sz w:val="44"/>
          <w:szCs w:val="44"/>
        </w:rPr>
        <w:t>.</w:t>
      </w:r>
      <w:r w:rsidRPr="003505A6">
        <w:rPr>
          <w:rFonts w:ascii="Garamond" w:hAnsi="Garamond"/>
          <w:i/>
          <w:color w:val="0000FF"/>
          <w:sz w:val="44"/>
          <w:szCs w:val="44"/>
        </w:rPr>
        <w:br/>
      </w:r>
      <w:r w:rsidR="002515D2" w:rsidRPr="003505A6">
        <w:rPr>
          <w:rFonts w:ascii="Garamond" w:hAnsi="Garamond"/>
          <w:i/>
          <w:color w:val="0000FF"/>
          <w:sz w:val="44"/>
          <w:szCs w:val="44"/>
        </w:rPr>
        <w:t>CARAT</w:t>
      </w:r>
      <w:r w:rsidR="001F5A2E" w:rsidRPr="003505A6">
        <w:rPr>
          <w:rFonts w:ascii="Garamond" w:hAnsi="Garamond"/>
          <w:i/>
          <w:color w:val="0000FF"/>
          <w:sz w:val="44"/>
          <w:szCs w:val="44"/>
        </w:rPr>
        <w:t>TERISTICHE DELLA PRODUZIONE LEGISL</w:t>
      </w:r>
      <w:r w:rsidR="002515D2" w:rsidRPr="003505A6">
        <w:rPr>
          <w:rFonts w:ascii="Garamond" w:hAnsi="Garamond"/>
          <w:i/>
          <w:color w:val="0000FF"/>
          <w:sz w:val="44"/>
          <w:szCs w:val="44"/>
        </w:rPr>
        <w:t>ATIVA</w:t>
      </w:r>
      <w:bookmarkEnd w:id="18"/>
      <w:bookmarkEnd w:id="19"/>
      <w:bookmarkEnd w:id="20"/>
    </w:p>
    <w:p w:rsidR="00C45450" w:rsidRPr="003505A6" w:rsidRDefault="00C45450" w:rsidP="00C45450">
      <w:pPr>
        <w:rPr>
          <w:rFonts w:ascii="Garamond" w:hAnsi="Garamond"/>
        </w:rPr>
      </w:pPr>
    </w:p>
    <w:p w:rsidR="00173406" w:rsidRPr="00173406" w:rsidRDefault="00A65C5B" w:rsidP="00C45450">
      <w:pPr>
        <w:rPr>
          <w:rFonts w:ascii="Garamond" w:hAnsi="Garamond"/>
          <w:sz w:val="32"/>
          <w:szCs w:val="32"/>
        </w:rPr>
      </w:pPr>
      <w:r w:rsidRPr="00173406">
        <w:rPr>
          <w:rFonts w:ascii="Garamond" w:hAnsi="Garamond"/>
          <w:sz w:val="32"/>
          <w:szCs w:val="32"/>
        </w:rPr>
        <w:t xml:space="preserve">I dati sull’attivazione del Comitato </w:t>
      </w:r>
      <w:r w:rsidR="00A60753" w:rsidRPr="00173406">
        <w:rPr>
          <w:rFonts w:ascii="Garamond" w:hAnsi="Garamond"/>
          <w:sz w:val="32"/>
          <w:szCs w:val="32"/>
        </w:rPr>
        <w:t xml:space="preserve">evidenziano un fenomeno interessante: il “sorpasso” dei </w:t>
      </w:r>
      <w:r w:rsidR="00A34AC2" w:rsidRPr="00173406">
        <w:rPr>
          <w:rFonts w:ascii="Garamond" w:hAnsi="Garamond"/>
          <w:sz w:val="32"/>
          <w:szCs w:val="32"/>
        </w:rPr>
        <w:t xml:space="preserve">pareri su </w:t>
      </w:r>
      <w:r w:rsidR="00A60753" w:rsidRPr="00173406">
        <w:rPr>
          <w:rFonts w:ascii="Garamond" w:hAnsi="Garamond"/>
          <w:sz w:val="32"/>
          <w:szCs w:val="32"/>
        </w:rPr>
        <w:t>progetti di legge contenenti disposizioni di delega rispetto a</w:t>
      </w:r>
      <w:r w:rsidR="00A34AC2" w:rsidRPr="00173406">
        <w:rPr>
          <w:rFonts w:ascii="Garamond" w:hAnsi="Garamond"/>
          <w:sz w:val="32"/>
          <w:szCs w:val="32"/>
        </w:rPr>
        <w:t xml:space="preserve">i pareri su disegni di legge di conversione. </w:t>
      </w:r>
      <w:r w:rsidR="00173406" w:rsidRPr="00173406">
        <w:rPr>
          <w:rFonts w:ascii="Garamond" w:hAnsi="Garamond"/>
          <w:sz w:val="32"/>
          <w:szCs w:val="32"/>
        </w:rPr>
        <w:t>P</w:t>
      </w:r>
      <w:r w:rsidR="00A34AC2" w:rsidRPr="00173406">
        <w:rPr>
          <w:rFonts w:ascii="Garamond" w:hAnsi="Garamond"/>
          <w:sz w:val="32"/>
          <w:szCs w:val="32"/>
        </w:rPr>
        <w:t xml:space="preserve">rosegue così un processo </w:t>
      </w:r>
      <w:r w:rsidR="00173406" w:rsidRPr="00173406">
        <w:rPr>
          <w:rFonts w:ascii="Garamond" w:hAnsi="Garamond"/>
          <w:sz w:val="32"/>
          <w:szCs w:val="32"/>
        </w:rPr>
        <w:t xml:space="preserve">che si è sviluppato nel corso </w:t>
      </w:r>
      <w:r w:rsidR="00A34AC2" w:rsidRPr="00173406">
        <w:rPr>
          <w:rFonts w:ascii="Garamond" w:hAnsi="Garamond"/>
          <w:sz w:val="32"/>
          <w:szCs w:val="32"/>
        </w:rPr>
        <w:t>d</w:t>
      </w:r>
      <w:r w:rsidR="00173406" w:rsidRPr="00173406">
        <w:rPr>
          <w:rFonts w:ascii="Garamond" w:hAnsi="Garamond"/>
          <w:sz w:val="32"/>
          <w:szCs w:val="32"/>
        </w:rPr>
        <w:t xml:space="preserve">ella legislatura e che in parte è stato descritto nel rapporto relativo al precedente turno di presidenza. </w:t>
      </w:r>
    </w:p>
    <w:p w:rsidR="009D0420" w:rsidRPr="00173406" w:rsidRDefault="00173406" w:rsidP="00C45450">
      <w:pPr>
        <w:rPr>
          <w:rFonts w:ascii="Garamond" w:hAnsi="Garamond"/>
          <w:sz w:val="32"/>
          <w:szCs w:val="32"/>
        </w:rPr>
      </w:pPr>
      <w:r w:rsidRPr="00173406">
        <w:rPr>
          <w:rFonts w:ascii="Garamond" w:hAnsi="Garamond"/>
          <w:sz w:val="32"/>
          <w:szCs w:val="32"/>
        </w:rPr>
        <w:t>Il lento riequilibrio tra disegni di legge di conversione e progetti di legge contenenti deleghe si è accompagnato alla costante, graduale e fisiologica diminuzione de</w:t>
      </w:r>
      <w:r w:rsidR="00A34AC2" w:rsidRPr="00173406">
        <w:rPr>
          <w:rFonts w:ascii="Garamond" w:hAnsi="Garamond"/>
          <w:sz w:val="32"/>
          <w:szCs w:val="32"/>
        </w:rPr>
        <w:t xml:space="preserve">i </w:t>
      </w:r>
      <w:r w:rsidRPr="00173406">
        <w:rPr>
          <w:rFonts w:ascii="Garamond" w:hAnsi="Garamond"/>
          <w:sz w:val="32"/>
          <w:szCs w:val="32"/>
        </w:rPr>
        <w:t>pareri espressi dal Comitato:</w:t>
      </w:r>
      <w:r w:rsidR="009D0420" w:rsidRPr="00173406">
        <w:rPr>
          <w:rFonts w:ascii="Garamond" w:hAnsi="Garamond"/>
          <w:sz w:val="32"/>
          <w:szCs w:val="32"/>
        </w:rPr>
        <w:t xml:space="preserve"> il </w:t>
      </w:r>
      <w:r w:rsidRPr="00173406">
        <w:rPr>
          <w:rFonts w:ascii="Garamond" w:hAnsi="Garamond"/>
          <w:sz w:val="32"/>
          <w:szCs w:val="32"/>
        </w:rPr>
        <w:t xml:space="preserve">loro </w:t>
      </w:r>
      <w:r w:rsidR="009D0420" w:rsidRPr="00173406">
        <w:rPr>
          <w:rFonts w:ascii="Garamond" w:hAnsi="Garamond"/>
          <w:sz w:val="32"/>
          <w:szCs w:val="32"/>
        </w:rPr>
        <w:t>numero è passa</w:t>
      </w:r>
      <w:r w:rsidRPr="00173406">
        <w:rPr>
          <w:rFonts w:ascii="Garamond" w:hAnsi="Garamond"/>
          <w:sz w:val="32"/>
          <w:szCs w:val="32"/>
        </w:rPr>
        <w:t>t</w:t>
      </w:r>
      <w:r w:rsidR="009D0420" w:rsidRPr="00173406">
        <w:rPr>
          <w:rFonts w:ascii="Garamond" w:hAnsi="Garamond"/>
          <w:sz w:val="32"/>
          <w:szCs w:val="32"/>
        </w:rPr>
        <w:t>o dai 39 del primo turno ai 32 del secondo</w:t>
      </w:r>
      <w:r w:rsidR="00981086" w:rsidRPr="00173406">
        <w:rPr>
          <w:rFonts w:ascii="Garamond" w:hAnsi="Garamond"/>
          <w:sz w:val="32"/>
          <w:szCs w:val="32"/>
        </w:rPr>
        <w:t>,</w:t>
      </w:r>
      <w:r w:rsidR="009D0420" w:rsidRPr="00173406">
        <w:rPr>
          <w:rFonts w:ascii="Garamond" w:hAnsi="Garamond"/>
          <w:sz w:val="32"/>
          <w:szCs w:val="32"/>
        </w:rPr>
        <w:t xml:space="preserve"> ai 2</w:t>
      </w:r>
      <w:r w:rsidR="00981927" w:rsidRPr="00173406">
        <w:rPr>
          <w:rFonts w:ascii="Garamond" w:hAnsi="Garamond"/>
          <w:sz w:val="32"/>
          <w:szCs w:val="32"/>
        </w:rPr>
        <w:t>7</w:t>
      </w:r>
      <w:r w:rsidR="00D82CF1" w:rsidRPr="00173406">
        <w:rPr>
          <w:rFonts w:ascii="Garamond" w:hAnsi="Garamond"/>
          <w:sz w:val="32"/>
          <w:szCs w:val="32"/>
        </w:rPr>
        <w:t xml:space="preserve"> </w:t>
      </w:r>
      <w:r w:rsidR="009D0420" w:rsidRPr="00173406">
        <w:rPr>
          <w:rFonts w:ascii="Garamond" w:hAnsi="Garamond"/>
          <w:sz w:val="32"/>
          <w:szCs w:val="32"/>
        </w:rPr>
        <w:t>del terzo</w:t>
      </w:r>
      <w:r w:rsidR="00981086" w:rsidRPr="00173406">
        <w:rPr>
          <w:rFonts w:ascii="Garamond" w:hAnsi="Garamond"/>
          <w:sz w:val="32"/>
          <w:szCs w:val="32"/>
        </w:rPr>
        <w:t xml:space="preserve"> ed ai 26 del quarto</w:t>
      </w:r>
      <w:r w:rsidR="009D0420" w:rsidRPr="00173406">
        <w:rPr>
          <w:rFonts w:ascii="Garamond" w:hAnsi="Garamond"/>
          <w:sz w:val="32"/>
          <w:szCs w:val="32"/>
        </w:rPr>
        <w:t xml:space="preserve">. </w:t>
      </w:r>
    </w:p>
    <w:p w:rsidR="00FF3F17" w:rsidRPr="00D23F1E" w:rsidRDefault="00FF3F17" w:rsidP="00C45450">
      <w:pPr>
        <w:rPr>
          <w:rFonts w:ascii="Garamond" w:hAnsi="Garamond"/>
          <w:sz w:val="32"/>
          <w:szCs w:val="32"/>
        </w:rPr>
      </w:pPr>
      <w:r w:rsidRPr="00D23F1E">
        <w:rPr>
          <w:rFonts w:ascii="Garamond" w:hAnsi="Garamond"/>
          <w:sz w:val="32"/>
          <w:szCs w:val="32"/>
        </w:rPr>
        <w:t>Nel corso del primo turno, 29 pareri hanno riguardato disegni di legge di conversione e 10 pareri hanno riguardato progetti di legge contenenti disposizioni di delega o autorizzazioni alla delegificazione.</w:t>
      </w:r>
    </w:p>
    <w:p w:rsidR="009D0420" w:rsidRPr="00D23F1E" w:rsidRDefault="00FF3F17" w:rsidP="00C45450">
      <w:pPr>
        <w:rPr>
          <w:rFonts w:ascii="Garamond" w:hAnsi="Garamond"/>
          <w:sz w:val="32"/>
          <w:szCs w:val="32"/>
        </w:rPr>
      </w:pPr>
      <w:r w:rsidRPr="00D23F1E">
        <w:rPr>
          <w:rFonts w:ascii="Garamond" w:hAnsi="Garamond"/>
          <w:sz w:val="32"/>
          <w:szCs w:val="32"/>
        </w:rPr>
        <w:t>Durante il secondo turno, i pareri son</w:t>
      </w:r>
      <w:r w:rsidR="00B64AA2" w:rsidRPr="00D23F1E">
        <w:rPr>
          <w:rFonts w:ascii="Garamond" w:hAnsi="Garamond"/>
          <w:sz w:val="32"/>
          <w:szCs w:val="32"/>
        </w:rPr>
        <w:t xml:space="preserve">o stati rispettivamente 24 e 7; il Comitato si è pronunciato anche </w:t>
      </w:r>
      <w:r w:rsidRPr="00D23F1E">
        <w:rPr>
          <w:rFonts w:ascii="Garamond" w:hAnsi="Garamond"/>
          <w:sz w:val="32"/>
          <w:szCs w:val="32"/>
        </w:rPr>
        <w:t>su</w:t>
      </w:r>
      <w:r w:rsidR="00B64AA2" w:rsidRPr="00D23F1E">
        <w:rPr>
          <w:rFonts w:ascii="Garamond" w:hAnsi="Garamond"/>
          <w:sz w:val="32"/>
          <w:szCs w:val="32"/>
        </w:rPr>
        <w:t xml:space="preserve">l disegno di legge di riforma costituzionale, </w:t>
      </w:r>
      <w:r w:rsidRPr="00D23F1E">
        <w:rPr>
          <w:rFonts w:ascii="Garamond" w:hAnsi="Garamond"/>
          <w:sz w:val="32"/>
          <w:szCs w:val="32"/>
        </w:rPr>
        <w:t>su richiesta di almeno un quinto dei componenti la Commissione.</w:t>
      </w:r>
    </w:p>
    <w:p w:rsidR="00FF3F17" w:rsidRPr="00D23F1E" w:rsidRDefault="00FF3F17" w:rsidP="00C45450">
      <w:pPr>
        <w:rPr>
          <w:rFonts w:ascii="Garamond" w:hAnsi="Garamond"/>
          <w:sz w:val="32"/>
          <w:szCs w:val="32"/>
        </w:rPr>
      </w:pPr>
      <w:r w:rsidRPr="00D23F1E">
        <w:rPr>
          <w:rFonts w:ascii="Garamond" w:hAnsi="Garamond"/>
          <w:sz w:val="32"/>
          <w:szCs w:val="32"/>
        </w:rPr>
        <w:t>Nel terzo turno</w:t>
      </w:r>
      <w:r w:rsidR="00981086" w:rsidRPr="00D23F1E">
        <w:rPr>
          <w:rFonts w:ascii="Garamond" w:hAnsi="Garamond"/>
          <w:sz w:val="32"/>
          <w:szCs w:val="32"/>
        </w:rPr>
        <w:t xml:space="preserve"> </w:t>
      </w:r>
      <w:r w:rsidRPr="00D23F1E">
        <w:rPr>
          <w:rFonts w:ascii="Garamond" w:hAnsi="Garamond"/>
          <w:sz w:val="32"/>
          <w:szCs w:val="32"/>
        </w:rPr>
        <w:t>i pare</w:t>
      </w:r>
      <w:r w:rsidR="00295538" w:rsidRPr="00D23F1E">
        <w:rPr>
          <w:rFonts w:ascii="Garamond" w:hAnsi="Garamond"/>
          <w:sz w:val="32"/>
          <w:szCs w:val="32"/>
        </w:rPr>
        <w:t>ri sono stati rispettivamente 1</w:t>
      </w:r>
      <w:r w:rsidR="00981927" w:rsidRPr="00D23F1E">
        <w:rPr>
          <w:rFonts w:ascii="Garamond" w:hAnsi="Garamond"/>
          <w:sz w:val="32"/>
          <w:szCs w:val="32"/>
        </w:rPr>
        <w:t>5</w:t>
      </w:r>
      <w:r w:rsidRPr="00D23F1E">
        <w:rPr>
          <w:rFonts w:ascii="Garamond" w:hAnsi="Garamond"/>
          <w:sz w:val="32"/>
          <w:szCs w:val="32"/>
        </w:rPr>
        <w:t xml:space="preserve"> e 1</w:t>
      </w:r>
      <w:r w:rsidR="00981927" w:rsidRPr="00D23F1E">
        <w:rPr>
          <w:rFonts w:ascii="Garamond" w:hAnsi="Garamond"/>
          <w:sz w:val="32"/>
          <w:szCs w:val="32"/>
        </w:rPr>
        <w:t>1</w:t>
      </w:r>
      <w:r w:rsidR="00D82CF1" w:rsidRPr="00D23F1E">
        <w:rPr>
          <w:rFonts w:ascii="Garamond" w:hAnsi="Garamond"/>
          <w:sz w:val="32"/>
          <w:szCs w:val="32"/>
        </w:rPr>
        <w:t xml:space="preserve"> (anche in questo caso, </w:t>
      </w:r>
      <w:r w:rsidR="00B64AA2" w:rsidRPr="00D23F1E">
        <w:rPr>
          <w:rFonts w:ascii="Garamond" w:hAnsi="Garamond"/>
          <w:sz w:val="32"/>
          <w:szCs w:val="32"/>
        </w:rPr>
        <w:t>occorre aggiungere il parere sul disegno di legge di riforma costituzionale</w:t>
      </w:r>
      <w:r w:rsidR="00D82CF1" w:rsidRPr="00D23F1E">
        <w:rPr>
          <w:rFonts w:ascii="Garamond" w:hAnsi="Garamond"/>
          <w:sz w:val="32"/>
          <w:szCs w:val="32"/>
        </w:rPr>
        <w:t>)</w:t>
      </w:r>
      <w:r w:rsidRPr="00D23F1E">
        <w:rPr>
          <w:rFonts w:ascii="Garamond" w:hAnsi="Garamond"/>
          <w:sz w:val="32"/>
          <w:szCs w:val="32"/>
        </w:rPr>
        <w:t>.</w:t>
      </w:r>
    </w:p>
    <w:p w:rsidR="00981086" w:rsidRPr="00D23F1E" w:rsidRDefault="00981086" w:rsidP="00C45450">
      <w:pPr>
        <w:rPr>
          <w:rFonts w:ascii="Garamond" w:hAnsi="Garamond"/>
          <w:sz w:val="32"/>
          <w:szCs w:val="32"/>
        </w:rPr>
      </w:pPr>
      <w:r w:rsidRPr="00D23F1E">
        <w:rPr>
          <w:rFonts w:ascii="Garamond" w:hAnsi="Garamond"/>
          <w:sz w:val="32"/>
          <w:szCs w:val="32"/>
        </w:rPr>
        <w:t>Durante il quarto turno, infine, 12 pareri hanno riguardato disegni di legge di conversione e 13 progetti di legge contenenti disposizioni di delega</w:t>
      </w:r>
      <w:r w:rsidR="00D67C37">
        <w:rPr>
          <w:rFonts w:ascii="Garamond" w:hAnsi="Garamond"/>
          <w:sz w:val="32"/>
          <w:szCs w:val="32"/>
        </w:rPr>
        <w:t xml:space="preserve"> (un altro parere ha riguardato la</w:t>
      </w:r>
      <w:r w:rsidR="00D67C37" w:rsidRPr="00D67C37">
        <w:rPr>
          <w:rFonts w:ascii="Garamond" w:hAnsi="Garamond"/>
          <w:sz w:val="32"/>
          <w:szCs w:val="32"/>
        </w:rPr>
        <w:t xml:space="preserve"> </w:t>
      </w:r>
      <w:r w:rsidR="00D67C37">
        <w:rPr>
          <w:rFonts w:ascii="Garamond" w:hAnsi="Garamond"/>
          <w:sz w:val="32"/>
          <w:szCs w:val="32"/>
        </w:rPr>
        <w:t xml:space="preserve">proposta di legge parlamentare </w:t>
      </w:r>
      <w:r w:rsidR="00D67C37">
        <w:rPr>
          <w:rFonts w:ascii="Garamond" w:hAnsi="Garamond"/>
          <w:iCs/>
          <w:sz w:val="32"/>
          <w:szCs w:val="32"/>
        </w:rPr>
        <w:t xml:space="preserve">riguardante </w:t>
      </w:r>
      <w:r w:rsidR="00D67C37" w:rsidRPr="003505A6">
        <w:rPr>
          <w:rFonts w:ascii="Garamond" w:hAnsi="Garamond"/>
          <w:bCs/>
          <w:iCs/>
          <w:sz w:val="32"/>
          <w:szCs w:val="32"/>
        </w:rPr>
        <w:t xml:space="preserve">la </w:t>
      </w:r>
      <w:r w:rsidR="00D67C37">
        <w:rPr>
          <w:rFonts w:ascii="Garamond" w:hAnsi="Garamond"/>
          <w:bCs/>
          <w:iCs/>
          <w:sz w:val="32"/>
          <w:szCs w:val="32"/>
        </w:rPr>
        <w:t>disciplina dei partiti politici,</w:t>
      </w:r>
      <w:r w:rsidR="00D67C37">
        <w:rPr>
          <w:rFonts w:ascii="Garamond" w:hAnsi="Garamond"/>
          <w:sz w:val="32"/>
          <w:szCs w:val="32"/>
        </w:rPr>
        <w:t xml:space="preserve"> </w:t>
      </w:r>
      <w:r w:rsidR="00D67C37" w:rsidRPr="003505A6">
        <w:rPr>
          <w:rFonts w:ascii="Garamond" w:hAnsi="Garamond"/>
          <w:iCs/>
          <w:sz w:val="32"/>
          <w:szCs w:val="32"/>
        </w:rPr>
        <w:t>sottopost</w:t>
      </w:r>
      <w:r w:rsidR="00D67C37">
        <w:rPr>
          <w:rFonts w:ascii="Garamond" w:hAnsi="Garamond"/>
          <w:iCs/>
          <w:sz w:val="32"/>
          <w:szCs w:val="32"/>
        </w:rPr>
        <w:t>a</w:t>
      </w:r>
      <w:r w:rsidR="00D67C37" w:rsidRPr="003505A6">
        <w:rPr>
          <w:rFonts w:ascii="Garamond" w:hAnsi="Garamond"/>
          <w:iCs/>
          <w:sz w:val="32"/>
          <w:szCs w:val="32"/>
        </w:rPr>
        <w:t xml:space="preserve"> al parere del Comitato a norma dell’articolo 16-</w:t>
      </w:r>
      <w:r w:rsidR="00D67C37" w:rsidRPr="003505A6">
        <w:rPr>
          <w:rFonts w:ascii="Garamond" w:hAnsi="Garamond"/>
          <w:i/>
          <w:iCs/>
          <w:sz w:val="32"/>
          <w:szCs w:val="32"/>
        </w:rPr>
        <w:t>bis</w:t>
      </w:r>
      <w:r w:rsidR="00D67C37" w:rsidRPr="003505A6">
        <w:rPr>
          <w:rFonts w:ascii="Garamond" w:hAnsi="Garamond"/>
          <w:iCs/>
          <w:sz w:val="32"/>
          <w:szCs w:val="32"/>
        </w:rPr>
        <w:t xml:space="preserve">, </w:t>
      </w:r>
      <w:r w:rsidR="00D67C37" w:rsidRPr="003505A6">
        <w:rPr>
          <w:rFonts w:ascii="Garamond" w:hAnsi="Garamond"/>
          <w:iCs/>
          <w:sz w:val="32"/>
          <w:szCs w:val="32"/>
        </w:rPr>
        <w:lastRenderedPageBreak/>
        <w:t>comma 4 del regolamento, su richiesta di almeno un quinto dei componenti la Commissione Affari costituzionali</w:t>
      </w:r>
      <w:r w:rsidR="00D67C37">
        <w:rPr>
          <w:rFonts w:ascii="Garamond" w:hAnsi="Garamond"/>
          <w:iCs/>
          <w:sz w:val="32"/>
          <w:szCs w:val="32"/>
        </w:rPr>
        <w:t>)</w:t>
      </w:r>
      <w:r w:rsidRPr="00D23F1E">
        <w:rPr>
          <w:rFonts w:ascii="Garamond" w:hAnsi="Garamond"/>
          <w:sz w:val="32"/>
          <w:szCs w:val="32"/>
        </w:rPr>
        <w:t>.</w:t>
      </w:r>
    </w:p>
    <w:p w:rsidR="00FF3F17" w:rsidRDefault="00FF3F17" w:rsidP="00C45450">
      <w:pPr>
        <w:rPr>
          <w:rFonts w:ascii="Garamond" w:hAnsi="Garamond"/>
          <w:sz w:val="32"/>
          <w:szCs w:val="32"/>
        </w:rPr>
      </w:pPr>
      <w:r w:rsidRPr="00D23F1E">
        <w:rPr>
          <w:rFonts w:ascii="Garamond" w:hAnsi="Garamond"/>
          <w:sz w:val="32"/>
          <w:szCs w:val="32"/>
        </w:rPr>
        <w:t xml:space="preserve">Quindi, nei </w:t>
      </w:r>
      <w:r w:rsidR="00DD690B" w:rsidRPr="00D23F1E">
        <w:rPr>
          <w:rFonts w:ascii="Garamond" w:hAnsi="Garamond"/>
          <w:sz w:val="32"/>
          <w:szCs w:val="32"/>
        </w:rPr>
        <w:t>quas</w:t>
      </w:r>
      <w:r w:rsidRPr="00D23F1E">
        <w:rPr>
          <w:rFonts w:ascii="Garamond" w:hAnsi="Garamond"/>
          <w:sz w:val="32"/>
          <w:szCs w:val="32"/>
        </w:rPr>
        <w:t xml:space="preserve">i </w:t>
      </w:r>
      <w:r w:rsidR="00981086" w:rsidRPr="00D23F1E">
        <w:rPr>
          <w:rFonts w:ascii="Garamond" w:hAnsi="Garamond"/>
          <w:sz w:val="32"/>
          <w:szCs w:val="32"/>
        </w:rPr>
        <w:t>42</w:t>
      </w:r>
      <w:r w:rsidRPr="00D23F1E">
        <w:rPr>
          <w:rFonts w:ascii="Garamond" w:hAnsi="Garamond"/>
          <w:sz w:val="32"/>
          <w:szCs w:val="32"/>
        </w:rPr>
        <w:t xml:space="preserve"> mesi di attività i pareri sui disegni di legge di conversione hanno rappresentato </w:t>
      </w:r>
      <w:r w:rsidR="00173406" w:rsidRPr="00D23F1E">
        <w:rPr>
          <w:rFonts w:ascii="Garamond" w:hAnsi="Garamond"/>
          <w:sz w:val="32"/>
          <w:szCs w:val="32"/>
        </w:rPr>
        <w:t xml:space="preserve">quasi i due terzi </w:t>
      </w:r>
      <w:r w:rsidRPr="00D23F1E">
        <w:rPr>
          <w:rFonts w:ascii="Garamond" w:hAnsi="Garamond"/>
          <w:sz w:val="32"/>
          <w:szCs w:val="32"/>
        </w:rPr>
        <w:t xml:space="preserve">dei pareri espressi dal Comitato; negli ultimi 10 mesi tale </w:t>
      </w:r>
      <w:r w:rsidR="00D23F1E" w:rsidRPr="00D23F1E">
        <w:rPr>
          <w:rFonts w:ascii="Garamond" w:hAnsi="Garamond"/>
          <w:sz w:val="32"/>
          <w:szCs w:val="32"/>
        </w:rPr>
        <w:t xml:space="preserve">rapporto si attesta </w:t>
      </w:r>
      <w:r w:rsidR="00D23F1E">
        <w:rPr>
          <w:rFonts w:ascii="Garamond" w:hAnsi="Garamond"/>
          <w:sz w:val="32"/>
          <w:szCs w:val="32"/>
        </w:rPr>
        <w:t>a</w:t>
      </w:r>
      <w:r w:rsidR="00D23F1E" w:rsidRPr="00D23F1E">
        <w:rPr>
          <w:rFonts w:ascii="Garamond" w:hAnsi="Garamond"/>
          <w:sz w:val="32"/>
          <w:szCs w:val="32"/>
        </w:rPr>
        <w:t xml:space="preserve"> </w:t>
      </w:r>
      <w:r w:rsidR="000529DA">
        <w:rPr>
          <w:rFonts w:ascii="Garamond" w:hAnsi="Garamond"/>
          <w:sz w:val="32"/>
          <w:szCs w:val="32"/>
        </w:rPr>
        <w:t xml:space="preserve">poco </w:t>
      </w:r>
      <w:r w:rsidR="00D23F1E" w:rsidRPr="00D23F1E">
        <w:rPr>
          <w:rFonts w:ascii="Garamond" w:hAnsi="Garamond"/>
          <w:sz w:val="32"/>
          <w:szCs w:val="32"/>
        </w:rPr>
        <w:t>meno della metà</w:t>
      </w:r>
      <w:r w:rsidRPr="00D23F1E">
        <w:rPr>
          <w:rFonts w:ascii="Garamond" w:hAnsi="Garamond"/>
          <w:sz w:val="32"/>
          <w:szCs w:val="32"/>
        </w:rPr>
        <w:t>.</w:t>
      </w:r>
    </w:p>
    <w:p w:rsidR="00FD4F65" w:rsidRPr="003505A6" w:rsidRDefault="00B84A17" w:rsidP="00C45450">
      <w:pPr>
        <w:rPr>
          <w:rFonts w:ascii="Garamond" w:hAnsi="Garamond"/>
          <w:sz w:val="32"/>
          <w:szCs w:val="32"/>
        </w:rPr>
      </w:pPr>
      <w:r>
        <w:rPr>
          <w:rFonts w:ascii="Garamond" w:hAnsi="Garamond"/>
          <w:sz w:val="32"/>
          <w:szCs w:val="32"/>
        </w:rPr>
        <w:t>La differenza rispecchia l’evoluzione della produzione normativa</w:t>
      </w:r>
      <w:r w:rsidR="00D23F1E">
        <w:rPr>
          <w:rFonts w:ascii="Garamond" w:hAnsi="Garamond"/>
          <w:sz w:val="32"/>
          <w:szCs w:val="32"/>
        </w:rPr>
        <w:t xml:space="preserve"> nel corso della legislatura: su 23</w:t>
      </w:r>
      <w:r w:rsidR="00D67C37">
        <w:rPr>
          <w:rFonts w:ascii="Garamond" w:hAnsi="Garamond"/>
          <w:sz w:val="32"/>
          <w:szCs w:val="32"/>
        </w:rPr>
        <w:t>9</w:t>
      </w:r>
      <w:r w:rsidR="00D23F1E">
        <w:rPr>
          <w:rFonts w:ascii="Garamond" w:hAnsi="Garamond"/>
          <w:sz w:val="32"/>
          <w:szCs w:val="32"/>
        </w:rPr>
        <w:t xml:space="preserve"> leggi approvate alla</w:t>
      </w:r>
      <w:r w:rsidR="00D67C37">
        <w:rPr>
          <w:rFonts w:ascii="Garamond" w:hAnsi="Garamond"/>
          <w:sz w:val="32"/>
          <w:szCs w:val="32"/>
        </w:rPr>
        <w:t xml:space="preserve"> data del 31</w:t>
      </w:r>
      <w:r w:rsidR="00800FB7">
        <w:rPr>
          <w:rFonts w:ascii="Garamond" w:hAnsi="Garamond"/>
          <w:sz w:val="32"/>
          <w:szCs w:val="32"/>
        </w:rPr>
        <w:t xml:space="preserve"> luglio 2016, 6</w:t>
      </w:r>
      <w:r w:rsidR="00D67C37">
        <w:rPr>
          <w:rFonts w:ascii="Garamond" w:hAnsi="Garamond"/>
          <w:sz w:val="32"/>
          <w:szCs w:val="32"/>
        </w:rPr>
        <w:t xml:space="preserve">6 sono di conversione </w:t>
      </w:r>
      <w:r>
        <w:rPr>
          <w:rFonts w:ascii="Garamond" w:hAnsi="Garamond"/>
          <w:sz w:val="32"/>
          <w:szCs w:val="32"/>
        </w:rPr>
        <w:t xml:space="preserve">(il 27,6 per cento) </w:t>
      </w:r>
      <w:r w:rsidR="00D67C37">
        <w:rPr>
          <w:rFonts w:ascii="Garamond" w:hAnsi="Garamond"/>
          <w:sz w:val="32"/>
          <w:szCs w:val="32"/>
        </w:rPr>
        <w:t>e 24</w:t>
      </w:r>
      <w:r w:rsidR="00800FB7">
        <w:rPr>
          <w:rFonts w:ascii="Garamond" w:hAnsi="Garamond"/>
          <w:sz w:val="32"/>
          <w:szCs w:val="32"/>
        </w:rPr>
        <w:t xml:space="preserve"> contengono disposizioni d</w:t>
      </w:r>
      <w:r w:rsidR="00D67C37">
        <w:rPr>
          <w:rFonts w:ascii="Garamond" w:hAnsi="Garamond"/>
          <w:sz w:val="32"/>
          <w:szCs w:val="32"/>
        </w:rPr>
        <w:t>i delega</w:t>
      </w:r>
      <w:r w:rsidR="009466C6">
        <w:rPr>
          <w:rFonts w:ascii="Garamond" w:hAnsi="Garamond"/>
          <w:sz w:val="32"/>
          <w:szCs w:val="32"/>
        </w:rPr>
        <w:t xml:space="preserve"> (il 10 per cento).</w:t>
      </w:r>
      <w:r w:rsidR="00D67C37">
        <w:rPr>
          <w:rFonts w:ascii="Garamond" w:hAnsi="Garamond"/>
          <w:sz w:val="32"/>
          <w:szCs w:val="32"/>
        </w:rPr>
        <w:t xml:space="preserve"> </w:t>
      </w:r>
      <w:r w:rsidR="000529DA">
        <w:rPr>
          <w:rFonts w:ascii="Garamond" w:hAnsi="Garamond"/>
          <w:sz w:val="32"/>
          <w:szCs w:val="32"/>
        </w:rPr>
        <w:t>Le leggi di ratifica sono 94 (pari al 39,3 per cento); la categoria residuale delle altre leggi ne comprende 52 (il 21,7 per cento)</w:t>
      </w:r>
    </w:p>
    <w:p w:rsidR="00A2500F" w:rsidRDefault="00A2500F" w:rsidP="00A2500F">
      <w:pPr>
        <w:rPr>
          <w:rFonts w:ascii="Garamond" w:hAnsi="Garamond"/>
          <w:sz w:val="32"/>
          <w:szCs w:val="32"/>
        </w:rPr>
      </w:pPr>
      <w:r>
        <w:rPr>
          <w:rFonts w:ascii="Garamond" w:hAnsi="Garamond"/>
          <w:sz w:val="32"/>
          <w:szCs w:val="32"/>
        </w:rPr>
        <w:t>Nei</w:t>
      </w:r>
      <w:r w:rsidRPr="003505A6">
        <w:rPr>
          <w:rFonts w:ascii="Garamond" w:hAnsi="Garamond"/>
          <w:sz w:val="32"/>
          <w:szCs w:val="32"/>
        </w:rPr>
        <w:t xml:space="preserve"> dieci mesi</w:t>
      </w:r>
      <w:r>
        <w:rPr>
          <w:rFonts w:ascii="Garamond" w:hAnsi="Garamond"/>
          <w:sz w:val="32"/>
          <w:szCs w:val="32"/>
        </w:rPr>
        <w:t xml:space="preserve"> di riferimento</w:t>
      </w:r>
      <w:r w:rsidRPr="003505A6">
        <w:rPr>
          <w:rFonts w:ascii="Garamond" w:hAnsi="Garamond"/>
          <w:sz w:val="32"/>
          <w:szCs w:val="32"/>
        </w:rPr>
        <w:t xml:space="preserve">, sono state approvate </w:t>
      </w:r>
      <w:r>
        <w:rPr>
          <w:rFonts w:ascii="Garamond" w:hAnsi="Garamond"/>
          <w:sz w:val="32"/>
          <w:szCs w:val="32"/>
        </w:rPr>
        <w:t>68 leggi, delle quali: 2 costituzionali (il testo della riforma della parte II della Costituzione e la legge costituzionale di modifica dello Statuto del Friuli Venezia Giulia); 2 leggi di bilancio; 13 di conversione (19,1 per cento); 10 contenenti disposizioni di delega (14,7 per cento; ad esse vanno aggiunte</w:t>
      </w:r>
      <w:r w:rsidRPr="009466C6">
        <w:rPr>
          <w:rFonts w:ascii="Garamond" w:hAnsi="Garamond"/>
          <w:sz w:val="32"/>
          <w:szCs w:val="32"/>
        </w:rPr>
        <w:t xml:space="preserve"> </w:t>
      </w:r>
      <w:r>
        <w:rPr>
          <w:rFonts w:ascii="Garamond" w:hAnsi="Garamond"/>
          <w:sz w:val="32"/>
          <w:szCs w:val="32"/>
        </w:rPr>
        <w:t>tre leggi di conversione che incidono anche su disposizioni di delega); 27 di ratifica (pari al 39,7 per cento); 14 altre leggi (cioè il 20,6 per cento).</w:t>
      </w:r>
    </w:p>
    <w:p w:rsidR="000529DA" w:rsidRPr="000529DA" w:rsidRDefault="000529DA" w:rsidP="000529DA">
      <w:pPr>
        <w:rPr>
          <w:rFonts w:ascii="Garamond" w:hAnsi="Garamond"/>
          <w:sz w:val="32"/>
          <w:szCs w:val="32"/>
        </w:rPr>
      </w:pPr>
      <w:r>
        <w:rPr>
          <w:rFonts w:ascii="Garamond" w:hAnsi="Garamond"/>
          <w:sz w:val="32"/>
          <w:szCs w:val="32"/>
        </w:rPr>
        <w:t xml:space="preserve">I dati </w:t>
      </w:r>
      <w:r w:rsidR="003C0079">
        <w:rPr>
          <w:rFonts w:ascii="Garamond" w:hAnsi="Garamond"/>
          <w:sz w:val="32"/>
          <w:szCs w:val="32"/>
        </w:rPr>
        <w:t>statistici da soli confermano quanto già rilevato nell</w:t>
      </w:r>
      <w:r w:rsidR="00427773">
        <w:rPr>
          <w:rFonts w:ascii="Garamond" w:hAnsi="Garamond"/>
          <w:sz w:val="32"/>
          <w:szCs w:val="32"/>
        </w:rPr>
        <w:t>a premessa</w:t>
      </w:r>
      <w:r w:rsidR="003C0079">
        <w:rPr>
          <w:rFonts w:ascii="Garamond" w:hAnsi="Garamond"/>
          <w:sz w:val="32"/>
          <w:szCs w:val="32"/>
        </w:rPr>
        <w:t xml:space="preserve"> circa il ruolo del Comitato, che intercetta la produzione legislativa di maggior rilievo, con poche eccezioni (prima delle quali la legge di stabilità</w:t>
      </w:r>
      <w:r w:rsidR="00427773">
        <w:rPr>
          <w:rFonts w:ascii="Garamond" w:hAnsi="Garamond"/>
          <w:sz w:val="32"/>
          <w:szCs w:val="32"/>
        </w:rPr>
        <w:t>, cui però è stata dedicata un’attenta analisi in un fascicolo della collana “Appunti del Comitato”</w:t>
      </w:r>
      <w:r w:rsidR="003C0079">
        <w:rPr>
          <w:rFonts w:ascii="Garamond" w:hAnsi="Garamond"/>
          <w:sz w:val="32"/>
          <w:szCs w:val="32"/>
        </w:rPr>
        <w:t>): da un lato, i decreti-legge chiamati ad affrontare talune tra le problematiche attualmente più spinose, dall’altro, i processi riformatori affidati a procedimenti delegati.</w:t>
      </w:r>
      <w:r>
        <w:rPr>
          <w:rFonts w:ascii="Garamond" w:hAnsi="Garamond"/>
          <w:sz w:val="32"/>
          <w:szCs w:val="32"/>
        </w:rPr>
        <w:t xml:space="preserve"> </w:t>
      </w:r>
    </w:p>
    <w:p w:rsidR="009F049E" w:rsidRPr="003505A6" w:rsidRDefault="009F049E" w:rsidP="00EF7AD5">
      <w:pPr>
        <w:rPr>
          <w:rFonts w:ascii="Garamond" w:hAnsi="Garamond"/>
        </w:rPr>
        <w:sectPr w:rsidR="009F049E" w:rsidRPr="003505A6" w:rsidSect="0003257F">
          <w:footerReference w:type="even" r:id="rId16"/>
          <w:footerReference w:type="default" r:id="rId17"/>
          <w:pgSz w:w="11906" w:h="16838" w:code="9"/>
          <w:pgMar w:top="1985" w:right="1985" w:bottom="1985" w:left="1985" w:header="1134" w:footer="1134" w:gutter="0"/>
          <w:cols w:space="720"/>
          <w:formProt w:val="0"/>
        </w:sectPr>
      </w:pPr>
    </w:p>
    <w:p w:rsidR="00670EB5" w:rsidRPr="003505A6" w:rsidRDefault="005523E2" w:rsidP="00670EB5">
      <w:pPr>
        <w:pStyle w:val="Titolo1"/>
        <w:rPr>
          <w:rFonts w:ascii="Garamond" w:hAnsi="Garamond"/>
          <w:i/>
          <w:color w:val="0000FF"/>
          <w:sz w:val="44"/>
          <w:szCs w:val="44"/>
        </w:rPr>
      </w:pPr>
      <w:bookmarkStart w:id="21" w:name="_Toc337653468"/>
      <w:bookmarkStart w:id="22" w:name="_Toc342035925"/>
      <w:bookmarkStart w:id="23" w:name="_Toc458677962"/>
      <w:r w:rsidRPr="003505A6">
        <w:rPr>
          <w:rFonts w:ascii="Garamond" w:hAnsi="Garamond"/>
          <w:i/>
          <w:color w:val="0000FF"/>
          <w:sz w:val="44"/>
          <w:szCs w:val="44"/>
        </w:rPr>
        <w:lastRenderedPageBreak/>
        <w:t>I</w:t>
      </w:r>
      <w:r w:rsidR="00EC4792" w:rsidRPr="003505A6">
        <w:rPr>
          <w:rFonts w:ascii="Garamond" w:hAnsi="Garamond"/>
          <w:i/>
          <w:color w:val="0000FF"/>
          <w:sz w:val="44"/>
          <w:szCs w:val="44"/>
        </w:rPr>
        <w:t>V</w:t>
      </w:r>
      <w:r w:rsidR="00670EB5" w:rsidRPr="003505A6">
        <w:rPr>
          <w:rFonts w:ascii="Garamond" w:hAnsi="Garamond"/>
          <w:i/>
          <w:color w:val="0000FF"/>
          <w:sz w:val="44"/>
          <w:szCs w:val="44"/>
        </w:rPr>
        <w:t>.</w:t>
      </w:r>
      <w:r w:rsidR="00670EB5" w:rsidRPr="003505A6">
        <w:rPr>
          <w:rFonts w:ascii="Garamond" w:hAnsi="Garamond"/>
          <w:i/>
          <w:color w:val="0000FF"/>
          <w:sz w:val="44"/>
          <w:szCs w:val="44"/>
        </w:rPr>
        <w:br/>
        <w:t>L’ATTIVIT</w:t>
      </w:r>
      <w:r w:rsidR="00266315" w:rsidRPr="003505A6">
        <w:rPr>
          <w:rFonts w:ascii="Garamond" w:hAnsi="Garamond"/>
          <w:i/>
          <w:color w:val="0000FF"/>
          <w:sz w:val="44"/>
          <w:szCs w:val="44"/>
        </w:rPr>
        <w:t>À</w:t>
      </w:r>
      <w:r w:rsidR="00670EB5" w:rsidRPr="003505A6">
        <w:rPr>
          <w:rFonts w:ascii="Garamond" w:hAnsi="Garamond"/>
          <w:i/>
          <w:color w:val="0000FF"/>
          <w:sz w:val="44"/>
          <w:szCs w:val="44"/>
        </w:rPr>
        <w:t xml:space="preserve"> CONSULTIVA</w:t>
      </w:r>
      <w:r w:rsidR="00345240" w:rsidRPr="003505A6">
        <w:rPr>
          <w:rFonts w:ascii="Garamond" w:hAnsi="Garamond"/>
          <w:i/>
          <w:color w:val="0000FF"/>
          <w:sz w:val="44"/>
          <w:szCs w:val="44"/>
        </w:rPr>
        <w:br/>
      </w:r>
      <w:r w:rsidR="00670EB5" w:rsidRPr="003505A6">
        <w:rPr>
          <w:rFonts w:ascii="Garamond" w:hAnsi="Garamond"/>
          <w:i/>
          <w:color w:val="0000FF"/>
          <w:sz w:val="44"/>
          <w:szCs w:val="44"/>
        </w:rPr>
        <w:t>DEL COMITATO</w:t>
      </w:r>
      <w:bookmarkEnd w:id="21"/>
      <w:bookmarkEnd w:id="22"/>
      <w:bookmarkEnd w:id="23"/>
    </w:p>
    <w:p w:rsidR="00670EB5" w:rsidRPr="003505A6" w:rsidRDefault="00670EB5" w:rsidP="0068394A">
      <w:pPr>
        <w:rPr>
          <w:rFonts w:ascii="Garamond" w:hAnsi="Garamond"/>
          <w:sz w:val="32"/>
          <w:szCs w:val="32"/>
        </w:rPr>
      </w:pPr>
      <w:r w:rsidRPr="003505A6">
        <w:rPr>
          <w:rFonts w:ascii="Garamond" w:hAnsi="Garamond"/>
          <w:sz w:val="32"/>
          <w:szCs w:val="32"/>
        </w:rPr>
        <w:t>Il Comitato esprime pareri “</w:t>
      </w:r>
      <w:r w:rsidRPr="003505A6">
        <w:rPr>
          <w:rFonts w:ascii="Garamond" w:hAnsi="Garamond"/>
          <w:i/>
          <w:iCs/>
          <w:sz w:val="32"/>
          <w:szCs w:val="32"/>
        </w:rPr>
        <w:t>sulla qualità dei testi, con riguardo alla loro omogeneità, alla semplicità, chiarezza e proprietà della loro formulazione, nonché all’efficacia per la semplificazione e il riordinamento della legislazione vigente</w:t>
      </w:r>
      <w:r w:rsidRPr="003505A6">
        <w:rPr>
          <w:rFonts w:ascii="Garamond" w:hAnsi="Garamond"/>
          <w:sz w:val="32"/>
          <w:szCs w:val="32"/>
        </w:rPr>
        <w:t>” (art. 16-</w:t>
      </w:r>
      <w:r w:rsidRPr="003505A6">
        <w:rPr>
          <w:rFonts w:ascii="Garamond" w:hAnsi="Garamond"/>
          <w:i/>
          <w:iCs/>
          <w:sz w:val="32"/>
          <w:szCs w:val="32"/>
        </w:rPr>
        <w:t>bis</w:t>
      </w:r>
      <w:r w:rsidR="006F15AB" w:rsidRPr="003505A6">
        <w:rPr>
          <w:rFonts w:ascii="Garamond" w:hAnsi="Garamond"/>
          <w:sz w:val="32"/>
          <w:szCs w:val="32"/>
        </w:rPr>
        <w:t>, comma 4</w:t>
      </w:r>
      <w:r w:rsidR="0055293F" w:rsidRPr="003505A6">
        <w:rPr>
          <w:rFonts w:ascii="Garamond" w:hAnsi="Garamond"/>
          <w:sz w:val="32"/>
          <w:szCs w:val="32"/>
        </w:rPr>
        <w:t xml:space="preserve"> del regolamento della Camera</w:t>
      </w:r>
      <w:r w:rsidRPr="003505A6">
        <w:rPr>
          <w:rFonts w:ascii="Garamond" w:hAnsi="Garamond"/>
          <w:sz w:val="32"/>
          <w:szCs w:val="32"/>
        </w:rPr>
        <w:t>).</w:t>
      </w:r>
    </w:p>
    <w:p w:rsidR="00670EB5" w:rsidRPr="003505A6" w:rsidRDefault="00EC4792" w:rsidP="004D780B">
      <w:pPr>
        <w:pStyle w:val="Titolo2"/>
        <w:ind w:left="0" w:firstLine="0"/>
        <w:rPr>
          <w:rFonts w:ascii="Garamond" w:hAnsi="Garamond"/>
          <w:i/>
          <w:color w:val="0000FF"/>
          <w:sz w:val="40"/>
          <w:szCs w:val="40"/>
        </w:rPr>
      </w:pPr>
      <w:bookmarkStart w:id="24" w:name="_Toc337653469"/>
      <w:bookmarkStart w:id="25" w:name="_Toc342035926"/>
      <w:bookmarkStart w:id="26" w:name="_Toc458677963"/>
      <w:r w:rsidRPr="003505A6">
        <w:rPr>
          <w:rFonts w:ascii="Garamond" w:hAnsi="Garamond"/>
          <w:i/>
          <w:color w:val="0000FF"/>
          <w:sz w:val="40"/>
          <w:szCs w:val="40"/>
        </w:rPr>
        <w:t>4</w:t>
      </w:r>
      <w:r w:rsidR="00670EB5" w:rsidRPr="003505A6">
        <w:rPr>
          <w:rFonts w:ascii="Garamond" w:hAnsi="Garamond"/>
          <w:i/>
          <w:color w:val="0000FF"/>
          <w:sz w:val="40"/>
          <w:szCs w:val="40"/>
        </w:rPr>
        <w:t>.1. La struttura dei pareri</w:t>
      </w:r>
      <w:bookmarkEnd w:id="24"/>
      <w:bookmarkEnd w:id="25"/>
      <w:bookmarkEnd w:id="26"/>
    </w:p>
    <w:p w:rsidR="00670EB5" w:rsidRPr="003505A6" w:rsidRDefault="00670EB5" w:rsidP="0068394A">
      <w:pPr>
        <w:rPr>
          <w:rFonts w:ascii="Garamond" w:hAnsi="Garamond"/>
          <w:sz w:val="32"/>
          <w:szCs w:val="32"/>
        </w:rPr>
      </w:pPr>
      <w:r w:rsidRPr="003505A6">
        <w:rPr>
          <w:rFonts w:ascii="Garamond" w:hAnsi="Garamond"/>
          <w:sz w:val="32"/>
          <w:szCs w:val="32"/>
        </w:rPr>
        <w:t>I pareri in genere si compongono di:</w:t>
      </w:r>
    </w:p>
    <w:p w:rsidR="00670EB5" w:rsidRPr="003505A6" w:rsidRDefault="00670EB5" w:rsidP="00E10E3E">
      <w:pPr>
        <w:numPr>
          <w:ilvl w:val="0"/>
          <w:numId w:val="9"/>
        </w:numPr>
        <w:spacing w:before="120" w:after="120"/>
        <w:rPr>
          <w:rFonts w:ascii="Garamond" w:hAnsi="Garamond"/>
          <w:sz w:val="32"/>
          <w:szCs w:val="32"/>
        </w:rPr>
      </w:pPr>
      <w:r w:rsidRPr="003505A6">
        <w:rPr>
          <w:rFonts w:ascii="Garamond" w:hAnsi="Garamond"/>
          <w:sz w:val="32"/>
          <w:szCs w:val="32"/>
        </w:rPr>
        <w:t xml:space="preserve">una </w:t>
      </w:r>
      <w:r w:rsidRPr="003505A6">
        <w:rPr>
          <w:rFonts w:ascii="Garamond" w:hAnsi="Garamond"/>
          <w:b/>
          <w:bCs/>
          <w:i/>
          <w:iCs/>
          <w:color w:val="0000FF"/>
          <w:sz w:val="32"/>
          <w:szCs w:val="32"/>
        </w:rPr>
        <w:t>PREMESSA</w:t>
      </w:r>
      <w:r w:rsidRPr="003505A6">
        <w:rPr>
          <w:rFonts w:ascii="Garamond" w:hAnsi="Garamond"/>
          <w:sz w:val="32"/>
          <w:szCs w:val="32"/>
        </w:rPr>
        <w:t xml:space="preserve"> in cui vengono presi in considerazione la struttura e lo stato dell’</w:t>
      </w:r>
      <w:r w:rsidRPr="003505A6">
        <w:rPr>
          <w:rFonts w:ascii="Garamond" w:hAnsi="Garamond"/>
          <w:i/>
          <w:sz w:val="32"/>
          <w:szCs w:val="32"/>
        </w:rPr>
        <w:t>iter</w:t>
      </w:r>
      <w:r w:rsidRPr="003505A6">
        <w:rPr>
          <w:rFonts w:ascii="Garamond" w:hAnsi="Garamond"/>
          <w:sz w:val="32"/>
          <w:szCs w:val="32"/>
        </w:rPr>
        <w:t xml:space="preserve"> del provvedimento, la presenza o meno dell’analisi tecnico-normativa e dell’analisi di impatto della regolamentazione, il rispetto della circolare sulla formulazione</w:t>
      </w:r>
      <w:r w:rsidR="00E80CC6" w:rsidRPr="003505A6">
        <w:rPr>
          <w:rFonts w:ascii="Garamond" w:hAnsi="Garamond"/>
          <w:sz w:val="32"/>
          <w:szCs w:val="32"/>
        </w:rPr>
        <w:t xml:space="preserve"> tecnica dei testi legislativi;</w:t>
      </w:r>
    </w:p>
    <w:p w:rsidR="00670EB5" w:rsidRPr="003505A6" w:rsidRDefault="00670EB5" w:rsidP="00E10E3E">
      <w:pPr>
        <w:numPr>
          <w:ilvl w:val="0"/>
          <w:numId w:val="9"/>
        </w:numPr>
        <w:spacing w:before="120" w:after="120"/>
        <w:rPr>
          <w:rFonts w:ascii="Garamond" w:hAnsi="Garamond"/>
          <w:sz w:val="32"/>
          <w:szCs w:val="32"/>
        </w:rPr>
      </w:pPr>
      <w:r w:rsidRPr="003505A6">
        <w:rPr>
          <w:rFonts w:ascii="Garamond" w:hAnsi="Garamond"/>
          <w:sz w:val="32"/>
          <w:szCs w:val="32"/>
        </w:rPr>
        <w:t xml:space="preserve">eventuali </w:t>
      </w:r>
      <w:r w:rsidRPr="003505A6">
        <w:rPr>
          <w:rFonts w:ascii="Garamond" w:hAnsi="Garamond"/>
          <w:b/>
          <w:bCs/>
          <w:i/>
          <w:iCs/>
          <w:color w:val="0000FF"/>
          <w:sz w:val="32"/>
          <w:szCs w:val="32"/>
        </w:rPr>
        <w:t>OSSERVAZIONI</w:t>
      </w:r>
      <w:r w:rsidRPr="003505A6">
        <w:rPr>
          <w:rFonts w:ascii="Garamond" w:hAnsi="Garamond"/>
          <w:b/>
          <w:bCs/>
          <w:i/>
          <w:iCs/>
          <w:sz w:val="32"/>
          <w:szCs w:val="32"/>
        </w:rPr>
        <w:t xml:space="preserve"> </w:t>
      </w:r>
      <w:r w:rsidRPr="003505A6">
        <w:rPr>
          <w:rFonts w:ascii="Garamond" w:hAnsi="Garamond"/>
          <w:sz w:val="32"/>
          <w:szCs w:val="32"/>
        </w:rPr>
        <w:t xml:space="preserve">e </w:t>
      </w:r>
      <w:r w:rsidRPr="003505A6">
        <w:rPr>
          <w:rFonts w:ascii="Garamond" w:hAnsi="Garamond"/>
          <w:b/>
          <w:bCs/>
          <w:i/>
          <w:iCs/>
          <w:color w:val="0000FF"/>
          <w:sz w:val="32"/>
          <w:szCs w:val="32"/>
        </w:rPr>
        <w:t>CONDIZIONI</w:t>
      </w:r>
      <w:r w:rsidRPr="003505A6">
        <w:rPr>
          <w:rFonts w:ascii="Garamond" w:hAnsi="Garamond"/>
          <w:sz w:val="32"/>
          <w:szCs w:val="32"/>
        </w:rPr>
        <w:t xml:space="preserve"> distinte in base ai seguenti profili: l’efficacia del testo per la semplificazione e il riordino della legislazione vigente, la chiarezza e la proprietà della formulazione, l’omogeneità e i limiti di contenuto (solo per i decreti-legge);</w:t>
      </w:r>
    </w:p>
    <w:p w:rsidR="00670EB5" w:rsidRPr="003505A6" w:rsidRDefault="00670EB5" w:rsidP="00E10E3E">
      <w:pPr>
        <w:numPr>
          <w:ilvl w:val="0"/>
          <w:numId w:val="9"/>
        </w:numPr>
        <w:spacing w:before="120" w:after="120"/>
        <w:rPr>
          <w:rFonts w:ascii="Garamond" w:hAnsi="Garamond"/>
          <w:sz w:val="32"/>
          <w:szCs w:val="32"/>
        </w:rPr>
      </w:pPr>
      <w:r w:rsidRPr="003505A6">
        <w:rPr>
          <w:rFonts w:ascii="Garamond" w:hAnsi="Garamond"/>
          <w:sz w:val="32"/>
          <w:szCs w:val="32"/>
        </w:rPr>
        <w:t xml:space="preserve">eventuali </w:t>
      </w:r>
      <w:r w:rsidRPr="003505A6">
        <w:rPr>
          <w:rFonts w:ascii="Garamond" w:hAnsi="Garamond"/>
          <w:b/>
          <w:bCs/>
          <w:i/>
          <w:iCs/>
          <w:color w:val="0000FF"/>
          <w:sz w:val="32"/>
          <w:szCs w:val="32"/>
        </w:rPr>
        <w:t>RACCOMANDAZIONI</w:t>
      </w:r>
      <w:r w:rsidRPr="003505A6">
        <w:rPr>
          <w:rFonts w:ascii="Garamond" w:hAnsi="Garamond"/>
          <w:sz w:val="32"/>
          <w:szCs w:val="32"/>
        </w:rPr>
        <w:t xml:space="preserve"> al legislatore affinché utilizzi correttamente gli strumenti normativi a sua disposizione.</w:t>
      </w:r>
    </w:p>
    <w:p w:rsidR="00670EB5" w:rsidRPr="003505A6" w:rsidRDefault="00670EB5" w:rsidP="00670EB5">
      <w:pPr>
        <w:ind w:left="360" w:firstLine="0"/>
        <w:rPr>
          <w:rFonts w:ascii="Garamond" w:hAnsi="Garamond"/>
          <w:sz w:val="32"/>
          <w:szCs w:val="32"/>
        </w:rPr>
      </w:pPr>
    </w:p>
    <w:p w:rsidR="001A7D6D" w:rsidRPr="003505A6" w:rsidRDefault="007F7B70" w:rsidP="0068394A">
      <w:pPr>
        <w:rPr>
          <w:rFonts w:ascii="Garamond" w:hAnsi="Garamond"/>
          <w:sz w:val="32"/>
          <w:szCs w:val="32"/>
        </w:rPr>
      </w:pPr>
      <w:r w:rsidRPr="00D369CE">
        <w:rPr>
          <w:rFonts w:ascii="Garamond" w:hAnsi="Garamond"/>
          <w:sz w:val="32"/>
          <w:szCs w:val="32"/>
        </w:rPr>
        <w:t xml:space="preserve">Sui </w:t>
      </w:r>
      <w:r w:rsidR="00366AD6" w:rsidRPr="00D369CE">
        <w:rPr>
          <w:rFonts w:ascii="Garamond" w:hAnsi="Garamond"/>
          <w:b/>
          <w:color w:val="800000"/>
          <w:sz w:val="32"/>
          <w:szCs w:val="32"/>
        </w:rPr>
        <w:t>2</w:t>
      </w:r>
      <w:r w:rsidR="00626BCD" w:rsidRPr="00D369CE">
        <w:rPr>
          <w:rFonts w:ascii="Garamond" w:hAnsi="Garamond"/>
          <w:b/>
          <w:color w:val="800000"/>
          <w:sz w:val="32"/>
          <w:szCs w:val="32"/>
        </w:rPr>
        <w:t>6</w:t>
      </w:r>
      <w:r w:rsidRPr="00D369CE">
        <w:rPr>
          <w:rFonts w:ascii="Garamond" w:hAnsi="Garamond"/>
          <w:sz w:val="32"/>
          <w:szCs w:val="32"/>
        </w:rPr>
        <w:t xml:space="preserve"> pareri espressi dal Comitato nel periodo di riferimento</w:t>
      </w:r>
      <w:r w:rsidRPr="003505A6">
        <w:rPr>
          <w:rFonts w:ascii="Garamond" w:hAnsi="Garamond"/>
          <w:sz w:val="32"/>
          <w:szCs w:val="32"/>
        </w:rPr>
        <w:t xml:space="preserve"> del presente Rapporto, </w:t>
      </w:r>
      <w:r w:rsidR="00626BCD">
        <w:rPr>
          <w:rFonts w:ascii="Garamond" w:hAnsi="Garamond"/>
          <w:b/>
          <w:color w:val="800000"/>
          <w:sz w:val="32"/>
          <w:szCs w:val="32"/>
        </w:rPr>
        <w:t>2</w:t>
      </w:r>
      <w:r w:rsidR="001A49B9" w:rsidRPr="003505A6">
        <w:rPr>
          <w:rFonts w:ascii="Garamond" w:hAnsi="Garamond"/>
          <w:sz w:val="32"/>
          <w:szCs w:val="32"/>
        </w:rPr>
        <w:t xml:space="preserve"> </w:t>
      </w:r>
      <w:r w:rsidR="00F303BB" w:rsidRPr="003505A6">
        <w:rPr>
          <w:rFonts w:ascii="Garamond" w:hAnsi="Garamond"/>
          <w:sz w:val="32"/>
          <w:szCs w:val="32"/>
        </w:rPr>
        <w:t xml:space="preserve"> </w:t>
      </w:r>
      <w:r w:rsidR="00E62586" w:rsidRPr="003505A6">
        <w:rPr>
          <w:rFonts w:ascii="Garamond" w:hAnsi="Garamond"/>
          <w:sz w:val="32"/>
          <w:szCs w:val="32"/>
        </w:rPr>
        <w:t>sono</w:t>
      </w:r>
      <w:r w:rsidR="00877534" w:rsidRPr="003505A6">
        <w:rPr>
          <w:rFonts w:ascii="Garamond" w:hAnsi="Garamond"/>
          <w:sz w:val="32"/>
          <w:szCs w:val="32"/>
        </w:rPr>
        <w:t xml:space="preserve"> </w:t>
      </w:r>
      <w:r w:rsidR="00E62586" w:rsidRPr="003505A6">
        <w:rPr>
          <w:rFonts w:ascii="Garamond" w:hAnsi="Garamond"/>
          <w:sz w:val="32"/>
          <w:szCs w:val="32"/>
        </w:rPr>
        <w:t>privi</w:t>
      </w:r>
      <w:r w:rsidR="00877534" w:rsidRPr="003505A6">
        <w:rPr>
          <w:rFonts w:ascii="Garamond" w:hAnsi="Garamond"/>
          <w:sz w:val="32"/>
          <w:szCs w:val="32"/>
        </w:rPr>
        <w:t xml:space="preserve"> di rilievi.</w:t>
      </w:r>
      <w:r w:rsidR="00607A31" w:rsidRPr="003505A6">
        <w:rPr>
          <w:rFonts w:ascii="Garamond" w:hAnsi="Garamond"/>
          <w:sz w:val="32"/>
          <w:szCs w:val="32"/>
        </w:rPr>
        <w:t xml:space="preserve"> Si tratta de</w:t>
      </w:r>
      <w:r w:rsidR="00E62586" w:rsidRPr="003505A6">
        <w:rPr>
          <w:rFonts w:ascii="Garamond" w:hAnsi="Garamond"/>
          <w:sz w:val="32"/>
          <w:szCs w:val="32"/>
        </w:rPr>
        <w:t>i pareri</w:t>
      </w:r>
      <w:r w:rsidR="00A0443C" w:rsidRPr="003505A6">
        <w:rPr>
          <w:rFonts w:ascii="Garamond" w:hAnsi="Garamond"/>
          <w:sz w:val="32"/>
          <w:szCs w:val="32"/>
        </w:rPr>
        <w:t xml:space="preserve"> </w:t>
      </w:r>
      <w:r w:rsidR="00E62586" w:rsidRPr="003505A6">
        <w:rPr>
          <w:rFonts w:ascii="Garamond" w:hAnsi="Garamond"/>
          <w:sz w:val="32"/>
          <w:szCs w:val="32"/>
        </w:rPr>
        <w:lastRenderedPageBreak/>
        <w:t>riferiti a</w:t>
      </w:r>
      <w:r w:rsidR="00626BCD">
        <w:rPr>
          <w:rFonts w:ascii="Garamond" w:hAnsi="Garamond"/>
          <w:sz w:val="32"/>
          <w:szCs w:val="32"/>
        </w:rPr>
        <w:t>l</w:t>
      </w:r>
      <w:r w:rsidR="00877534" w:rsidRPr="003505A6">
        <w:rPr>
          <w:rFonts w:ascii="Garamond" w:hAnsi="Garamond"/>
          <w:sz w:val="32"/>
          <w:szCs w:val="32"/>
        </w:rPr>
        <w:t xml:space="preserve"> </w:t>
      </w:r>
      <w:r w:rsidR="00E62586" w:rsidRPr="003505A6">
        <w:rPr>
          <w:rFonts w:ascii="Garamond" w:hAnsi="Garamond"/>
          <w:sz w:val="32"/>
          <w:szCs w:val="32"/>
        </w:rPr>
        <w:t>decret</w:t>
      </w:r>
      <w:r w:rsidR="00626BCD">
        <w:rPr>
          <w:rFonts w:ascii="Garamond" w:hAnsi="Garamond"/>
          <w:sz w:val="32"/>
          <w:szCs w:val="32"/>
        </w:rPr>
        <w:t>o</w:t>
      </w:r>
      <w:r w:rsidR="00877534" w:rsidRPr="003505A6">
        <w:rPr>
          <w:rFonts w:ascii="Garamond" w:hAnsi="Garamond"/>
          <w:sz w:val="32"/>
          <w:szCs w:val="32"/>
        </w:rPr>
        <w:t xml:space="preserve">-legge </w:t>
      </w:r>
      <w:r w:rsidR="00626BCD">
        <w:rPr>
          <w:rFonts w:ascii="Garamond" w:hAnsi="Garamond"/>
          <w:sz w:val="32"/>
          <w:szCs w:val="32"/>
        </w:rPr>
        <w:t>117</w:t>
      </w:r>
      <w:r w:rsidR="00E62586" w:rsidRPr="003505A6">
        <w:rPr>
          <w:rFonts w:ascii="Garamond" w:hAnsi="Garamond"/>
          <w:sz w:val="32"/>
          <w:szCs w:val="32"/>
        </w:rPr>
        <w:t>/201</w:t>
      </w:r>
      <w:r w:rsidR="00626BCD">
        <w:rPr>
          <w:rFonts w:ascii="Garamond" w:hAnsi="Garamond"/>
          <w:sz w:val="32"/>
          <w:szCs w:val="32"/>
        </w:rPr>
        <w:t>6</w:t>
      </w:r>
      <w:r w:rsidR="00E62586" w:rsidRPr="003505A6">
        <w:rPr>
          <w:rFonts w:ascii="Garamond" w:hAnsi="Garamond"/>
          <w:sz w:val="32"/>
          <w:szCs w:val="32"/>
        </w:rPr>
        <w:t xml:space="preserve"> (C. </w:t>
      </w:r>
      <w:r w:rsidR="00366AD6" w:rsidRPr="003505A6">
        <w:rPr>
          <w:rFonts w:ascii="Garamond" w:hAnsi="Garamond"/>
          <w:sz w:val="32"/>
          <w:szCs w:val="32"/>
        </w:rPr>
        <w:t>3</w:t>
      </w:r>
      <w:r w:rsidR="00626BCD">
        <w:rPr>
          <w:rFonts w:ascii="Garamond" w:hAnsi="Garamond"/>
          <w:sz w:val="32"/>
          <w:szCs w:val="32"/>
        </w:rPr>
        <w:t>954</w:t>
      </w:r>
      <w:r w:rsidR="00E62586" w:rsidRPr="003505A6">
        <w:rPr>
          <w:rFonts w:ascii="Garamond" w:hAnsi="Garamond"/>
          <w:sz w:val="32"/>
          <w:szCs w:val="32"/>
        </w:rPr>
        <w:t xml:space="preserve"> – </w:t>
      </w:r>
      <w:r w:rsidR="00626BCD">
        <w:rPr>
          <w:rFonts w:ascii="Garamond" w:hAnsi="Garamond"/>
          <w:sz w:val="32"/>
          <w:szCs w:val="32"/>
        </w:rPr>
        <w:t>processo amministrativo telematico) e</w:t>
      </w:r>
      <w:r w:rsidR="00E62586" w:rsidRPr="003505A6">
        <w:rPr>
          <w:rFonts w:ascii="Garamond" w:hAnsi="Garamond"/>
          <w:sz w:val="32"/>
          <w:szCs w:val="32"/>
        </w:rPr>
        <w:t xml:space="preserve"> </w:t>
      </w:r>
      <w:r w:rsidR="00626BCD">
        <w:rPr>
          <w:rFonts w:ascii="Garamond" w:hAnsi="Garamond"/>
          <w:sz w:val="32"/>
          <w:szCs w:val="32"/>
        </w:rPr>
        <w:t xml:space="preserve">alla proposta </w:t>
      </w:r>
      <w:r w:rsidR="00CA6AA1" w:rsidRPr="003505A6">
        <w:rPr>
          <w:rFonts w:ascii="Garamond" w:hAnsi="Garamond"/>
          <w:sz w:val="32"/>
          <w:szCs w:val="32"/>
        </w:rPr>
        <w:t xml:space="preserve">di legge di riforma </w:t>
      </w:r>
      <w:r w:rsidR="00626BCD">
        <w:rPr>
          <w:rFonts w:ascii="Garamond" w:hAnsi="Garamond"/>
          <w:sz w:val="32"/>
          <w:szCs w:val="32"/>
        </w:rPr>
        <w:t>del sistema dei confidi</w:t>
      </w:r>
      <w:r w:rsidR="00CA6AA1" w:rsidRPr="003505A6">
        <w:rPr>
          <w:rFonts w:ascii="Garamond" w:hAnsi="Garamond"/>
          <w:sz w:val="32"/>
          <w:szCs w:val="32"/>
        </w:rPr>
        <w:t xml:space="preserve"> (C. </w:t>
      </w:r>
      <w:r w:rsidR="00626BCD">
        <w:rPr>
          <w:rFonts w:ascii="Garamond" w:hAnsi="Garamond"/>
          <w:sz w:val="32"/>
          <w:szCs w:val="32"/>
        </w:rPr>
        <w:t>3209</w:t>
      </w:r>
      <w:r w:rsidR="00CA6AA1" w:rsidRPr="003505A6">
        <w:rPr>
          <w:rFonts w:ascii="Garamond" w:hAnsi="Garamond"/>
          <w:sz w:val="32"/>
          <w:szCs w:val="32"/>
        </w:rPr>
        <w:t>).</w:t>
      </w:r>
    </w:p>
    <w:p w:rsidR="005847F5" w:rsidRPr="003505A6" w:rsidRDefault="005847F5" w:rsidP="0068394A">
      <w:pPr>
        <w:rPr>
          <w:rFonts w:ascii="Garamond" w:hAnsi="Garamond"/>
          <w:sz w:val="32"/>
          <w:szCs w:val="32"/>
        </w:rPr>
      </w:pPr>
    </w:p>
    <w:p w:rsidR="00670EB5" w:rsidRPr="003505A6" w:rsidRDefault="00670EB5" w:rsidP="0068394A">
      <w:pPr>
        <w:rPr>
          <w:rFonts w:ascii="Garamond" w:hAnsi="Garamond"/>
          <w:sz w:val="32"/>
          <w:szCs w:val="32"/>
        </w:rPr>
      </w:pPr>
      <w:r w:rsidRPr="00D369CE">
        <w:rPr>
          <w:rFonts w:ascii="Garamond" w:hAnsi="Garamond"/>
          <w:sz w:val="32"/>
          <w:szCs w:val="32"/>
        </w:rPr>
        <w:t xml:space="preserve">La struttura dei </w:t>
      </w:r>
      <w:r w:rsidR="00494C47" w:rsidRPr="00D369CE">
        <w:rPr>
          <w:rFonts w:ascii="Garamond" w:hAnsi="Garamond"/>
          <w:b/>
          <w:color w:val="800000"/>
          <w:sz w:val="32"/>
          <w:szCs w:val="32"/>
        </w:rPr>
        <w:t>2</w:t>
      </w:r>
      <w:r w:rsidR="00CE6E52" w:rsidRPr="00D369CE">
        <w:rPr>
          <w:rFonts w:ascii="Garamond" w:hAnsi="Garamond"/>
          <w:b/>
          <w:color w:val="800000"/>
          <w:sz w:val="32"/>
          <w:szCs w:val="32"/>
        </w:rPr>
        <w:t>4</w:t>
      </w:r>
      <w:r w:rsidRPr="00D369CE">
        <w:rPr>
          <w:rFonts w:ascii="Garamond" w:hAnsi="Garamond"/>
          <w:sz w:val="32"/>
          <w:szCs w:val="32"/>
        </w:rPr>
        <w:t xml:space="preserve"> pareri </w:t>
      </w:r>
      <w:r w:rsidRPr="00D369CE">
        <w:rPr>
          <w:rStyle w:val="StileGrassetto"/>
          <w:rFonts w:ascii="Garamond" w:hAnsi="Garamond"/>
          <w:sz w:val="32"/>
          <w:szCs w:val="32"/>
        </w:rPr>
        <w:t>contenenti rilievi</w:t>
      </w:r>
      <w:r w:rsidRPr="00D369CE">
        <w:rPr>
          <w:rFonts w:ascii="Garamond" w:hAnsi="Garamond"/>
          <w:sz w:val="32"/>
          <w:szCs w:val="32"/>
        </w:rPr>
        <w:t xml:space="preserve"> è quella riportata</w:t>
      </w:r>
      <w:r w:rsidRPr="003505A6">
        <w:rPr>
          <w:rFonts w:ascii="Garamond" w:hAnsi="Garamond"/>
          <w:sz w:val="32"/>
          <w:szCs w:val="32"/>
        </w:rPr>
        <w:t xml:space="preserve"> nella tabella che segue:</w:t>
      </w:r>
    </w:p>
    <w:p w:rsidR="00974D05" w:rsidRPr="003505A6" w:rsidRDefault="00974D05" w:rsidP="00670EB5">
      <w:pPr>
        <w:spacing w:line="240" w:lineRule="auto"/>
        <w:ind w:firstLine="0"/>
        <w:jc w:val="left"/>
        <w:rPr>
          <w:rFonts w:ascii="Garamond" w:hAnsi="Garamond"/>
          <w:sz w:val="32"/>
          <w:szCs w:val="32"/>
        </w:rPr>
      </w:pPr>
    </w:p>
    <w:tbl>
      <w:tblPr>
        <w:tblW w:w="5000" w:type="pct"/>
        <w:jc w:val="center"/>
        <w:tblCellMar>
          <w:left w:w="70" w:type="dxa"/>
          <w:right w:w="70" w:type="dxa"/>
        </w:tblCellMar>
        <w:tblLook w:val="0000" w:firstRow="0" w:lastRow="0" w:firstColumn="0" w:lastColumn="0" w:noHBand="0" w:noVBand="0"/>
      </w:tblPr>
      <w:tblGrid>
        <w:gridCol w:w="4326"/>
        <w:gridCol w:w="3750"/>
      </w:tblGrid>
      <w:tr w:rsidR="00A414EE" w:rsidRPr="003505A6" w:rsidTr="00675E6E">
        <w:trPr>
          <w:trHeight w:val="750"/>
          <w:jc w:val="center"/>
        </w:trPr>
        <w:tc>
          <w:tcPr>
            <w:tcW w:w="5000" w:type="pct"/>
            <w:gridSpan w:val="2"/>
            <w:tcBorders>
              <w:top w:val="single" w:sz="8" w:space="0" w:color="auto"/>
              <w:left w:val="single" w:sz="8" w:space="0" w:color="auto"/>
              <w:bottom w:val="single" w:sz="8" w:space="0" w:color="auto"/>
              <w:right w:val="single" w:sz="8" w:space="0" w:color="000000"/>
            </w:tcBorders>
            <w:shd w:val="clear" w:color="auto" w:fill="FFFF99"/>
            <w:vAlign w:val="center"/>
          </w:tcPr>
          <w:p w:rsidR="00A414EE" w:rsidRPr="003505A6" w:rsidRDefault="00A414EE" w:rsidP="00A414EE">
            <w:pPr>
              <w:spacing w:line="240" w:lineRule="auto"/>
              <w:ind w:firstLine="0"/>
              <w:jc w:val="center"/>
              <w:rPr>
                <w:rFonts w:ascii="Garamond" w:hAnsi="Garamond" w:cs="Arial"/>
                <w:b/>
                <w:bCs/>
                <w:color w:val="0000FF"/>
                <w:sz w:val="28"/>
                <w:szCs w:val="28"/>
              </w:rPr>
            </w:pPr>
            <w:r w:rsidRPr="003505A6">
              <w:rPr>
                <w:rFonts w:ascii="Garamond" w:hAnsi="Garamond" w:cs="Arial"/>
                <w:b/>
                <w:bCs/>
                <w:color w:val="0000FF"/>
                <w:sz w:val="28"/>
                <w:szCs w:val="28"/>
              </w:rPr>
              <w:t>Pareri contenenti rilievi</w:t>
            </w:r>
          </w:p>
        </w:tc>
      </w:tr>
      <w:tr w:rsidR="00D82CF1" w:rsidRPr="003505A6" w:rsidTr="00D82CF1">
        <w:trPr>
          <w:cantSplit/>
          <w:trHeight w:val="645"/>
          <w:jc w:val="center"/>
        </w:trPr>
        <w:tc>
          <w:tcPr>
            <w:tcW w:w="2678" w:type="pct"/>
            <w:tcBorders>
              <w:top w:val="nil"/>
              <w:left w:val="single" w:sz="8" w:space="0" w:color="auto"/>
              <w:bottom w:val="nil"/>
              <w:right w:val="single" w:sz="4" w:space="0" w:color="auto"/>
            </w:tcBorders>
            <w:shd w:val="clear" w:color="auto" w:fill="FFFF99"/>
            <w:vAlign w:val="center"/>
          </w:tcPr>
          <w:p w:rsidR="00D82CF1" w:rsidRPr="003505A6" w:rsidRDefault="00D82CF1" w:rsidP="00A414EE">
            <w:pPr>
              <w:spacing w:line="240" w:lineRule="auto"/>
              <w:ind w:firstLine="0"/>
              <w:jc w:val="center"/>
              <w:rPr>
                <w:rFonts w:ascii="Garamond" w:hAnsi="Garamond" w:cs="Arial"/>
                <w:b/>
                <w:bCs/>
                <w:color w:val="0000FF"/>
                <w:sz w:val="24"/>
                <w:szCs w:val="24"/>
              </w:rPr>
            </w:pPr>
            <w:r w:rsidRPr="003505A6">
              <w:rPr>
                <w:rFonts w:ascii="Garamond" w:hAnsi="Garamond" w:cs="Arial"/>
                <w:b/>
                <w:bCs/>
                <w:color w:val="0000FF"/>
                <w:sz w:val="24"/>
                <w:szCs w:val="24"/>
              </w:rPr>
              <w:t>Tipologia di rilievi</w:t>
            </w:r>
          </w:p>
        </w:tc>
        <w:tc>
          <w:tcPr>
            <w:tcW w:w="2322" w:type="pct"/>
            <w:tcBorders>
              <w:top w:val="nil"/>
              <w:left w:val="nil"/>
              <w:bottom w:val="nil"/>
              <w:right w:val="single" w:sz="8" w:space="0" w:color="auto"/>
            </w:tcBorders>
            <w:shd w:val="clear" w:color="auto" w:fill="FFFF99"/>
            <w:vAlign w:val="center"/>
          </w:tcPr>
          <w:p w:rsidR="00D82CF1" w:rsidRPr="003505A6" w:rsidRDefault="00D82CF1" w:rsidP="00A414EE">
            <w:pPr>
              <w:spacing w:line="240" w:lineRule="auto"/>
              <w:ind w:firstLine="0"/>
              <w:jc w:val="center"/>
              <w:rPr>
                <w:rFonts w:ascii="Garamond" w:hAnsi="Garamond" w:cs="Arial"/>
                <w:b/>
                <w:bCs/>
                <w:color w:val="0000FF"/>
                <w:sz w:val="24"/>
                <w:szCs w:val="24"/>
              </w:rPr>
            </w:pPr>
            <w:r w:rsidRPr="003505A6">
              <w:rPr>
                <w:rFonts w:ascii="Garamond" w:hAnsi="Garamond" w:cs="Arial"/>
                <w:b/>
                <w:bCs/>
                <w:color w:val="0000FF"/>
                <w:sz w:val="24"/>
                <w:szCs w:val="24"/>
              </w:rPr>
              <w:t>Pareri</w:t>
            </w:r>
          </w:p>
          <w:p w:rsidR="00D82CF1" w:rsidRPr="003505A6" w:rsidRDefault="00D82CF1" w:rsidP="00A414EE">
            <w:pPr>
              <w:spacing w:line="240" w:lineRule="auto"/>
              <w:ind w:firstLine="0"/>
              <w:jc w:val="center"/>
              <w:rPr>
                <w:rFonts w:ascii="Garamond" w:hAnsi="Garamond" w:cs="Arial"/>
                <w:color w:val="0000FF"/>
                <w:sz w:val="24"/>
                <w:szCs w:val="24"/>
              </w:rPr>
            </w:pPr>
          </w:p>
        </w:tc>
      </w:tr>
      <w:tr w:rsidR="00D82CF1" w:rsidRPr="003505A6" w:rsidTr="00D82CF1">
        <w:trPr>
          <w:trHeight w:val="851"/>
          <w:jc w:val="center"/>
        </w:trPr>
        <w:tc>
          <w:tcPr>
            <w:tcW w:w="2678" w:type="pct"/>
            <w:tcBorders>
              <w:top w:val="single" w:sz="8" w:space="0" w:color="auto"/>
              <w:left w:val="single" w:sz="8" w:space="0" w:color="auto"/>
              <w:bottom w:val="single" w:sz="4" w:space="0" w:color="auto"/>
              <w:right w:val="single" w:sz="4" w:space="0" w:color="auto"/>
            </w:tcBorders>
            <w:shd w:val="clear" w:color="auto" w:fill="auto"/>
            <w:vAlign w:val="center"/>
          </w:tcPr>
          <w:p w:rsidR="00D82CF1" w:rsidRPr="003505A6" w:rsidRDefault="00D82CF1" w:rsidP="00FA0958">
            <w:pPr>
              <w:spacing w:line="240" w:lineRule="auto"/>
              <w:ind w:firstLine="0"/>
              <w:jc w:val="left"/>
              <w:rPr>
                <w:rFonts w:ascii="Garamond" w:hAnsi="Garamond" w:cs="Arial"/>
                <w:sz w:val="24"/>
                <w:szCs w:val="24"/>
              </w:rPr>
            </w:pPr>
            <w:r w:rsidRPr="003505A6">
              <w:rPr>
                <w:rFonts w:ascii="Garamond" w:hAnsi="Garamond" w:cs="Arial"/>
                <w:sz w:val="24"/>
                <w:szCs w:val="24"/>
              </w:rPr>
              <w:t>Osservazioni</w:t>
            </w:r>
          </w:p>
        </w:tc>
        <w:tc>
          <w:tcPr>
            <w:tcW w:w="2322" w:type="pct"/>
            <w:tcBorders>
              <w:top w:val="single" w:sz="8" w:space="0" w:color="auto"/>
              <w:left w:val="nil"/>
              <w:bottom w:val="single" w:sz="4" w:space="0" w:color="auto"/>
              <w:right w:val="single" w:sz="8" w:space="0" w:color="auto"/>
            </w:tcBorders>
            <w:shd w:val="clear" w:color="auto" w:fill="auto"/>
            <w:vAlign w:val="center"/>
          </w:tcPr>
          <w:p w:rsidR="00D82CF1" w:rsidRPr="003505A6" w:rsidRDefault="00F51A8C" w:rsidP="00D82CF1">
            <w:pPr>
              <w:jc w:val="center"/>
              <w:rPr>
                <w:rFonts w:ascii="Calibri" w:hAnsi="Calibri"/>
                <w:i/>
                <w:color w:val="000000"/>
                <w:sz w:val="24"/>
                <w:szCs w:val="24"/>
              </w:rPr>
            </w:pPr>
            <w:r>
              <w:rPr>
                <w:rFonts w:ascii="Calibri" w:hAnsi="Calibri"/>
                <w:b/>
                <w:color w:val="000000"/>
                <w:sz w:val="24"/>
                <w:szCs w:val="24"/>
              </w:rPr>
              <w:t>2</w:t>
            </w:r>
          </w:p>
        </w:tc>
      </w:tr>
      <w:tr w:rsidR="00D82CF1" w:rsidRPr="003505A6" w:rsidTr="00D82CF1">
        <w:trPr>
          <w:trHeight w:val="851"/>
          <w:jc w:val="center"/>
        </w:trPr>
        <w:tc>
          <w:tcPr>
            <w:tcW w:w="2678" w:type="pct"/>
            <w:tcBorders>
              <w:top w:val="single" w:sz="4" w:space="0" w:color="auto"/>
              <w:left w:val="single" w:sz="8" w:space="0" w:color="auto"/>
              <w:bottom w:val="single" w:sz="4" w:space="0" w:color="auto"/>
              <w:right w:val="single" w:sz="4" w:space="0" w:color="auto"/>
            </w:tcBorders>
            <w:shd w:val="clear" w:color="auto" w:fill="auto"/>
            <w:vAlign w:val="center"/>
          </w:tcPr>
          <w:p w:rsidR="00D82CF1" w:rsidRPr="003505A6" w:rsidRDefault="00D82CF1" w:rsidP="00FA0958">
            <w:pPr>
              <w:spacing w:line="240" w:lineRule="auto"/>
              <w:ind w:firstLine="0"/>
              <w:jc w:val="left"/>
              <w:rPr>
                <w:rFonts w:ascii="Garamond" w:hAnsi="Garamond" w:cs="Arial"/>
                <w:sz w:val="24"/>
                <w:szCs w:val="24"/>
              </w:rPr>
            </w:pPr>
            <w:r w:rsidRPr="003505A6">
              <w:rPr>
                <w:rFonts w:ascii="Garamond" w:hAnsi="Garamond" w:cs="Arial"/>
                <w:sz w:val="24"/>
                <w:szCs w:val="24"/>
              </w:rPr>
              <w:t>Condizioni</w:t>
            </w:r>
          </w:p>
        </w:tc>
        <w:tc>
          <w:tcPr>
            <w:tcW w:w="2322" w:type="pct"/>
            <w:tcBorders>
              <w:top w:val="single" w:sz="4" w:space="0" w:color="auto"/>
              <w:left w:val="nil"/>
              <w:bottom w:val="single" w:sz="4" w:space="0" w:color="auto"/>
              <w:right w:val="single" w:sz="8" w:space="0" w:color="auto"/>
            </w:tcBorders>
            <w:shd w:val="clear" w:color="auto" w:fill="auto"/>
            <w:vAlign w:val="center"/>
          </w:tcPr>
          <w:p w:rsidR="00D82CF1" w:rsidRPr="003505A6" w:rsidRDefault="00F51A8C" w:rsidP="00D82CF1">
            <w:pPr>
              <w:jc w:val="center"/>
              <w:rPr>
                <w:rFonts w:ascii="Calibri" w:hAnsi="Calibri"/>
                <w:i/>
                <w:color w:val="000000"/>
                <w:sz w:val="24"/>
                <w:szCs w:val="24"/>
              </w:rPr>
            </w:pPr>
            <w:r>
              <w:rPr>
                <w:rFonts w:ascii="Calibri" w:hAnsi="Calibri"/>
                <w:b/>
                <w:color w:val="000000"/>
              </w:rPr>
              <w:t>2</w:t>
            </w:r>
          </w:p>
        </w:tc>
      </w:tr>
      <w:tr w:rsidR="00D82CF1" w:rsidRPr="003505A6" w:rsidTr="00D82CF1">
        <w:trPr>
          <w:trHeight w:val="851"/>
          <w:jc w:val="center"/>
        </w:trPr>
        <w:tc>
          <w:tcPr>
            <w:tcW w:w="2678" w:type="pct"/>
            <w:tcBorders>
              <w:top w:val="single" w:sz="4" w:space="0" w:color="auto"/>
              <w:left w:val="single" w:sz="8" w:space="0" w:color="auto"/>
              <w:bottom w:val="single" w:sz="4" w:space="0" w:color="auto"/>
              <w:right w:val="single" w:sz="4" w:space="0" w:color="auto"/>
            </w:tcBorders>
            <w:shd w:val="clear" w:color="auto" w:fill="auto"/>
            <w:vAlign w:val="center"/>
          </w:tcPr>
          <w:p w:rsidR="00D82CF1" w:rsidRPr="003505A6" w:rsidRDefault="00D82CF1" w:rsidP="00FA0958">
            <w:pPr>
              <w:spacing w:line="240" w:lineRule="auto"/>
              <w:ind w:firstLine="0"/>
              <w:jc w:val="left"/>
              <w:rPr>
                <w:rFonts w:ascii="Garamond" w:hAnsi="Garamond" w:cs="Arial"/>
                <w:sz w:val="24"/>
                <w:szCs w:val="24"/>
              </w:rPr>
            </w:pPr>
            <w:r w:rsidRPr="003505A6">
              <w:rPr>
                <w:rFonts w:ascii="Garamond" w:hAnsi="Garamond" w:cs="Arial"/>
                <w:sz w:val="24"/>
                <w:szCs w:val="24"/>
              </w:rPr>
              <w:t>Osservazioni e condizioni</w:t>
            </w:r>
          </w:p>
        </w:tc>
        <w:tc>
          <w:tcPr>
            <w:tcW w:w="2322" w:type="pct"/>
            <w:tcBorders>
              <w:top w:val="single" w:sz="4" w:space="0" w:color="auto"/>
              <w:left w:val="nil"/>
              <w:bottom w:val="single" w:sz="4" w:space="0" w:color="auto"/>
              <w:right w:val="single" w:sz="8" w:space="0" w:color="auto"/>
            </w:tcBorders>
            <w:shd w:val="clear" w:color="auto" w:fill="auto"/>
            <w:vAlign w:val="center"/>
          </w:tcPr>
          <w:p w:rsidR="00D82CF1" w:rsidRPr="003505A6" w:rsidRDefault="00D82CF1" w:rsidP="00F51A8C">
            <w:pPr>
              <w:jc w:val="center"/>
              <w:rPr>
                <w:rFonts w:ascii="Calibri" w:hAnsi="Calibri"/>
                <w:i/>
                <w:color w:val="000000"/>
                <w:sz w:val="24"/>
                <w:szCs w:val="24"/>
              </w:rPr>
            </w:pPr>
            <w:r w:rsidRPr="003505A6">
              <w:rPr>
                <w:rFonts w:ascii="Calibri" w:hAnsi="Calibri"/>
                <w:b/>
                <w:color w:val="000000"/>
              </w:rPr>
              <w:t>1</w:t>
            </w:r>
            <w:r w:rsidR="00F51A8C">
              <w:rPr>
                <w:rFonts w:ascii="Calibri" w:hAnsi="Calibri"/>
                <w:b/>
                <w:color w:val="000000"/>
              </w:rPr>
              <w:t>3</w:t>
            </w:r>
          </w:p>
        </w:tc>
      </w:tr>
      <w:tr w:rsidR="00D82CF1" w:rsidRPr="003505A6" w:rsidTr="00D82CF1">
        <w:trPr>
          <w:trHeight w:val="851"/>
          <w:jc w:val="center"/>
        </w:trPr>
        <w:tc>
          <w:tcPr>
            <w:tcW w:w="2678" w:type="pct"/>
            <w:tcBorders>
              <w:top w:val="nil"/>
              <w:left w:val="single" w:sz="8" w:space="0" w:color="auto"/>
              <w:bottom w:val="single" w:sz="4" w:space="0" w:color="auto"/>
              <w:right w:val="single" w:sz="4" w:space="0" w:color="auto"/>
            </w:tcBorders>
            <w:shd w:val="clear" w:color="auto" w:fill="auto"/>
            <w:vAlign w:val="center"/>
          </w:tcPr>
          <w:p w:rsidR="00D82CF1" w:rsidRPr="003505A6" w:rsidRDefault="00D82CF1" w:rsidP="00FA0958">
            <w:pPr>
              <w:spacing w:line="240" w:lineRule="auto"/>
              <w:ind w:firstLine="0"/>
              <w:jc w:val="left"/>
              <w:rPr>
                <w:rFonts w:ascii="Garamond" w:hAnsi="Garamond" w:cs="Arial"/>
                <w:sz w:val="24"/>
                <w:szCs w:val="24"/>
              </w:rPr>
            </w:pPr>
            <w:r w:rsidRPr="003505A6">
              <w:rPr>
                <w:rFonts w:ascii="Garamond" w:hAnsi="Garamond" w:cs="Arial"/>
                <w:sz w:val="24"/>
                <w:szCs w:val="24"/>
              </w:rPr>
              <w:t>Osservazioni e raccomandazioni</w:t>
            </w:r>
          </w:p>
        </w:tc>
        <w:tc>
          <w:tcPr>
            <w:tcW w:w="2322" w:type="pct"/>
            <w:tcBorders>
              <w:top w:val="nil"/>
              <w:left w:val="nil"/>
              <w:bottom w:val="single" w:sz="4" w:space="0" w:color="auto"/>
              <w:right w:val="single" w:sz="8" w:space="0" w:color="auto"/>
            </w:tcBorders>
            <w:shd w:val="clear" w:color="auto" w:fill="auto"/>
            <w:vAlign w:val="center"/>
          </w:tcPr>
          <w:p w:rsidR="00D82CF1" w:rsidRPr="003505A6" w:rsidRDefault="00F51A8C" w:rsidP="00D82CF1">
            <w:pPr>
              <w:jc w:val="center"/>
              <w:rPr>
                <w:rFonts w:ascii="Calibri" w:hAnsi="Calibri"/>
                <w:i/>
                <w:color w:val="000000"/>
                <w:sz w:val="24"/>
                <w:szCs w:val="24"/>
              </w:rPr>
            </w:pPr>
            <w:r>
              <w:rPr>
                <w:rFonts w:ascii="Calibri" w:hAnsi="Calibri"/>
                <w:b/>
                <w:color w:val="000000"/>
              </w:rPr>
              <w:t>2</w:t>
            </w:r>
          </w:p>
        </w:tc>
      </w:tr>
      <w:tr w:rsidR="00F51A8C" w:rsidRPr="003505A6" w:rsidTr="00D82CF1">
        <w:trPr>
          <w:trHeight w:val="851"/>
          <w:jc w:val="center"/>
        </w:trPr>
        <w:tc>
          <w:tcPr>
            <w:tcW w:w="2678" w:type="pct"/>
            <w:tcBorders>
              <w:top w:val="nil"/>
              <w:left w:val="single" w:sz="8" w:space="0" w:color="auto"/>
              <w:bottom w:val="single" w:sz="8" w:space="0" w:color="auto"/>
              <w:right w:val="single" w:sz="4" w:space="0" w:color="auto"/>
            </w:tcBorders>
            <w:shd w:val="clear" w:color="auto" w:fill="auto"/>
            <w:vAlign w:val="center"/>
          </w:tcPr>
          <w:p w:rsidR="00F51A8C" w:rsidRPr="003505A6" w:rsidRDefault="00F51A8C" w:rsidP="00FA0958">
            <w:pPr>
              <w:spacing w:line="240" w:lineRule="auto"/>
              <w:ind w:firstLine="0"/>
              <w:jc w:val="left"/>
              <w:rPr>
                <w:rFonts w:ascii="Garamond" w:hAnsi="Garamond" w:cs="Arial"/>
                <w:sz w:val="24"/>
                <w:szCs w:val="24"/>
              </w:rPr>
            </w:pPr>
            <w:r>
              <w:rPr>
                <w:rFonts w:ascii="Garamond" w:hAnsi="Garamond" w:cs="Arial"/>
                <w:sz w:val="24"/>
                <w:szCs w:val="24"/>
              </w:rPr>
              <w:t>Condizioni e raccomandazioni</w:t>
            </w:r>
          </w:p>
        </w:tc>
        <w:tc>
          <w:tcPr>
            <w:tcW w:w="2322" w:type="pct"/>
            <w:tcBorders>
              <w:top w:val="nil"/>
              <w:left w:val="nil"/>
              <w:bottom w:val="single" w:sz="8" w:space="0" w:color="auto"/>
              <w:right w:val="single" w:sz="8" w:space="0" w:color="auto"/>
            </w:tcBorders>
            <w:shd w:val="clear" w:color="auto" w:fill="auto"/>
            <w:vAlign w:val="center"/>
          </w:tcPr>
          <w:p w:rsidR="00F51A8C" w:rsidRPr="003505A6" w:rsidRDefault="00F51A8C" w:rsidP="00D82CF1">
            <w:pPr>
              <w:jc w:val="center"/>
              <w:rPr>
                <w:rFonts w:ascii="Calibri" w:hAnsi="Calibri"/>
                <w:b/>
                <w:color w:val="000000"/>
              </w:rPr>
            </w:pPr>
            <w:r>
              <w:rPr>
                <w:rFonts w:ascii="Calibri" w:hAnsi="Calibri"/>
                <w:b/>
                <w:color w:val="000000"/>
              </w:rPr>
              <w:t>3</w:t>
            </w:r>
          </w:p>
        </w:tc>
      </w:tr>
      <w:tr w:rsidR="00D82CF1" w:rsidRPr="003505A6" w:rsidTr="00D82CF1">
        <w:trPr>
          <w:trHeight w:val="851"/>
          <w:jc w:val="center"/>
        </w:trPr>
        <w:tc>
          <w:tcPr>
            <w:tcW w:w="2678" w:type="pct"/>
            <w:tcBorders>
              <w:top w:val="nil"/>
              <w:left w:val="single" w:sz="8" w:space="0" w:color="auto"/>
              <w:bottom w:val="single" w:sz="8" w:space="0" w:color="auto"/>
              <w:right w:val="single" w:sz="4" w:space="0" w:color="auto"/>
            </w:tcBorders>
            <w:shd w:val="clear" w:color="auto" w:fill="auto"/>
            <w:vAlign w:val="center"/>
          </w:tcPr>
          <w:p w:rsidR="00D82CF1" w:rsidRPr="003505A6" w:rsidRDefault="00D82CF1" w:rsidP="00FA0958">
            <w:pPr>
              <w:spacing w:line="240" w:lineRule="auto"/>
              <w:ind w:firstLine="0"/>
              <w:jc w:val="left"/>
              <w:rPr>
                <w:rFonts w:ascii="Garamond" w:hAnsi="Garamond" w:cs="Arial"/>
                <w:sz w:val="24"/>
                <w:szCs w:val="24"/>
              </w:rPr>
            </w:pPr>
            <w:r w:rsidRPr="003505A6">
              <w:rPr>
                <w:rFonts w:ascii="Garamond" w:hAnsi="Garamond" w:cs="Arial"/>
                <w:sz w:val="24"/>
                <w:szCs w:val="24"/>
              </w:rPr>
              <w:t>Osservazioni, condizioni e raccomandazioni</w:t>
            </w:r>
          </w:p>
        </w:tc>
        <w:tc>
          <w:tcPr>
            <w:tcW w:w="2322" w:type="pct"/>
            <w:tcBorders>
              <w:top w:val="nil"/>
              <w:left w:val="nil"/>
              <w:bottom w:val="single" w:sz="8" w:space="0" w:color="auto"/>
              <w:right w:val="single" w:sz="8" w:space="0" w:color="auto"/>
            </w:tcBorders>
            <w:shd w:val="clear" w:color="auto" w:fill="auto"/>
            <w:vAlign w:val="center"/>
          </w:tcPr>
          <w:p w:rsidR="00D82CF1" w:rsidRPr="003505A6" w:rsidRDefault="00F51A8C" w:rsidP="00D82CF1">
            <w:pPr>
              <w:jc w:val="center"/>
              <w:rPr>
                <w:rFonts w:ascii="Calibri" w:hAnsi="Calibri"/>
                <w:i/>
                <w:color w:val="000000"/>
                <w:sz w:val="24"/>
                <w:szCs w:val="24"/>
              </w:rPr>
            </w:pPr>
            <w:r>
              <w:rPr>
                <w:rFonts w:ascii="Calibri" w:hAnsi="Calibri"/>
                <w:b/>
                <w:color w:val="000000"/>
              </w:rPr>
              <w:t>2</w:t>
            </w:r>
          </w:p>
        </w:tc>
      </w:tr>
    </w:tbl>
    <w:p w:rsidR="00483928" w:rsidRPr="003505A6" w:rsidRDefault="00483928" w:rsidP="00670EB5">
      <w:pPr>
        <w:spacing w:line="240" w:lineRule="auto"/>
        <w:ind w:firstLine="0"/>
        <w:jc w:val="left"/>
        <w:rPr>
          <w:rFonts w:ascii="Garamond" w:hAnsi="Garamond"/>
          <w:sz w:val="32"/>
          <w:szCs w:val="32"/>
        </w:rPr>
      </w:pPr>
    </w:p>
    <w:p w:rsidR="00877DBD" w:rsidRPr="003505A6" w:rsidRDefault="00877DBD" w:rsidP="00670EB5">
      <w:pPr>
        <w:spacing w:line="240" w:lineRule="auto"/>
        <w:ind w:firstLine="0"/>
        <w:jc w:val="left"/>
        <w:rPr>
          <w:rFonts w:ascii="Garamond" w:hAnsi="Garamond"/>
          <w:sz w:val="32"/>
          <w:szCs w:val="32"/>
        </w:rPr>
      </w:pPr>
    </w:p>
    <w:p w:rsidR="00900DB6" w:rsidRPr="003505A6" w:rsidRDefault="00900DB6" w:rsidP="00216387">
      <w:pPr>
        <w:ind w:firstLine="142"/>
        <w:rPr>
          <w:rFonts w:ascii="Garamond" w:hAnsi="Garamond"/>
          <w:sz w:val="32"/>
          <w:szCs w:val="32"/>
        </w:rPr>
      </w:pPr>
      <w:r w:rsidRPr="00D369CE">
        <w:rPr>
          <w:rFonts w:ascii="Garamond" w:hAnsi="Garamond"/>
          <w:sz w:val="32"/>
          <w:szCs w:val="32"/>
        </w:rPr>
        <w:t xml:space="preserve">Complessivamente, </w:t>
      </w:r>
      <w:r w:rsidR="00624526" w:rsidRPr="00D369CE">
        <w:rPr>
          <w:rFonts w:ascii="Garamond" w:hAnsi="Garamond"/>
          <w:sz w:val="32"/>
          <w:szCs w:val="32"/>
        </w:rPr>
        <w:t>l’</w:t>
      </w:r>
      <w:r w:rsidR="00624526" w:rsidRPr="00D369CE">
        <w:rPr>
          <w:rFonts w:ascii="Garamond" w:hAnsi="Garamond"/>
          <w:b/>
          <w:color w:val="0000FF"/>
          <w:sz w:val="32"/>
          <w:szCs w:val="32"/>
        </w:rPr>
        <w:t>83</w:t>
      </w:r>
      <w:r w:rsidR="004F5142" w:rsidRPr="00D369CE">
        <w:rPr>
          <w:rFonts w:ascii="Garamond" w:hAnsi="Garamond"/>
          <w:sz w:val="32"/>
          <w:szCs w:val="32"/>
        </w:rPr>
        <w:t xml:space="preserve"> per cento </w:t>
      </w:r>
      <w:r w:rsidR="00624526" w:rsidRPr="00D369CE">
        <w:rPr>
          <w:rFonts w:ascii="Garamond" w:hAnsi="Garamond"/>
          <w:sz w:val="32"/>
          <w:szCs w:val="32"/>
        </w:rPr>
        <w:t xml:space="preserve">circa </w:t>
      </w:r>
      <w:r w:rsidR="004F5142" w:rsidRPr="00D369CE">
        <w:rPr>
          <w:rFonts w:ascii="Garamond" w:hAnsi="Garamond"/>
          <w:sz w:val="32"/>
          <w:szCs w:val="32"/>
        </w:rPr>
        <w:t>dei pareri (</w:t>
      </w:r>
      <w:r w:rsidR="00624526" w:rsidRPr="00D369CE">
        <w:rPr>
          <w:rFonts w:ascii="Garamond" w:hAnsi="Garamond"/>
          <w:b/>
          <w:color w:val="800000"/>
          <w:sz w:val="32"/>
          <w:szCs w:val="32"/>
        </w:rPr>
        <w:t>20</w:t>
      </w:r>
      <w:r w:rsidRPr="00D369CE">
        <w:rPr>
          <w:rFonts w:ascii="Garamond" w:hAnsi="Garamond"/>
          <w:sz w:val="32"/>
          <w:szCs w:val="32"/>
        </w:rPr>
        <w:t xml:space="preserve"> su </w:t>
      </w:r>
      <w:r w:rsidR="00235675" w:rsidRPr="00D369CE">
        <w:rPr>
          <w:rFonts w:ascii="Garamond" w:hAnsi="Garamond"/>
          <w:b/>
          <w:color w:val="800000"/>
          <w:sz w:val="32"/>
          <w:szCs w:val="32"/>
        </w:rPr>
        <w:t>2</w:t>
      </w:r>
      <w:r w:rsidR="00624526" w:rsidRPr="00D369CE">
        <w:rPr>
          <w:rFonts w:ascii="Garamond" w:hAnsi="Garamond"/>
          <w:b/>
          <w:color w:val="800000"/>
          <w:sz w:val="32"/>
          <w:szCs w:val="32"/>
        </w:rPr>
        <w:t>4</w:t>
      </w:r>
      <w:r w:rsidR="004F5142" w:rsidRPr="00D369CE">
        <w:rPr>
          <w:rFonts w:ascii="Garamond" w:hAnsi="Garamond"/>
          <w:sz w:val="32"/>
          <w:szCs w:val="32"/>
        </w:rPr>
        <w:t>)</w:t>
      </w:r>
      <w:r w:rsidR="004F5142" w:rsidRPr="003505A6">
        <w:rPr>
          <w:rFonts w:ascii="Garamond" w:hAnsi="Garamond"/>
          <w:sz w:val="32"/>
          <w:szCs w:val="32"/>
        </w:rPr>
        <w:t xml:space="preserve"> contiene rilievi f</w:t>
      </w:r>
      <w:r w:rsidR="00675E6E" w:rsidRPr="003505A6">
        <w:rPr>
          <w:rFonts w:ascii="Garamond" w:hAnsi="Garamond"/>
          <w:sz w:val="32"/>
          <w:szCs w:val="32"/>
        </w:rPr>
        <w:t xml:space="preserve">ormulati in forma di condizioni; </w:t>
      </w:r>
      <w:r w:rsidR="00624526">
        <w:rPr>
          <w:rFonts w:ascii="Garamond" w:hAnsi="Garamond"/>
          <w:b/>
          <w:color w:val="0000FF"/>
          <w:sz w:val="32"/>
          <w:szCs w:val="32"/>
        </w:rPr>
        <w:t>2</w:t>
      </w:r>
      <w:r w:rsidR="00675E6E" w:rsidRPr="003505A6">
        <w:rPr>
          <w:rFonts w:ascii="Garamond" w:hAnsi="Garamond"/>
          <w:sz w:val="32"/>
          <w:szCs w:val="32"/>
        </w:rPr>
        <w:t xml:space="preserve"> pareri  contengono tutte le tre tipologie di rilievi utilizzate dal Comitato.</w:t>
      </w:r>
      <w:r w:rsidR="004F5142" w:rsidRPr="003505A6">
        <w:rPr>
          <w:rFonts w:ascii="Garamond" w:hAnsi="Garamond"/>
          <w:sz w:val="32"/>
          <w:szCs w:val="32"/>
        </w:rPr>
        <w:t xml:space="preserve"> </w:t>
      </w:r>
    </w:p>
    <w:p w:rsidR="00F1239F" w:rsidRPr="003505A6" w:rsidRDefault="00F1239F" w:rsidP="00216387">
      <w:pPr>
        <w:ind w:firstLine="142"/>
        <w:rPr>
          <w:rFonts w:ascii="Garamond" w:hAnsi="Garamond"/>
          <w:sz w:val="32"/>
          <w:szCs w:val="32"/>
        </w:rPr>
      </w:pPr>
      <w:r w:rsidRPr="003505A6">
        <w:rPr>
          <w:rFonts w:ascii="Garamond" w:hAnsi="Garamond"/>
          <w:sz w:val="32"/>
          <w:szCs w:val="32"/>
        </w:rPr>
        <w:t xml:space="preserve">La tipologia dei rilievi presenti in ciascun parere è indicata nella </w:t>
      </w:r>
      <w:hyperlink r:id="rId18" w:anchor="TABELLA01" w:history="1">
        <w:r w:rsidRPr="003505A6">
          <w:rPr>
            <w:rStyle w:val="Collegamentoipertestuale"/>
            <w:rFonts w:ascii="Garamond" w:hAnsi="Garamond"/>
            <w:sz w:val="32"/>
            <w:szCs w:val="32"/>
          </w:rPr>
          <w:t>tabella 1</w:t>
        </w:r>
      </w:hyperlink>
      <w:r w:rsidRPr="003505A6">
        <w:rPr>
          <w:rFonts w:ascii="Garamond" w:hAnsi="Garamond"/>
          <w:sz w:val="32"/>
          <w:szCs w:val="32"/>
        </w:rPr>
        <w:t>.</w:t>
      </w:r>
    </w:p>
    <w:p w:rsidR="00163930" w:rsidRPr="003505A6" w:rsidRDefault="00163930" w:rsidP="00F8361D">
      <w:pPr>
        <w:ind w:firstLine="0"/>
        <w:rPr>
          <w:rFonts w:ascii="Garamond" w:hAnsi="Garamond"/>
        </w:rPr>
      </w:pPr>
    </w:p>
    <w:p w:rsidR="0086291B" w:rsidRPr="003505A6" w:rsidRDefault="0086291B" w:rsidP="00FA0958">
      <w:pPr>
        <w:spacing w:line="240" w:lineRule="auto"/>
        <w:ind w:firstLine="0"/>
        <w:rPr>
          <w:rFonts w:ascii="Garamond" w:hAnsi="Garamond"/>
        </w:rPr>
      </w:pPr>
    </w:p>
    <w:p w:rsidR="00670EB5" w:rsidRPr="003505A6" w:rsidRDefault="00EC4792" w:rsidP="00FA0958">
      <w:pPr>
        <w:pStyle w:val="Titolo2"/>
        <w:spacing w:before="0"/>
        <w:ind w:left="0" w:firstLine="0"/>
        <w:rPr>
          <w:rFonts w:ascii="Garamond" w:hAnsi="Garamond"/>
          <w:i/>
          <w:color w:val="0000FF"/>
          <w:sz w:val="40"/>
          <w:szCs w:val="40"/>
        </w:rPr>
      </w:pPr>
      <w:bookmarkStart w:id="27" w:name="_Toc337653470"/>
      <w:bookmarkStart w:id="28" w:name="_Toc342035927"/>
      <w:bookmarkStart w:id="29" w:name="_Toc458677964"/>
      <w:r w:rsidRPr="003505A6">
        <w:rPr>
          <w:rFonts w:ascii="Garamond" w:hAnsi="Garamond"/>
          <w:i/>
          <w:color w:val="0000FF"/>
          <w:sz w:val="40"/>
          <w:szCs w:val="40"/>
        </w:rPr>
        <w:lastRenderedPageBreak/>
        <w:t>4</w:t>
      </w:r>
      <w:r w:rsidR="004D780B" w:rsidRPr="003505A6">
        <w:rPr>
          <w:rFonts w:ascii="Garamond" w:hAnsi="Garamond"/>
          <w:i/>
          <w:color w:val="0000FF"/>
          <w:sz w:val="40"/>
          <w:szCs w:val="40"/>
        </w:rPr>
        <w:t>.</w:t>
      </w:r>
      <w:r w:rsidR="00670EB5" w:rsidRPr="003505A6">
        <w:rPr>
          <w:rFonts w:ascii="Garamond" w:hAnsi="Garamond"/>
          <w:i/>
          <w:color w:val="0000FF"/>
          <w:sz w:val="40"/>
          <w:szCs w:val="40"/>
        </w:rPr>
        <w:t>2. I parametri utilizzati nei pareri</w:t>
      </w:r>
      <w:bookmarkEnd w:id="27"/>
      <w:bookmarkEnd w:id="28"/>
      <w:bookmarkEnd w:id="29"/>
    </w:p>
    <w:p w:rsidR="00670EB5" w:rsidRPr="003505A6" w:rsidRDefault="0041643E" w:rsidP="00BB539E">
      <w:pPr>
        <w:rPr>
          <w:rFonts w:ascii="Garamond" w:hAnsi="Garamond"/>
          <w:sz w:val="32"/>
          <w:szCs w:val="32"/>
        </w:rPr>
      </w:pPr>
      <w:r w:rsidRPr="003505A6">
        <w:rPr>
          <w:rFonts w:ascii="Garamond" w:hAnsi="Garamond"/>
          <w:sz w:val="32"/>
          <w:szCs w:val="32"/>
        </w:rPr>
        <w:t>Il Comitato, nell’esprimere i propri pareri, si basa, e</w:t>
      </w:r>
      <w:r w:rsidR="00670EB5" w:rsidRPr="003505A6">
        <w:rPr>
          <w:rFonts w:ascii="Garamond" w:hAnsi="Garamond"/>
          <w:sz w:val="32"/>
          <w:szCs w:val="32"/>
        </w:rPr>
        <w:t>ssenzialmente</w:t>
      </w:r>
      <w:r w:rsidRPr="003505A6">
        <w:rPr>
          <w:rFonts w:ascii="Garamond" w:hAnsi="Garamond"/>
          <w:sz w:val="32"/>
          <w:szCs w:val="32"/>
        </w:rPr>
        <w:t>,</w:t>
      </w:r>
      <w:r w:rsidR="00670EB5" w:rsidRPr="003505A6">
        <w:rPr>
          <w:rFonts w:ascii="Garamond" w:hAnsi="Garamond"/>
          <w:sz w:val="32"/>
          <w:szCs w:val="32"/>
        </w:rPr>
        <w:t xml:space="preserve"> </w:t>
      </w:r>
      <w:r w:rsidRPr="003505A6">
        <w:rPr>
          <w:rFonts w:ascii="Garamond" w:hAnsi="Garamond"/>
          <w:sz w:val="32"/>
          <w:szCs w:val="32"/>
        </w:rPr>
        <w:t>sui seguenti atti</w:t>
      </w:r>
      <w:r w:rsidR="00670EB5" w:rsidRPr="003505A6">
        <w:rPr>
          <w:rFonts w:ascii="Garamond" w:hAnsi="Garamond"/>
          <w:sz w:val="32"/>
          <w:szCs w:val="32"/>
        </w:rPr>
        <w:t>:</w:t>
      </w:r>
    </w:p>
    <w:p w:rsidR="00670EB5" w:rsidRPr="003505A6" w:rsidRDefault="00670EB5" w:rsidP="00670EB5">
      <w:pPr>
        <w:rPr>
          <w:rFonts w:ascii="Garamond" w:hAnsi="Garamond"/>
          <w:sz w:val="32"/>
          <w:szCs w:val="32"/>
        </w:rPr>
      </w:pPr>
    </w:p>
    <w:p w:rsidR="00B96ACD" w:rsidRPr="003505A6" w:rsidRDefault="00B96ACD" w:rsidP="00E10E3E">
      <w:pPr>
        <w:numPr>
          <w:ilvl w:val="0"/>
          <w:numId w:val="10"/>
        </w:numPr>
        <w:spacing w:after="120"/>
        <w:rPr>
          <w:rFonts w:ascii="Garamond" w:hAnsi="Garamond"/>
          <w:sz w:val="32"/>
          <w:szCs w:val="32"/>
        </w:rPr>
      </w:pPr>
      <w:r w:rsidRPr="003505A6">
        <w:rPr>
          <w:rFonts w:ascii="Garamond" w:hAnsi="Garamond"/>
          <w:sz w:val="32"/>
          <w:szCs w:val="32"/>
        </w:rPr>
        <w:t xml:space="preserve">la </w:t>
      </w:r>
      <w:r w:rsidRPr="003505A6">
        <w:rPr>
          <w:rFonts w:ascii="Garamond" w:hAnsi="Garamond"/>
          <w:b/>
          <w:i/>
          <w:sz w:val="32"/>
          <w:szCs w:val="32"/>
        </w:rPr>
        <w:t>legge 28 novembre 2005, n. 246</w:t>
      </w:r>
      <w:r w:rsidRPr="003505A6">
        <w:rPr>
          <w:rFonts w:ascii="Garamond" w:hAnsi="Garamond"/>
          <w:sz w:val="32"/>
          <w:szCs w:val="32"/>
        </w:rPr>
        <w:t xml:space="preserve"> (articolo 14, commi 1-11) ed i relativi provvedimenti di attuazione (direttiva del Presidente del Consiglio dei ministri in data 10 settembre 2008 e regolamento di cui al decreto del Presidente del Consiglio dei ministri 11 settembre 2008, n. 170), che disciplinano le relazioni per l’analisi tecnico-normativa e per l’analisi di impatto della regolamentazione;</w:t>
      </w:r>
    </w:p>
    <w:p w:rsidR="00670EB5" w:rsidRPr="003505A6" w:rsidRDefault="00670EB5" w:rsidP="00E10E3E">
      <w:pPr>
        <w:numPr>
          <w:ilvl w:val="0"/>
          <w:numId w:val="10"/>
        </w:numPr>
        <w:tabs>
          <w:tab w:val="num" w:pos="851"/>
        </w:tabs>
        <w:spacing w:after="120"/>
        <w:rPr>
          <w:rFonts w:ascii="Garamond" w:hAnsi="Garamond"/>
          <w:sz w:val="32"/>
          <w:szCs w:val="32"/>
        </w:rPr>
      </w:pPr>
      <w:r w:rsidRPr="003505A6">
        <w:rPr>
          <w:rFonts w:ascii="Garamond" w:hAnsi="Garamond"/>
          <w:sz w:val="32"/>
          <w:szCs w:val="32"/>
        </w:rPr>
        <w:t xml:space="preserve">la </w:t>
      </w:r>
      <w:r w:rsidR="00EA56E6" w:rsidRPr="003505A6">
        <w:rPr>
          <w:rFonts w:ascii="Garamond" w:hAnsi="Garamond"/>
          <w:b/>
          <w:bCs/>
          <w:i/>
          <w:iCs/>
          <w:sz w:val="32"/>
          <w:szCs w:val="32"/>
        </w:rPr>
        <w:t>c</w:t>
      </w:r>
      <w:r w:rsidRPr="003505A6">
        <w:rPr>
          <w:rFonts w:ascii="Garamond" w:hAnsi="Garamond"/>
          <w:b/>
          <w:bCs/>
          <w:i/>
          <w:iCs/>
          <w:sz w:val="32"/>
          <w:szCs w:val="32"/>
        </w:rPr>
        <w:t>ircolare sulle regole e raccomandazioni per la formulazione tecnica dei testi normativi</w:t>
      </w:r>
      <w:r w:rsidRPr="003505A6">
        <w:rPr>
          <w:rFonts w:ascii="Garamond" w:hAnsi="Garamond"/>
          <w:sz w:val="32"/>
          <w:szCs w:val="32"/>
        </w:rPr>
        <w:t>, emanata il 20 aprile 2001 dal Presidente della Camera</w:t>
      </w:r>
      <w:r w:rsidR="006378D6" w:rsidRPr="003505A6">
        <w:rPr>
          <w:rFonts w:ascii="Garamond" w:hAnsi="Garamond"/>
          <w:sz w:val="32"/>
          <w:szCs w:val="32"/>
        </w:rPr>
        <w:t>, che costituisce un utile parametro per tutti i profili di interesse del Comitato: coordinamento con la normativa vigente; formulazione del testo; sistema delle fonti (con specifico riguardo alla</w:t>
      </w:r>
      <w:r w:rsidR="002620C7" w:rsidRPr="003505A6">
        <w:rPr>
          <w:rFonts w:ascii="Garamond" w:hAnsi="Garamond"/>
          <w:sz w:val="32"/>
          <w:szCs w:val="32"/>
        </w:rPr>
        <w:t xml:space="preserve"> incidenza su fonti secondarie)</w:t>
      </w:r>
      <w:r w:rsidRPr="003505A6">
        <w:rPr>
          <w:rFonts w:ascii="Garamond" w:hAnsi="Garamond"/>
          <w:sz w:val="32"/>
          <w:szCs w:val="32"/>
        </w:rPr>
        <w:t>;</w:t>
      </w:r>
    </w:p>
    <w:p w:rsidR="00670EB5" w:rsidRPr="003505A6" w:rsidRDefault="00670EB5" w:rsidP="00E10E3E">
      <w:pPr>
        <w:numPr>
          <w:ilvl w:val="0"/>
          <w:numId w:val="10"/>
        </w:numPr>
        <w:tabs>
          <w:tab w:val="num" w:pos="851"/>
        </w:tabs>
        <w:spacing w:after="120"/>
        <w:rPr>
          <w:rFonts w:ascii="Garamond" w:hAnsi="Garamond"/>
          <w:sz w:val="32"/>
          <w:szCs w:val="32"/>
        </w:rPr>
      </w:pPr>
      <w:r w:rsidRPr="003505A6">
        <w:rPr>
          <w:rFonts w:ascii="Garamond" w:hAnsi="Garamond"/>
          <w:sz w:val="32"/>
          <w:szCs w:val="32"/>
        </w:rPr>
        <w:t xml:space="preserve">la </w:t>
      </w:r>
      <w:r w:rsidRPr="003505A6">
        <w:rPr>
          <w:rFonts w:ascii="Garamond" w:hAnsi="Garamond"/>
          <w:b/>
          <w:bCs/>
          <w:i/>
          <w:iCs/>
          <w:sz w:val="32"/>
          <w:szCs w:val="32"/>
        </w:rPr>
        <w:t>legge 23 agosto 1988,</w:t>
      </w:r>
      <w:r w:rsidRPr="003505A6">
        <w:rPr>
          <w:rFonts w:ascii="Garamond" w:hAnsi="Garamond"/>
          <w:b/>
          <w:i/>
          <w:sz w:val="32"/>
          <w:szCs w:val="32"/>
        </w:rPr>
        <w:t xml:space="preserve"> </w:t>
      </w:r>
      <w:r w:rsidR="00A90BCE" w:rsidRPr="003505A6">
        <w:rPr>
          <w:rFonts w:ascii="Garamond" w:hAnsi="Garamond"/>
          <w:b/>
          <w:i/>
          <w:sz w:val="32"/>
          <w:szCs w:val="32"/>
        </w:rPr>
        <w:t>n. 400,</w:t>
      </w:r>
      <w:r w:rsidR="00A90BCE" w:rsidRPr="003505A6">
        <w:rPr>
          <w:rFonts w:ascii="Garamond" w:hAnsi="Garamond"/>
          <w:sz w:val="32"/>
          <w:szCs w:val="32"/>
        </w:rPr>
        <w:t xml:space="preserve"> </w:t>
      </w:r>
      <w:r w:rsidRPr="003505A6">
        <w:rPr>
          <w:rFonts w:ascii="Garamond" w:hAnsi="Garamond"/>
          <w:sz w:val="32"/>
          <w:szCs w:val="32"/>
        </w:rPr>
        <w:t xml:space="preserve">che disciplina l’attività normativa del Governo </w:t>
      </w:r>
      <w:r w:rsidR="006378D6" w:rsidRPr="003505A6">
        <w:rPr>
          <w:rFonts w:ascii="Garamond" w:hAnsi="Garamond"/>
          <w:sz w:val="32"/>
          <w:szCs w:val="32"/>
        </w:rPr>
        <w:t xml:space="preserve">e costituisce un fondamentale parametro per quanto attiene al sistema delle fonti </w:t>
      </w:r>
      <w:r w:rsidR="00B96ACD" w:rsidRPr="003505A6">
        <w:rPr>
          <w:rFonts w:ascii="Garamond" w:hAnsi="Garamond"/>
          <w:sz w:val="32"/>
          <w:szCs w:val="32"/>
        </w:rPr>
        <w:t>(articoli 14, 15, 17 e 17-</w:t>
      </w:r>
      <w:r w:rsidR="00B96ACD" w:rsidRPr="003505A6">
        <w:rPr>
          <w:rFonts w:ascii="Garamond" w:hAnsi="Garamond"/>
          <w:i/>
          <w:sz w:val="32"/>
          <w:szCs w:val="32"/>
        </w:rPr>
        <w:t>bis</w:t>
      </w:r>
      <w:r w:rsidR="00B96ACD" w:rsidRPr="003505A6">
        <w:rPr>
          <w:rFonts w:ascii="Garamond" w:hAnsi="Garamond"/>
          <w:sz w:val="32"/>
          <w:szCs w:val="32"/>
        </w:rPr>
        <w:t xml:space="preserve">) </w:t>
      </w:r>
      <w:r w:rsidR="006378D6" w:rsidRPr="003505A6">
        <w:rPr>
          <w:rFonts w:ascii="Garamond" w:hAnsi="Garamond"/>
          <w:sz w:val="32"/>
          <w:szCs w:val="32"/>
        </w:rPr>
        <w:t>e viene talora richiamata anche con riguardo al coordinamento con la legislazione vigente e alla chiarezza dei testi normativi (articolo 13-</w:t>
      </w:r>
      <w:r w:rsidR="006378D6" w:rsidRPr="003505A6">
        <w:rPr>
          <w:rFonts w:ascii="Garamond" w:hAnsi="Garamond"/>
          <w:i/>
          <w:sz w:val="32"/>
          <w:szCs w:val="32"/>
        </w:rPr>
        <w:t>bis</w:t>
      </w:r>
      <w:r w:rsidR="006378D6" w:rsidRPr="003505A6">
        <w:rPr>
          <w:rFonts w:ascii="Garamond" w:hAnsi="Garamond"/>
          <w:sz w:val="32"/>
          <w:szCs w:val="32"/>
        </w:rPr>
        <w:t>)</w:t>
      </w:r>
      <w:r w:rsidRPr="003505A6">
        <w:rPr>
          <w:rFonts w:ascii="Garamond" w:hAnsi="Garamond"/>
          <w:sz w:val="32"/>
          <w:szCs w:val="32"/>
        </w:rPr>
        <w:t>;</w:t>
      </w:r>
    </w:p>
    <w:p w:rsidR="00670EB5" w:rsidRPr="003505A6" w:rsidRDefault="00670EB5" w:rsidP="00E10E3E">
      <w:pPr>
        <w:numPr>
          <w:ilvl w:val="0"/>
          <w:numId w:val="10"/>
        </w:numPr>
        <w:tabs>
          <w:tab w:val="num" w:pos="851"/>
        </w:tabs>
        <w:spacing w:after="120"/>
        <w:rPr>
          <w:rFonts w:ascii="Garamond" w:hAnsi="Garamond"/>
          <w:sz w:val="32"/>
          <w:szCs w:val="32"/>
        </w:rPr>
      </w:pPr>
      <w:r w:rsidRPr="003505A6">
        <w:rPr>
          <w:rFonts w:ascii="Garamond" w:hAnsi="Garamond"/>
          <w:sz w:val="32"/>
          <w:szCs w:val="32"/>
        </w:rPr>
        <w:t xml:space="preserve">la </w:t>
      </w:r>
      <w:r w:rsidR="00ED61BC" w:rsidRPr="003505A6">
        <w:rPr>
          <w:rFonts w:ascii="Garamond" w:hAnsi="Garamond"/>
          <w:b/>
          <w:i/>
          <w:sz w:val="32"/>
          <w:szCs w:val="32"/>
        </w:rPr>
        <w:t>legge</w:t>
      </w:r>
      <w:r w:rsidRPr="003505A6">
        <w:rPr>
          <w:rFonts w:ascii="Garamond" w:hAnsi="Garamond"/>
          <w:b/>
          <w:i/>
          <w:sz w:val="32"/>
          <w:szCs w:val="32"/>
        </w:rPr>
        <w:t xml:space="preserve"> 27 luglio 2000, </w:t>
      </w:r>
      <w:r w:rsidR="00A90BCE" w:rsidRPr="003505A6">
        <w:rPr>
          <w:rFonts w:ascii="Garamond" w:hAnsi="Garamond"/>
          <w:b/>
          <w:i/>
          <w:sz w:val="32"/>
          <w:szCs w:val="32"/>
        </w:rPr>
        <w:t>n. 212</w:t>
      </w:r>
      <w:r w:rsidR="00A90BCE" w:rsidRPr="003505A6">
        <w:rPr>
          <w:rFonts w:ascii="Garamond" w:hAnsi="Garamond"/>
          <w:sz w:val="32"/>
          <w:szCs w:val="32"/>
        </w:rPr>
        <w:t xml:space="preserve">, </w:t>
      </w:r>
      <w:r w:rsidR="00935D2F" w:rsidRPr="003505A6">
        <w:rPr>
          <w:rFonts w:ascii="Garamond" w:hAnsi="Garamond"/>
          <w:sz w:val="32"/>
          <w:szCs w:val="32"/>
        </w:rPr>
        <w:t>cosiddetto Statuto del c</w:t>
      </w:r>
      <w:r w:rsidRPr="003505A6">
        <w:rPr>
          <w:rFonts w:ascii="Garamond" w:hAnsi="Garamond"/>
          <w:sz w:val="32"/>
          <w:szCs w:val="32"/>
        </w:rPr>
        <w:t>ontribuente</w:t>
      </w:r>
      <w:r w:rsidR="006378D6" w:rsidRPr="003505A6">
        <w:rPr>
          <w:rFonts w:ascii="Garamond" w:hAnsi="Garamond"/>
          <w:sz w:val="32"/>
          <w:szCs w:val="32"/>
        </w:rPr>
        <w:t>, che costituisce un parametro meno utilizzato ma comunque importante per quanto attiene le disposizioni in materia tributaria, con riguardo ai temi della certezza del diritto ed alla efficacia</w:t>
      </w:r>
      <w:r w:rsidR="00B96ACD" w:rsidRPr="003505A6">
        <w:rPr>
          <w:rFonts w:ascii="Garamond" w:hAnsi="Garamond"/>
          <w:sz w:val="32"/>
          <w:szCs w:val="32"/>
        </w:rPr>
        <w:t xml:space="preserve"> retroattiva delle disposizioni.</w:t>
      </w:r>
      <w:r w:rsidRPr="003505A6">
        <w:rPr>
          <w:rFonts w:ascii="Garamond" w:hAnsi="Garamond"/>
          <w:sz w:val="32"/>
          <w:szCs w:val="32"/>
        </w:rPr>
        <w:t xml:space="preserve"> </w:t>
      </w:r>
    </w:p>
    <w:p w:rsidR="00BB134D" w:rsidRPr="003505A6" w:rsidRDefault="00BB134D" w:rsidP="00670EB5">
      <w:pPr>
        <w:ind w:firstLine="567"/>
        <w:rPr>
          <w:rFonts w:ascii="Garamond" w:hAnsi="Garamond"/>
          <w:sz w:val="32"/>
          <w:szCs w:val="32"/>
        </w:rPr>
      </w:pPr>
    </w:p>
    <w:p w:rsidR="0035401B" w:rsidRPr="003505A6" w:rsidRDefault="006378D6" w:rsidP="0068394A">
      <w:pPr>
        <w:rPr>
          <w:rFonts w:ascii="Garamond" w:hAnsi="Garamond"/>
          <w:sz w:val="32"/>
          <w:szCs w:val="32"/>
        </w:rPr>
      </w:pPr>
      <w:r w:rsidRPr="003505A6">
        <w:rPr>
          <w:rFonts w:ascii="Garamond" w:hAnsi="Garamond"/>
          <w:sz w:val="32"/>
          <w:szCs w:val="32"/>
        </w:rPr>
        <w:lastRenderedPageBreak/>
        <w:t>In aggiunta al rispetto d</w:t>
      </w:r>
      <w:r w:rsidR="00670EB5" w:rsidRPr="003505A6">
        <w:rPr>
          <w:rFonts w:ascii="Garamond" w:hAnsi="Garamond"/>
          <w:sz w:val="32"/>
          <w:szCs w:val="32"/>
        </w:rPr>
        <w:t xml:space="preserve">i </w:t>
      </w:r>
      <w:r w:rsidRPr="003505A6">
        <w:rPr>
          <w:rFonts w:ascii="Garamond" w:hAnsi="Garamond"/>
          <w:sz w:val="32"/>
          <w:szCs w:val="32"/>
        </w:rPr>
        <w:t xml:space="preserve">tali parametri, </w:t>
      </w:r>
      <w:r w:rsidR="00670EB5" w:rsidRPr="003505A6">
        <w:rPr>
          <w:rFonts w:ascii="Garamond" w:hAnsi="Garamond"/>
          <w:sz w:val="32"/>
          <w:szCs w:val="32"/>
        </w:rPr>
        <w:t xml:space="preserve">il Comitato guarda </w:t>
      </w:r>
      <w:r w:rsidRPr="003505A6">
        <w:rPr>
          <w:rFonts w:ascii="Garamond" w:hAnsi="Garamond"/>
          <w:sz w:val="32"/>
          <w:szCs w:val="32"/>
        </w:rPr>
        <w:t xml:space="preserve">talora al </w:t>
      </w:r>
      <w:r w:rsidR="00935D2F" w:rsidRPr="003505A6">
        <w:rPr>
          <w:rFonts w:ascii="Garamond" w:hAnsi="Garamond"/>
          <w:sz w:val="32"/>
          <w:szCs w:val="32"/>
        </w:rPr>
        <w:t>coordinamento con la normativa di rango</w:t>
      </w:r>
      <w:r w:rsidRPr="003505A6">
        <w:rPr>
          <w:rFonts w:ascii="Garamond" w:hAnsi="Garamond"/>
          <w:sz w:val="32"/>
          <w:szCs w:val="32"/>
        </w:rPr>
        <w:t xml:space="preserve"> costituzional</w:t>
      </w:r>
      <w:r w:rsidR="00935D2F" w:rsidRPr="003505A6">
        <w:rPr>
          <w:rFonts w:ascii="Garamond" w:hAnsi="Garamond"/>
          <w:sz w:val="32"/>
          <w:szCs w:val="32"/>
        </w:rPr>
        <w:t xml:space="preserve">e, </w:t>
      </w:r>
      <w:r w:rsidR="00306CDC" w:rsidRPr="003505A6">
        <w:rPr>
          <w:rFonts w:ascii="Garamond" w:hAnsi="Garamond"/>
          <w:sz w:val="32"/>
          <w:szCs w:val="32"/>
        </w:rPr>
        <w:t>anche con riferimento a</w:t>
      </w:r>
      <w:r w:rsidR="00935D2F" w:rsidRPr="003505A6">
        <w:rPr>
          <w:rFonts w:ascii="Garamond" w:hAnsi="Garamond"/>
          <w:sz w:val="32"/>
          <w:szCs w:val="32"/>
        </w:rPr>
        <w:t>lle riserve di legge previste in Costituzione</w:t>
      </w:r>
      <w:r w:rsidR="00670EB5" w:rsidRPr="003505A6">
        <w:rPr>
          <w:rFonts w:ascii="Garamond" w:hAnsi="Garamond"/>
          <w:sz w:val="32"/>
          <w:szCs w:val="32"/>
        </w:rPr>
        <w:t xml:space="preserve"> </w:t>
      </w:r>
      <w:r w:rsidR="00935D2F" w:rsidRPr="003505A6">
        <w:rPr>
          <w:rFonts w:ascii="Garamond" w:hAnsi="Garamond"/>
          <w:sz w:val="32"/>
          <w:szCs w:val="32"/>
        </w:rPr>
        <w:t xml:space="preserve">ed all’efficacia temporale delle leggi </w:t>
      </w:r>
      <w:r w:rsidR="00935D2F" w:rsidRPr="0048699D">
        <w:rPr>
          <w:rFonts w:ascii="Garamond" w:hAnsi="Garamond"/>
          <w:sz w:val="32"/>
          <w:szCs w:val="32"/>
        </w:rPr>
        <w:t>penali</w:t>
      </w:r>
      <w:r w:rsidR="00216387" w:rsidRPr="0048699D">
        <w:rPr>
          <w:rFonts w:ascii="Garamond" w:hAnsi="Garamond"/>
          <w:sz w:val="32"/>
          <w:szCs w:val="32"/>
        </w:rPr>
        <w:t xml:space="preserve"> (cfr. il </w:t>
      </w:r>
      <w:hyperlink r:id="rId19" w:anchor="P4_10" w:history="1">
        <w:r w:rsidR="00216387" w:rsidRPr="0048699D">
          <w:rPr>
            <w:rStyle w:val="Collegamentoipertestuale"/>
            <w:rFonts w:ascii="Garamond" w:hAnsi="Garamond"/>
            <w:sz w:val="32"/>
            <w:szCs w:val="32"/>
          </w:rPr>
          <w:t>paragrafo 4.10</w:t>
        </w:r>
      </w:hyperlink>
      <w:r w:rsidR="00216387" w:rsidRPr="0048699D">
        <w:rPr>
          <w:rFonts w:ascii="Garamond" w:hAnsi="Garamond"/>
          <w:sz w:val="32"/>
          <w:szCs w:val="32"/>
        </w:rPr>
        <w:t>)</w:t>
      </w:r>
      <w:r w:rsidR="0035401B" w:rsidRPr="0048699D">
        <w:rPr>
          <w:rFonts w:ascii="Garamond" w:hAnsi="Garamond"/>
          <w:sz w:val="32"/>
          <w:szCs w:val="32"/>
        </w:rPr>
        <w:t>.</w:t>
      </w:r>
      <w:r w:rsidR="0035401B" w:rsidRPr="003505A6">
        <w:rPr>
          <w:rFonts w:ascii="Garamond" w:hAnsi="Garamond"/>
          <w:sz w:val="32"/>
          <w:szCs w:val="32"/>
        </w:rPr>
        <w:t xml:space="preserve"> </w:t>
      </w:r>
    </w:p>
    <w:p w:rsidR="003064E5" w:rsidRPr="003505A6" w:rsidRDefault="00815690" w:rsidP="0068394A">
      <w:pPr>
        <w:rPr>
          <w:rFonts w:ascii="Garamond" w:hAnsi="Garamond"/>
          <w:sz w:val="32"/>
          <w:szCs w:val="32"/>
        </w:rPr>
      </w:pPr>
      <w:r w:rsidRPr="003505A6">
        <w:rPr>
          <w:rFonts w:ascii="Garamond" w:hAnsi="Garamond"/>
          <w:sz w:val="32"/>
          <w:szCs w:val="32"/>
        </w:rPr>
        <w:t xml:space="preserve">In questo turno di presidenza il Comitato ha anche richiamato in più occasioni la giurisprudenza costituzionale, con specifico riguardo </w:t>
      </w:r>
      <w:r w:rsidR="00216387" w:rsidRPr="003505A6">
        <w:rPr>
          <w:rFonts w:ascii="Garamond" w:hAnsi="Garamond"/>
          <w:sz w:val="32"/>
          <w:szCs w:val="32"/>
        </w:rPr>
        <w:t xml:space="preserve">ai limiti di contenuto della decretazione d’urgenza e </w:t>
      </w:r>
      <w:r w:rsidRPr="003505A6">
        <w:rPr>
          <w:rFonts w:ascii="Garamond" w:hAnsi="Garamond"/>
          <w:sz w:val="32"/>
          <w:szCs w:val="32"/>
        </w:rPr>
        <w:t>all’individuazione dei principi e criteri direttivi nelle disposizioni di delegazione legislativa al Governo</w:t>
      </w:r>
      <w:r w:rsidR="00216387" w:rsidRPr="003505A6">
        <w:rPr>
          <w:rFonts w:ascii="Garamond" w:hAnsi="Garamond"/>
          <w:sz w:val="32"/>
          <w:szCs w:val="32"/>
        </w:rPr>
        <w:t xml:space="preserve"> (cfr. il </w:t>
      </w:r>
      <w:hyperlink w:anchor="P4_11" w:history="1">
        <w:r w:rsidR="00216387" w:rsidRPr="0048699D">
          <w:rPr>
            <w:rStyle w:val="Collegamentoipertestuale"/>
            <w:rFonts w:ascii="Garamond" w:hAnsi="Garamond"/>
            <w:sz w:val="32"/>
            <w:szCs w:val="32"/>
          </w:rPr>
          <w:t>paragrafo 4.11</w:t>
        </w:r>
      </w:hyperlink>
      <w:r w:rsidR="00216387" w:rsidRPr="0048699D">
        <w:rPr>
          <w:rFonts w:ascii="Garamond" w:hAnsi="Garamond"/>
          <w:sz w:val="32"/>
          <w:szCs w:val="32"/>
        </w:rPr>
        <w:t>)</w:t>
      </w:r>
      <w:r w:rsidRPr="0048699D">
        <w:rPr>
          <w:rFonts w:ascii="Garamond" w:hAnsi="Garamond"/>
          <w:sz w:val="32"/>
          <w:szCs w:val="32"/>
        </w:rPr>
        <w:t>.</w:t>
      </w:r>
    </w:p>
    <w:p w:rsidR="0035401B" w:rsidRPr="003505A6" w:rsidRDefault="0035401B" w:rsidP="000E430F">
      <w:pPr>
        <w:ind w:firstLine="0"/>
        <w:rPr>
          <w:rFonts w:ascii="Garamond" w:hAnsi="Garamond"/>
          <w:sz w:val="32"/>
          <w:szCs w:val="32"/>
        </w:rPr>
      </w:pPr>
    </w:p>
    <w:p w:rsidR="0035401B" w:rsidRPr="003505A6" w:rsidRDefault="0035401B" w:rsidP="0068394A">
      <w:pPr>
        <w:rPr>
          <w:rFonts w:ascii="Garamond" w:hAnsi="Garamond"/>
          <w:sz w:val="32"/>
          <w:szCs w:val="32"/>
        </w:rPr>
      </w:pPr>
      <w:r w:rsidRPr="003505A6">
        <w:rPr>
          <w:rFonts w:ascii="Garamond" w:hAnsi="Garamond"/>
          <w:sz w:val="32"/>
          <w:szCs w:val="32"/>
        </w:rPr>
        <w:t>Non tutti i fenomeni rilevati dal Comitato rientrano però nei parametri legislativi e giurisprudenziali a sua disposizione: alcuni aspetti fondamentali della produzione normativa vengono monitorati, poiché appaiono comunque riconducibili ad un uso ordinato della legislazione. Particolarmente significativi appaiono i rilevi relativi alla stratificazione normativa ed all’intreccio tra le fonti normative (come ad esempio decreti-legge che intervengono su altri decreti-legge in corso di conversione ovvero su ambiti oggett</w:t>
      </w:r>
      <w:r w:rsidR="007F480F" w:rsidRPr="003505A6">
        <w:rPr>
          <w:rFonts w:ascii="Garamond" w:hAnsi="Garamond"/>
          <w:sz w:val="32"/>
          <w:szCs w:val="32"/>
        </w:rPr>
        <w:t>o di delega o delegificazione).</w:t>
      </w:r>
    </w:p>
    <w:p w:rsidR="005847F5" w:rsidRPr="003505A6" w:rsidRDefault="005847F5" w:rsidP="0068394A">
      <w:pPr>
        <w:rPr>
          <w:rFonts w:ascii="Garamond" w:hAnsi="Garamond"/>
          <w:sz w:val="32"/>
          <w:szCs w:val="32"/>
        </w:rPr>
      </w:pPr>
    </w:p>
    <w:p w:rsidR="00FA0958" w:rsidRPr="003505A6" w:rsidRDefault="00FA0958" w:rsidP="0068394A">
      <w:pPr>
        <w:rPr>
          <w:rFonts w:ascii="Garamond" w:hAnsi="Garamond"/>
          <w:sz w:val="32"/>
          <w:szCs w:val="32"/>
        </w:rPr>
      </w:pPr>
    </w:p>
    <w:p w:rsidR="005847F5" w:rsidRPr="003505A6" w:rsidRDefault="005847F5" w:rsidP="0068394A">
      <w:pPr>
        <w:rPr>
          <w:rFonts w:ascii="Garamond" w:hAnsi="Garamond"/>
          <w:sz w:val="32"/>
          <w:szCs w:val="32"/>
        </w:rPr>
        <w:sectPr w:rsidR="005847F5" w:rsidRPr="003505A6" w:rsidSect="00B57BA3">
          <w:pgSz w:w="11906" w:h="16838" w:code="9"/>
          <w:pgMar w:top="1985" w:right="1985" w:bottom="1985" w:left="1985" w:header="1134" w:footer="1134" w:gutter="0"/>
          <w:cols w:space="720"/>
          <w:formProt w:val="0"/>
        </w:sectPr>
      </w:pPr>
    </w:p>
    <w:p w:rsidR="00B96ACD" w:rsidRPr="003505A6" w:rsidRDefault="00B96ACD" w:rsidP="00FA0958">
      <w:pPr>
        <w:pStyle w:val="Titolo2"/>
        <w:spacing w:before="360"/>
        <w:ind w:left="709" w:hanging="709"/>
        <w:rPr>
          <w:rFonts w:ascii="Garamond" w:hAnsi="Garamond"/>
          <w:i/>
          <w:color w:val="0000FF"/>
          <w:sz w:val="40"/>
          <w:szCs w:val="40"/>
        </w:rPr>
      </w:pPr>
      <w:bookmarkStart w:id="30" w:name="_Toc342035928"/>
      <w:bookmarkStart w:id="31" w:name="_Toc458677965"/>
      <w:bookmarkStart w:id="32" w:name="_Toc337653471"/>
      <w:r w:rsidRPr="003505A6">
        <w:rPr>
          <w:rFonts w:ascii="Garamond" w:hAnsi="Garamond"/>
          <w:i/>
          <w:color w:val="0000FF"/>
          <w:sz w:val="40"/>
          <w:szCs w:val="40"/>
        </w:rPr>
        <w:lastRenderedPageBreak/>
        <w:t>4.3. Analisi tecnico-normativa (ATN) e analisi di impatto della regolamentazione (AIR)</w:t>
      </w:r>
      <w:bookmarkEnd w:id="30"/>
      <w:bookmarkEnd w:id="31"/>
    </w:p>
    <w:p w:rsidR="00B96ACD" w:rsidRPr="003505A6" w:rsidRDefault="00B96ACD" w:rsidP="003C5A84">
      <w:pPr>
        <w:rPr>
          <w:rFonts w:ascii="Garamond" w:hAnsi="Garamond"/>
          <w:b/>
          <w:sz w:val="32"/>
          <w:szCs w:val="32"/>
        </w:rPr>
      </w:pPr>
      <w:r w:rsidRPr="00297670">
        <w:rPr>
          <w:rFonts w:ascii="Garamond" w:hAnsi="Garamond"/>
          <w:sz w:val="32"/>
          <w:szCs w:val="32"/>
        </w:rPr>
        <w:t xml:space="preserve">Dei </w:t>
      </w:r>
      <w:r w:rsidR="006E148C" w:rsidRPr="00297670">
        <w:rPr>
          <w:rFonts w:ascii="Garamond" w:hAnsi="Garamond"/>
          <w:b/>
          <w:color w:val="993300"/>
          <w:sz w:val="32"/>
          <w:szCs w:val="32"/>
        </w:rPr>
        <w:t>2</w:t>
      </w:r>
      <w:r w:rsidR="004360BB" w:rsidRPr="00297670">
        <w:rPr>
          <w:rFonts w:ascii="Garamond" w:hAnsi="Garamond"/>
          <w:b/>
          <w:color w:val="993300"/>
          <w:sz w:val="32"/>
          <w:szCs w:val="32"/>
        </w:rPr>
        <w:t>6</w:t>
      </w:r>
      <w:r w:rsidRPr="00297670">
        <w:rPr>
          <w:rFonts w:ascii="Garamond" w:hAnsi="Garamond"/>
          <w:sz w:val="32"/>
          <w:szCs w:val="32"/>
        </w:rPr>
        <w:t xml:space="preserve"> pareri</w:t>
      </w:r>
      <w:r w:rsidRPr="003505A6">
        <w:rPr>
          <w:rFonts w:ascii="Garamond" w:hAnsi="Garamond"/>
          <w:sz w:val="32"/>
          <w:szCs w:val="32"/>
        </w:rPr>
        <w:t xml:space="preserve"> resi dal Comitato </w:t>
      </w:r>
      <w:r w:rsidR="004360BB">
        <w:rPr>
          <w:rFonts w:ascii="Garamond" w:hAnsi="Garamond"/>
          <w:b/>
          <w:color w:val="993300"/>
          <w:sz w:val="32"/>
          <w:szCs w:val="32"/>
        </w:rPr>
        <w:t>7</w:t>
      </w:r>
      <w:r w:rsidR="0088604C" w:rsidRPr="003505A6">
        <w:rPr>
          <w:rFonts w:ascii="Garamond" w:hAnsi="Garamond"/>
          <w:b/>
          <w:color w:val="993300"/>
          <w:sz w:val="32"/>
          <w:szCs w:val="32"/>
        </w:rPr>
        <w:t xml:space="preserve"> </w:t>
      </w:r>
      <w:r w:rsidRPr="003505A6">
        <w:rPr>
          <w:rFonts w:ascii="Garamond" w:hAnsi="Garamond"/>
          <w:sz w:val="32"/>
          <w:szCs w:val="32"/>
        </w:rPr>
        <w:t>riguarda</w:t>
      </w:r>
      <w:r w:rsidR="004F5142" w:rsidRPr="003505A6">
        <w:rPr>
          <w:rFonts w:ascii="Garamond" w:hAnsi="Garamond"/>
          <w:sz w:val="32"/>
          <w:szCs w:val="32"/>
        </w:rPr>
        <w:t>no</w:t>
      </w:r>
      <w:r w:rsidRPr="003505A6">
        <w:rPr>
          <w:rFonts w:ascii="Garamond" w:hAnsi="Garamond"/>
          <w:sz w:val="32"/>
          <w:szCs w:val="32"/>
        </w:rPr>
        <w:t xml:space="preserve"> </w:t>
      </w:r>
      <w:r w:rsidR="004F5142" w:rsidRPr="003505A6">
        <w:rPr>
          <w:rFonts w:ascii="Garamond" w:hAnsi="Garamond"/>
          <w:sz w:val="32"/>
          <w:szCs w:val="32"/>
        </w:rPr>
        <w:t>pro</w:t>
      </w:r>
      <w:r w:rsidR="00E7255E" w:rsidRPr="003505A6">
        <w:rPr>
          <w:rFonts w:ascii="Garamond" w:hAnsi="Garamond"/>
          <w:sz w:val="32"/>
          <w:szCs w:val="32"/>
        </w:rPr>
        <w:t xml:space="preserve">vvedimenti </w:t>
      </w:r>
      <w:r w:rsidRPr="003505A6">
        <w:rPr>
          <w:rFonts w:ascii="Garamond" w:hAnsi="Garamond"/>
          <w:sz w:val="32"/>
          <w:szCs w:val="32"/>
        </w:rPr>
        <w:t>cui non sono applicabili le disposizioni in materia di</w:t>
      </w:r>
      <w:r w:rsidRPr="003505A6">
        <w:rPr>
          <w:rFonts w:ascii="Garamond" w:hAnsi="Garamond"/>
          <w:b/>
          <w:sz w:val="32"/>
          <w:szCs w:val="32"/>
        </w:rPr>
        <w:t xml:space="preserve"> </w:t>
      </w:r>
      <w:r w:rsidRPr="003505A6">
        <w:rPr>
          <w:rFonts w:ascii="Garamond" w:hAnsi="Garamond"/>
          <w:sz w:val="32"/>
          <w:szCs w:val="32"/>
        </w:rPr>
        <w:t>analisi tecnico-normativa</w:t>
      </w:r>
      <w:r w:rsidRPr="003505A6">
        <w:rPr>
          <w:rStyle w:val="StileGrassetto"/>
          <w:rFonts w:ascii="Garamond" w:hAnsi="Garamond"/>
          <w:sz w:val="32"/>
          <w:szCs w:val="32"/>
        </w:rPr>
        <w:t xml:space="preserve"> (ATN) </w:t>
      </w:r>
      <w:r w:rsidRPr="003505A6">
        <w:rPr>
          <w:rStyle w:val="StileGrassetto"/>
          <w:rFonts w:ascii="Garamond" w:hAnsi="Garamond"/>
          <w:b w:val="0"/>
          <w:sz w:val="32"/>
          <w:szCs w:val="32"/>
        </w:rPr>
        <w:t xml:space="preserve">e di </w:t>
      </w:r>
      <w:r w:rsidRPr="003505A6">
        <w:rPr>
          <w:rFonts w:ascii="Garamond" w:hAnsi="Garamond"/>
          <w:sz w:val="32"/>
          <w:szCs w:val="32"/>
        </w:rPr>
        <w:t xml:space="preserve">analisi di impatto della regolamentazione </w:t>
      </w:r>
      <w:r w:rsidRPr="003505A6">
        <w:rPr>
          <w:rStyle w:val="StileGrassetto"/>
          <w:rFonts w:ascii="Garamond" w:hAnsi="Garamond"/>
          <w:sz w:val="32"/>
          <w:szCs w:val="32"/>
        </w:rPr>
        <w:t>(AIR)</w:t>
      </w:r>
      <w:r w:rsidR="008863E7" w:rsidRPr="003505A6">
        <w:rPr>
          <w:rStyle w:val="StileGrassetto"/>
          <w:rFonts w:ascii="Garamond" w:hAnsi="Garamond"/>
          <w:b w:val="0"/>
          <w:sz w:val="32"/>
          <w:szCs w:val="32"/>
        </w:rPr>
        <w:t>,</w:t>
      </w:r>
      <w:r w:rsidR="008863E7" w:rsidRPr="003505A6">
        <w:rPr>
          <w:rStyle w:val="StileGrassetto"/>
          <w:rFonts w:ascii="Garamond" w:hAnsi="Garamond"/>
          <w:sz w:val="32"/>
          <w:szCs w:val="32"/>
        </w:rPr>
        <w:t xml:space="preserve"> </w:t>
      </w:r>
      <w:r w:rsidR="008863E7" w:rsidRPr="003505A6">
        <w:rPr>
          <w:rStyle w:val="StileGrassetto"/>
          <w:rFonts w:ascii="Garamond" w:hAnsi="Garamond"/>
          <w:b w:val="0"/>
          <w:sz w:val="32"/>
          <w:szCs w:val="32"/>
        </w:rPr>
        <w:t>in quanto o di iniziativa parlamentare, o di provenienza, in prima o seconda lettura, dal Senato</w:t>
      </w:r>
      <w:r w:rsidR="007974E6" w:rsidRPr="003505A6">
        <w:rPr>
          <w:rFonts w:ascii="Garamond" w:hAnsi="Garamond"/>
          <w:sz w:val="32"/>
          <w:szCs w:val="32"/>
        </w:rPr>
        <w:t>.</w:t>
      </w:r>
    </w:p>
    <w:p w:rsidR="00B96ACD" w:rsidRPr="003505A6" w:rsidRDefault="00B96ACD" w:rsidP="00B96ACD">
      <w:pPr>
        <w:ind w:firstLine="0"/>
        <w:rPr>
          <w:rFonts w:ascii="Garamond" w:hAnsi="Garamond"/>
          <w:bCs/>
          <w:iCs/>
          <w:sz w:val="32"/>
          <w:szCs w:val="32"/>
        </w:rPr>
      </w:pPr>
    </w:p>
    <w:p w:rsidR="00B96ACD" w:rsidRPr="003505A6" w:rsidRDefault="00F95923" w:rsidP="00B96ACD">
      <w:pPr>
        <w:rPr>
          <w:rFonts w:ascii="Garamond" w:hAnsi="Garamond"/>
          <w:sz w:val="32"/>
          <w:szCs w:val="32"/>
        </w:rPr>
      </w:pPr>
      <w:r w:rsidRPr="00297670">
        <w:rPr>
          <w:rFonts w:ascii="Garamond" w:hAnsi="Garamond"/>
          <w:sz w:val="32"/>
          <w:szCs w:val="32"/>
        </w:rPr>
        <w:t>De</w:t>
      </w:r>
      <w:r w:rsidR="00915097" w:rsidRPr="00297670">
        <w:rPr>
          <w:rFonts w:ascii="Garamond" w:hAnsi="Garamond"/>
          <w:sz w:val="32"/>
          <w:szCs w:val="32"/>
        </w:rPr>
        <w:t xml:space="preserve">i </w:t>
      </w:r>
      <w:r w:rsidR="004360BB" w:rsidRPr="00297670">
        <w:rPr>
          <w:rFonts w:ascii="Garamond" w:hAnsi="Garamond"/>
          <w:b/>
          <w:color w:val="993300"/>
          <w:sz w:val="32"/>
          <w:szCs w:val="32"/>
        </w:rPr>
        <w:t>19</w:t>
      </w:r>
      <w:r w:rsidR="00B96ACD" w:rsidRPr="00297670">
        <w:rPr>
          <w:rFonts w:ascii="Garamond" w:hAnsi="Garamond"/>
          <w:sz w:val="32"/>
          <w:szCs w:val="32"/>
        </w:rPr>
        <w:t xml:space="preserve"> provvedimenti oggetto dei pareri in cui è stata rilevata</w:t>
      </w:r>
      <w:r w:rsidR="00B96ACD" w:rsidRPr="003505A6">
        <w:rPr>
          <w:rFonts w:ascii="Garamond" w:hAnsi="Garamond"/>
          <w:sz w:val="32"/>
          <w:szCs w:val="32"/>
        </w:rPr>
        <w:t xml:space="preserve"> la presenza o l’assenza di AIR e ATN:</w:t>
      </w:r>
    </w:p>
    <w:p w:rsidR="00B96ACD" w:rsidRPr="003505A6" w:rsidRDefault="004360BB" w:rsidP="00B96ACD">
      <w:pPr>
        <w:spacing w:before="60"/>
        <w:ind w:firstLine="567"/>
        <w:rPr>
          <w:rStyle w:val="StileGrassetto"/>
          <w:rFonts w:ascii="Garamond" w:hAnsi="Garamond"/>
          <w:b w:val="0"/>
          <w:sz w:val="32"/>
          <w:szCs w:val="32"/>
        </w:rPr>
      </w:pPr>
      <w:r>
        <w:rPr>
          <w:rFonts w:ascii="Garamond" w:hAnsi="Garamond"/>
          <w:b/>
          <w:bCs/>
          <w:iCs/>
          <w:color w:val="993300"/>
          <w:sz w:val="32"/>
          <w:szCs w:val="32"/>
        </w:rPr>
        <w:t>9</w:t>
      </w:r>
      <w:r w:rsidR="00B96ACD" w:rsidRPr="003505A6">
        <w:rPr>
          <w:rFonts w:ascii="Garamond" w:hAnsi="Garamond"/>
          <w:bCs/>
          <w:iCs/>
          <w:sz w:val="32"/>
          <w:szCs w:val="32"/>
        </w:rPr>
        <w:t xml:space="preserve"> risulta</w:t>
      </w:r>
      <w:r w:rsidR="00216387" w:rsidRPr="003505A6">
        <w:rPr>
          <w:rFonts w:ascii="Garamond" w:hAnsi="Garamond"/>
          <w:bCs/>
          <w:iCs/>
          <w:sz w:val="32"/>
          <w:szCs w:val="32"/>
        </w:rPr>
        <w:t>no</w:t>
      </w:r>
      <w:r w:rsidR="00B96ACD" w:rsidRPr="003505A6">
        <w:rPr>
          <w:rFonts w:ascii="Garamond" w:hAnsi="Garamond"/>
          <w:bCs/>
          <w:iCs/>
          <w:sz w:val="32"/>
          <w:szCs w:val="32"/>
        </w:rPr>
        <w:t xml:space="preserve"> </w:t>
      </w:r>
      <w:r w:rsidR="00B96ACD" w:rsidRPr="003505A6">
        <w:rPr>
          <w:rStyle w:val="StileGrassetto"/>
          <w:rFonts w:ascii="Garamond" w:hAnsi="Garamond"/>
          <w:b w:val="0"/>
          <w:sz w:val="32"/>
          <w:szCs w:val="32"/>
        </w:rPr>
        <w:t>corredat</w:t>
      </w:r>
      <w:r w:rsidR="00216387" w:rsidRPr="003505A6">
        <w:rPr>
          <w:rStyle w:val="StileGrassetto"/>
          <w:rFonts w:ascii="Garamond" w:hAnsi="Garamond"/>
          <w:b w:val="0"/>
          <w:sz w:val="32"/>
          <w:szCs w:val="32"/>
        </w:rPr>
        <w:t>i</w:t>
      </w:r>
      <w:r w:rsidR="0088604C" w:rsidRPr="003505A6">
        <w:rPr>
          <w:rStyle w:val="StileGrassetto"/>
          <w:rFonts w:ascii="Garamond" w:hAnsi="Garamond"/>
          <w:b w:val="0"/>
          <w:sz w:val="32"/>
          <w:szCs w:val="32"/>
        </w:rPr>
        <w:t xml:space="preserve"> </w:t>
      </w:r>
      <w:r w:rsidR="00B96ACD" w:rsidRPr="003505A6">
        <w:rPr>
          <w:rStyle w:val="StileGrassetto"/>
          <w:rFonts w:ascii="Garamond" w:hAnsi="Garamond"/>
          <w:b w:val="0"/>
          <w:sz w:val="32"/>
          <w:szCs w:val="32"/>
        </w:rPr>
        <w:t>di AIR e di ATN;</w:t>
      </w:r>
    </w:p>
    <w:p w:rsidR="00B96ACD" w:rsidRPr="003505A6" w:rsidRDefault="004360BB" w:rsidP="00B96ACD">
      <w:pPr>
        <w:ind w:firstLine="567"/>
        <w:rPr>
          <w:rFonts w:ascii="Garamond" w:hAnsi="Garamond"/>
          <w:b/>
          <w:bCs/>
          <w:iCs/>
          <w:sz w:val="32"/>
          <w:szCs w:val="32"/>
        </w:rPr>
      </w:pPr>
      <w:r>
        <w:rPr>
          <w:rFonts w:ascii="Garamond" w:hAnsi="Garamond"/>
          <w:b/>
          <w:bCs/>
          <w:iCs/>
          <w:color w:val="993300"/>
          <w:sz w:val="32"/>
          <w:szCs w:val="32"/>
        </w:rPr>
        <w:t>2</w:t>
      </w:r>
      <w:r w:rsidR="00B96ACD" w:rsidRPr="003505A6">
        <w:rPr>
          <w:rStyle w:val="StileGrassetto"/>
          <w:rFonts w:ascii="Garamond" w:hAnsi="Garamond"/>
          <w:sz w:val="32"/>
          <w:szCs w:val="32"/>
        </w:rPr>
        <w:t xml:space="preserve"> </w:t>
      </w:r>
      <w:r w:rsidR="00B96ACD" w:rsidRPr="003505A6">
        <w:rPr>
          <w:rFonts w:ascii="Garamond" w:hAnsi="Garamond"/>
          <w:bCs/>
          <w:iCs/>
          <w:sz w:val="32"/>
          <w:szCs w:val="32"/>
        </w:rPr>
        <w:t xml:space="preserve">risultano </w:t>
      </w:r>
      <w:r w:rsidR="00B96ACD" w:rsidRPr="003505A6">
        <w:rPr>
          <w:rStyle w:val="StileGrassetto"/>
          <w:rFonts w:ascii="Garamond" w:hAnsi="Garamond"/>
          <w:b w:val="0"/>
          <w:sz w:val="32"/>
          <w:szCs w:val="32"/>
        </w:rPr>
        <w:t>corredati della sola ATN</w:t>
      </w:r>
      <w:r w:rsidR="00B96ACD" w:rsidRPr="003505A6">
        <w:rPr>
          <w:rFonts w:ascii="Garamond" w:hAnsi="Garamond"/>
          <w:b/>
          <w:bCs/>
          <w:iCs/>
          <w:sz w:val="32"/>
          <w:szCs w:val="32"/>
        </w:rPr>
        <w:t>;</w:t>
      </w:r>
    </w:p>
    <w:p w:rsidR="00B96ACD" w:rsidRPr="003505A6" w:rsidRDefault="003D64F3" w:rsidP="00B96ACD">
      <w:pPr>
        <w:ind w:firstLine="567"/>
        <w:rPr>
          <w:rFonts w:ascii="Garamond" w:hAnsi="Garamond"/>
          <w:bCs/>
          <w:iCs/>
          <w:sz w:val="32"/>
          <w:szCs w:val="32"/>
        </w:rPr>
      </w:pPr>
      <w:r w:rsidRPr="003505A6">
        <w:rPr>
          <w:rFonts w:ascii="Garamond" w:hAnsi="Garamond"/>
          <w:b/>
          <w:bCs/>
          <w:iCs/>
          <w:color w:val="993300"/>
          <w:sz w:val="32"/>
          <w:szCs w:val="32"/>
        </w:rPr>
        <w:t>8</w:t>
      </w:r>
      <w:r w:rsidR="00B96ACD" w:rsidRPr="003505A6">
        <w:rPr>
          <w:rFonts w:ascii="Garamond" w:hAnsi="Garamond"/>
          <w:bCs/>
          <w:iCs/>
          <w:sz w:val="32"/>
          <w:szCs w:val="32"/>
        </w:rPr>
        <w:t xml:space="preserve"> sono </w:t>
      </w:r>
      <w:r w:rsidR="00B96ACD" w:rsidRPr="003505A6">
        <w:rPr>
          <w:rStyle w:val="StileGrassetto"/>
          <w:rFonts w:ascii="Garamond" w:hAnsi="Garamond"/>
          <w:b w:val="0"/>
          <w:sz w:val="32"/>
          <w:szCs w:val="32"/>
        </w:rPr>
        <w:t>privi sia di AIR sia di ATN</w:t>
      </w:r>
      <w:r w:rsidR="00B96ACD" w:rsidRPr="003505A6">
        <w:rPr>
          <w:rFonts w:ascii="Garamond" w:hAnsi="Garamond"/>
          <w:bCs/>
          <w:iCs/>
          <w:sz w:val="32"/>
          <w:szCs w:val="32"/>
        </w:rPr>
        <w:t>.</w:t>
      </w:r>
    </w:p>
    <w:p w:rsidR="001A2277" w:rsidRPr="003505A6" w:rsidRDefault="001A2277" w:rsidP="00B96ACD">
      <w:pPr>
        <w:ind w:firstLine="567"/>
        <w:rPr>
          <w:rFonts w:ascii="Garamond" w:hAnsi="Garamond"/>
          <w:bCs/>
          <w:iCs/>
          <w:sz w:val="32"/>
          <w:szCs w:val="32"/>
        </w:rPr>
      </w:pPr>
    </w:p>
    <w:p w:rsidR="00B96ACD" w:rsidRPr="003505A6" w:rsidRDefault="00B96ACD" w:rsidP="00B96ACD">
      <w:pPr>
        <w:ind w:firstLine="0"/>
        <w:rPr>
          <w:rFonts w:ascii="Garamond" w:hAnsi="Garamond"/>
          <w:b/>
          <w:bCs/>
          <w:iCs/>
          <w:sz w:val="32"/>
          <w:szCs w:val="32"/>
        </w:rPr>
      </w:pPr>
    </w:p>
    <w:p w:rsidR="00B96ACD" w:rsidRPr="003505A6" w:rsidRDefault="00B96ACD" w:rsidP="003C5A84">
      <w:pPr>
        <w:rPr>
          <w:rFonts w:ascii="Garamond" w:hAnsi="Garamond"/>
          <w:i/>
          <w:sz w:val="32"/>
          <w:szCs w:val="32"/>
        </w:rPr>
      </w:pPr>
      <w:r w:rsidRPr="003505A6">
        <w:rPr>
          <w:rFonts w:ascii="Garamond" w:hAnsi="Garamond"/>
          <w:i/>
          <w:sz w:val="32"/>
          <w:szCs w:val="32"/>
        </w:rPr>
        <w:t>L’analisi tecnico-normativa (</w:t>
      </w:r>
      <w:r w:rsidRPr="003505A6">
        <w:rPr>
          <w:rFonts w:ascii="Garamond" w:hAnsi="Garamond"/>
          <w:b/>
          <w:i/>
          <w:sz w:val="32"/>
          <w:szCs w:val="32"/>
        </w:rPr>
        <w:t>ATN</w:t>
      </w:r>
      <w:r w:rsidRPr="003505A6">
        <w:rPr>
          <w:rFonts w:ascii="Garamond" w:hAnsi="Garamond"/>
          <w:i/>
          <w:sz w:val="32"/>
          <w:szCs w:val="32"/>
        </w:rPr>
        <w:t>) e l’analisi di impatto della regolamentazione (</w:t>
      </w:r>
      <w:r w:rsidRPr="003505A6">
        <w:rPr>
          <w:rFonts w:ascii="Garamond" w:hAnsi="Garamond"/>
          <w:b/>
          <w:i/>
          <w:sz w:val="32"/>
          <w:szCs w:val="32"/>
        </w:rPr>
        <w:t>AIR</w:t>
      </w:r>
      <w:r w:rsidRPr="003505A6">
        <w:rPr>
          <w:rFonts w:ascii="Garamond" w:hAnsi="Garamond"/>
          <w:i/>
          <w:sz w:val="32"/>
          <w:szCs w:val="32"/>
        </w:rPr>
        <w:t>) sono disciplinate dalla direttiva del Presidente del Consiglio dei Ministri del 10 settembre 2008 e dal decreto del Presidente del Consiglio dei Ministri 11 settembre 2008, n. 170, che ne hanno dettato una nuova disciplina a livello governativo. L’obiettivo sotteso ai due interventi è quello di rendere più efficaci le due tipologie di analisi e più cogente l’obbligo della loro effettuazione. A questo fine il regolamento dispone che “</w:t>
      </w:r>
      <w:r w:rsidRPr="003505A6">
        <w:rPr>
          <w:rFonts w:ascii="Garamond" w:hAnsi="Garamond"/>
          <w:sz w:val="32"/>
          <w:szCs w:val="32"/>
        </w:rPr>
        <w:t>le proposte di atti normativi da sottoporre all’esame del Consiglio dei ministri non possono essere iscritte all’ordine del giorno se non sono corredate da un’adeguata relazione AIR, salvi i casi di esclusione e di esenzione, previsti dagli articoli 8 e 9</w:t>
      </w:r>
      <w:r w:rsidRPr="003505A6">
        <w:rPr>
          <w:rFonts w:ascii="Garamond" w:hAnsi="Garamond"/>
          <w:i/>
          <w:sz w:val="32"/>
          <w:szCs w:val="32"/>
        </w:rPr>
        <w:t xml:space="preserve">”; la direttiva prevede che “la carenza o l’insufficienza dell’ATN precludano l’iscrizione del provvedimento alla riunione preparatoria del Consiglio dei Ministri e sono comunque rilevate e segnalate dal Dipartimento per gli affari giuridici e legislativi della Presidenza del Consiglio (DAGL) al Presidente del Consiglio dei Ministri, prima della discussione dello schema in Consiglio dei Ministri o, in caso di regolamento </w:t>
      </w:r>
      <w:r w:rsidRPr="003505A6">
        <w:rPr>
          <w:rFonts w:ascii="Garamond" w:hAnsi="Garamond"/>
          <w:i/>
          <w:sz w:val="32"/>
          <w:szCs w:val="32"/>
        </w:rPr>
        <w:lastRenderedPageBreak/>
        <w:t>di cui all’art. 17, comma 3, della legge 23 agosto 1988, n. 400, prima della sua adozione”.</w:t>
      </w:r>
    </w:p>
    <w:p w:rsidR="00B96ACD" w:rsidRPr="003505A6" w:rsidRDefault="00B96ACD" w:rsidP="003C5A84">
      <w:pPr>
        <w:rPr>
          <w:rFonts w:ascii="Garamond" w:hAnsi="Garamond"/>
          <w:i/>
          <w:sz w:val="32"/>
          <w:szCs w:val="32"/>
        </w:rPr>
      </w:pPr>
      <w:r w:rsidRPr="003505A6">
        <w:rPr>
          <w:rFonts w:ascii="Garamond" w:hAnsi="Garamond"/>
          <w:i/>
          <w:sz w:val="32"/>
          <w:szCs w:val="32"/>
        </w:rPr>
        <w:t>La direttiva sull’analisi tecnico-normativa sostituisce la precedente direttiva, adottata nel 2000.</w:t>
      </w:r>
    </w:p>
    <w:p w:rsidR="00B96ACD" w:rsidRPr="003505A6" w:rsidRDefault="00B96ACD" w:rsidP="003C5A84">
      <w:pPr>
        <w:rPr>
          <w:rFonts w:ascii="Garamond" w:hAnsi="Garamond"/>
          <w:i/>
          <w:sz w:val="32"/>
          <w:szCs w:val="32"/>
        </w:rPr>
      </w:pPr>
      <w:r w:rsidRPr="003505A6">
        <w:rPr>
          <w:rFonts w:ascii="Garamond" w:hAnsi="Garamond"/>
          <w:i/>
          <w:sz w:val="32"/>
          <w:szCs w:val="32"/>
        </w:rPr>
        <w:t>Il regolamento recante disciplina attuativa dell’analisi di impatto della regolamentazione dà attuazione all’articolo 14, comma 5, della legge 28 novembre 2005, n. 246.</w:t>
      </w:r>
    </w:p>
    <w:p w:rsidR="00B96ACD" w:rsidRPr="003505A6" w:rsidRDefault="00B96ACD" w:rsidP="003C5A84">
      <w:pPr>
        <w:rPr>
          <w:rFonts w:ascii="Garamond" w:hAnsi="Garamond"/>
          <w:i/>
          <w:sz w:val="32"/>
          <w:szCs w:val="32"/>
        </w:rPr>
      </w:pPr>
      <w:r w:rsidRPr="003505A6">
        <w:rPr>
          <w:rFonts w:ascii="Garamond" w:hAnsi="Garamond"/>
          <w:i/>
          <w:sz w:val="32"/>
          <w:szCs w:val="32"/>
        </w:rPr>
        <w:t xml:space="preserve">Le due analisi costituiscono gli strumenti per la valutazione </w:t>
      </w:r>
      <w:r w:rsidRPr="003505A6">
        <w:rPr>
          <w:rFonts w:ascii="Garamond" w:hAnsi="Garamond"/>
          <w:sz w:val="32"/>
          <w:szCs w:val="32"/>
        </w:rPr>
        <w:t>ex ante</w:t>
      </w:r>
      <w:r w:rsidRPr="003505A6">
        <w:rPr>
          <w:rFonts w:ascii="Garamond" w:hAnsi="Garamond"/>
          <w:i/>
          <w:sz w:val="32"/>
          <w:szCs w:val="32"/>
        </w:rPr>
        <w:t xml:space="preserve">, cui va aggiunta, quale strumento di valutazione </w:t>
      </w:r>
      <w:r w:rsidRPr="003505A6">
        <w:rPr>
          <w:rFonts w:ascii="Garamond" w:hAnsi="Garamond"/>
          <w:sz w:val="32"/>
          <w:szCs w:val="32"/>
        </w:rPr>
        <w:t>ex post</w:t>
      </w:r>
      <w:r w:rsidRPr="003505A6">
        <w:rPr>
          <w:rFonts w:ascii="Garamond" w:hAnsi="Garamond"/>
          <w:i/>
          <w:sz w:val="32"/>
          <w:szCs w:val="32"/>
        </w:rPr>
        <w:t xml:space="preserve">, la verifica dell’impatto della regolamentazione (VIR), oggetto del successivo regolamento di cui al DPCM 19 novembre 2009, n. 212. </w:t>
      </w:r>
    </w:p>
    <w:p w:rsidR="00B96ACD" w:rsidRPr="003505A6" w:rsidRDefault="00B96ACD" w:rsidP="003C5A84">
      <w:pPr>
        <w:rPr>
          <w:rFonts w:ascii="Garamond" w:hAnsi="Garamond"/>
          <w:i/>
          <w:sz w:val="32"/>
          <w:szCs w:val="32"/>
        </w:rPr>
      </w:pPr>
      <w:r w:rsidRPr="003505A6">
        <w:rPr>
          <w:rFonts w:ascii="Garamond" w:hAnsi="Garamond"/>
          <w:i/>
          <w:sz w:val="32"/>
          <w:szCs w:val="32"/>
        </w:rPr>
        <w:t>Se AIR e VIR trovano i fondamenti della loro disciplina nell’articolo 14 della legge 28 novembre 2005, n. 246 (legge di semplificazione e riassetto normativo per l’anno 2005), l’analisi tecnico-normativa non trova nessuna definizione a livello legislativo.</w:t>
      </w:r>
    </w:p>
    <w:p w:rsidR="00B96ACD" w:rsidRPr="003505A6" w:rsidRDefault="00B96ACD" w:rsidP="00B96ACD">
      <w:pPr>
        <w:rPr>
          <w:rFonts w:ascii="Garamond" w:hAnsi="Garamond"/>
        </w:rPr>
      </w:pPr>
    </w:p>
    <w:p w:rsidR="00B96ACD" w:rsidRPr="003505A6" w:rsidRDefault="00B96ACD" w:rsidP="00B96ACD">
      <w:pPr>
        <w:ind w:firstLine="0"/>
        <w:rPr>
          <w:rFonts w:ascii="Garamond" w:hAnsi="Garamond"/>
          <w:bCs/>
          <w:iCs/>
          <w:szCs w:val="22"/>
        </w:rPr>
      </w:pPr>
    </w:p>
    <w:p w:rsidR="00B96ACD" w:rsidRPr="003505A6" w:rsidRDefault="00AF0E3A" w:rsidP="00B96ACD">
      <w:pPr>
        <w:ind w:firstLine="142"/>
        <w:rPr>
          <w:rFonts w:ascii="Garamond" w:hAnsi="Garamond"/>
          <w:sz w:val="32"/>
          <w:szCs w:val="32"/>
        </w:rPr>
      </w:pPr>
      <w:r w:rsidRPr="00297670">
        <w:rPr>
          <w:rFonts w:ascii="Garamond" w:hAnsi="Garamond"/>
          <w:sz w:val="32"/>
          <w:szCs w:val="32"/>
        </w:rPr>
        <w:t>Ne</w:t>
      </w:r>
      <w:r w:rsidR="00915097" w:rsidRPr="00297670">
        <w:rPr>
          <w:rFonts w:ascii="Garamond" w:hAnsi="Garamond"/>
          <w:sz w:val="32"/>
          <w:szCs w:val="32"/>
        </w:rPr>
        <w:t>i</w:t>
      </w:r>
      <w:r w:rsidR="00B96ACD" w:rsidRPr="00297670">
        <w:rPr>
          <w:rFonts w:ascii="Garamond" w:hAnsi="Garamond"/>
          <w:sz w:val="32"/>
          <w:szCs w:val="32"/>
        </w:rPr>
        <w:t xml:space="preserve"> </w:t>
      </w:r>
      <w:r w:rsidR="008863E7" w:rsidRPr="00297670">
        <w:rPr>
          <w:rFonts w:ascii="Garamond" w:hAnsi="Garamond"/>
          <w:b/>
          <w:color w:val="800000"/>
          <w:sz w:val="32"/>
          <w:szCs w:val="32"/>
        </w:rPr>
        <w:t>1</w:t>
      </w:r>
      <w:r w:rsidR="00E634A2" w:rsidRPr="00297670">
        <w:rPr>
          <w:rFonts w:ascii="Garamond" w:hAnsi="Garamond"/>
          <w:b/>
          <w:color w:val="800000"/>
          <w:sz w:val="32"/>
          <w:szCs w:val="32"/>
        </w:rPr>
        <w:t>0</w:t>
      </w:r>
      <w:r w:rsidR="00B96ACD" w:rsidRPr="00297670">
        <w:rPr>
          <w:rFonts w:ascii="Garamond" w:hAnsi="Garamond"/>
          <w:b/>
          <w:color w:val="993300"/>
          <w:sz w:val="32"/>
          <w:szCs w:val="32"/>
        </w:rPr>
        <w:t xml:space="preserve"> </w:t>
      </w:r>
      <w:r w:rsidR="00B96ACD" w:rsidRPr="00297670">
        <w:rPr>
          <w:rFonts w:ascii="Garamond" w:hAnsi="Garamond"/>
          <w:sz w:val="32"/>
          <w:szCs w:val="32"/>
        </w:rPr>
        <w:t>casi in cui l’</w:t>
      </w:r>
      <w:r w:rsidR="00B96ACD" w:rsidRPr="00297670">
        <w:rPr>
          <w:rFonts w:ascii="Garamond" w:hAnsi="Garamond"/>
          <w:b/>
          <w:sz w:val="32"/>
          <w:szCs w:val="32"/>
        </w:rPr>
        <w:t>AIR</w:t>
      </w:r>
      <w:r w:rsidR="00CE29A4" w:rsidRPr="00297670">
        <w:rPr>
          <w:rFonts w:ascii="Garamond" w:hAnsi="Garamond"/>
          <w:sz w:val="32"/>
          <w:szCs w:val="32"/>
        </w:rPr>
        <w:t xml:space="preserve"> </w:t>
      </w:r>
      <w:r w:rsidR="00B96ACD" w:rsidRPr="00297670">
        <w:rPr>
          <w:rFonts w:ascii="Garamond" w:hAnsi="Garamond"/>
          <w:sz w:val="32"/>
          <w:szCs w:val="32"/>
        </w:rPr>
        <w:t>è assente:</w:t>
      </w:r>
    </w:p>
    <w:p w:rsidR="00B96ACD" w:rsidRPr="003505A6" w:rsidRDefault="00B96ACD" w:rsidP="00AD5756">
      <w:pPr>
        <w:ind w:left="284" w:hanging="284"/>
        <w:rPr>
          <w:rFonts w:ascii="Garamond" w:hAnsi="Garamond"/>
          <w:sz w:val="32"/>
          <w:szCs w:val="32"/>
        </w:rPr>
      </w:pPr>
      <w:r w:rsidRPr="003505A6">
        <w:rPr>
          <w:rFonts w:ascii="Garamond" w:hAnsi="Garamond"/>
          <w:sz w:val="32"/>
          <w:szCs w:val="32"/>
        </w:rPr>
        <w:t xml:space="preserve">♦ in </w:t>
      </w:r>
      <w:r w:rsidR="00E634A2">
        <w:rPr>
          <w:rFonts w:ascii="Garamond" w:hAnsi="Garamond"/>
          <w:b/>
          <w:color w:val="993300"/>
          <w:sz w:val="32"/>
          <w:szCs w:val="32"/>
        </w:rPr>
        <w:t>6</w:t>
      </w:r>
      <w:r w:rsidRPr="003505A6">
        <w:rPr>
          <w:rFonts w:ascii="Garamond" w:hAnsi="Garamond"/>
          <w:sz w:val="32"/>
          <w:szCs w:val="32"/>
        </w:rPr>
        <w:t xml:space="preserve"> pareri si </w:t>
      </w:r>
      <w:r w:rsidR="00D82CF1" w:rsidRPr="003505A6">
        <w:rPr>
          <w:rFonts w:ascii="Garamond" w:hAnsi="Garamond"/>
          <w:sz w:val="32"/>
          <w:szCs w:val="32"/>
        </w:rPr>
        <w:t>constata semplicemente</w:t>
      </w:r>
      <w:r w:rsidRPr="003505A6">
        <w:rPr>
          <w:rFonts w:ascii="Garamond" w:hAnsi="Garamond"/>
          <w:sz w:val="32"/>
          <w:szCs w:val="32"/>
        </w:rPr>
        <w:t xml:space="preserve"> </w:t>
      </w:r>
      <w:r w:rsidR="00D82CF1" w:rsidRPr="003505A6">
        <w:rPr>
          <w:rFonts w:ascii="Garamond" w:hAnsi="Garamond"/>
          <w:sz w:val="32"/>
          <w:szCs w:val="32"/>
        </w:rPr>
        <w:t>l’assenza</w:t>
      </w:r>
      <w:r w:rsidR="001A2277" w:rsidRPr="003505A6">
        <w:rPr>
          <w:rFonts w:ascii="Garamond" w:hAnsi="Garamond"/>
          <w:sz w:val="32"/>
          <w:szCs w:val="32"/>
        </w:rPr>
        <w:t xml:space="preserve">; </w:t>
      </w:r>
    </w:p>
    <w:p w:rsidR="00FA0958" w:rsidRPr="003505A6" w:rsidRDefault="00B96ACD" w:rsidP="003C5A84">
      <w:pPr>
        <w:ind w:left="284" w:hanging="284"/>
        <w:rPr>
          <w:rFonts w:ascii="Garamond" w:hAnsi="Garamond"/>
          <w:sz w:val="32"/>
          <w:szCs w:val="32"/>
          <w:shd w:val="clear" w:color="auto" w:fill="FFFFFF"/>
        </w:rPr>
      </w:pPr>
      <w:r w:rsidRPr="003505A6">
        <w:rPr>
          <w:rFonts w:ascii="Garamond" w:hAnsi="Garamond"/>
          <w:sz w:val="32"/>
          <w:szCs w:val="32"/>
        </w:rPr>
        <w:t xml:space="preserve">♦ in </w:t>
      </w:r>
      <w:r w:rsidR="00E634A2">
        <w:rPr>
          <w:rFonts w:ascii="Garamond" w:hAnsi="Garamond"/>
          <w:b/>
          <w:color w:val="993300"/>
          <w:sz w:val="32"/>
          <w:szCs w:val="32"/>
        </w:rPr>
        <w:t>4</w:t>
      </w:r>
      <w:r w:rsidRPr="003505A6">
        <w:rPr>
          <w:rFonts w:ascii="Garamond" w:hAnsi="Garamond"/>
          <w:sz w:val="32"/>
          <w:szCs w:val="32"/>
        </w:rPr>
        <w:t xml:space="preserve"> pareri si segnala che </w:t>
      </w:r>
      <w:r w:rsidR="00FF09C8" w:rsidRPr="003505A6">
        <w:rPr>
          <w:rFonts w:ascii="Garamond" w:hAnsi="Garamond"/>
          <w:sz w:val="32"/>
          <w:szCs w:val="32"/>
        </w:rPr>
        <w:t xml:space="preserve">la dichiarazione di esenzione dall’obbligo di redigere l’AIR è allegata al provvedimento ovvero che si dà conto dell’esenzione stessa </w:t>
      </w:r>
      <w:r w:rsidRPr="003505A6">
        <w:rPr>
          <w:rFonts w:ascii="Garamond" w:hAnsi="Garamond"/>
          <w:sz w:val="32"/>
          <w:szCs w:val="32"/>
        </w:rPr>
        <w:t>nella relazione di accompagnamento</w:t>
      </w:r>
      <w:r w:rsidR="00EA468E" w:rsidRPr="003505A6">
        <w:rPr>
          <w:rFonts w:ascii="Garamond" w:hAnsi="Garamond"/>
          <w:sz w:val="32"/>
          <w:szCs w:val="32"/>
        </w:rPr>
        <w:t>.</w:t>
      </w:r>
      <w:r w:rsidR="00216387" w:rsidRPr="003505A6">
        <w:rPr>
          <w:rFonts w:ascii="Garamond" w:hAnsi="Garamond"/>
          <w:sz w:val="32"/>
          <w:szCs w:val="32"/>
        </w:rPr>
        <w:t xml:space="preserve"> </w:t>
      </w:r>
    </w:p>
    <w:p w:rsidR="00FA0958" w:rsidRPr="003505A6" w:rsidRDefault="00FA0958" w:rsidP="003C5A84">
      <w:pPr>
        <w:ind w:left="284" w:hanging="284"/>
        <w:rPr>
          <w:rFonts w:ascii="Garamond" w:hAnsi="Garamond"/>
          <w:sz w:val="32"/>
          <w:szCs w:val="32"/>
        </w:rPr>
      </w:pPr>
    </w:p>
    <w:p w:rsidR="005847F5" w:rsidRPr="003505A6" w:rsidRDefault="005847F5" w:rsidP="003C5A84">
      <w:pPr>
        <w:ind w:left="284" w:hanging="284"/>
        <w:rPr>
          <w:rFonts w:ascii="Garamond" w:hAnsi="Garamond"/>
          <w:i/>
          <w:sz w:val="32"/>
          <w:szCs w:val="32"/>
        </w:rPr>
        <w:sectPr w:rsidR="005847F5" w:rsidRPr="003505A6" w:rsidSect="00B57BA3">
          <w:pgSz w:w="11906" w:h="16838" w:code="9"/>
          <w:pgMar w:top="1985" w:right="1985" w:bottom="1985" w:left="1985" w:header="1134" w:footer="1134" w:gutter="0"/>
          <w:cols w:space="720"/>
          <w:formProt w:val="0"/>
        </w:sectPr>
      </w:pPr>
    </w:p>
    <w:p w:rsidR="00670EB5" w:rsidRPr="003505A6" w:rsidRDefault="00EC4792" w:rsidP="00FA0958">
      <w:pPr>
        <w:pStyle w:val="Titolo2"/>
        <w:spacing w:before="360"/>
        <w:ind w:left="0" w:firstLine="0"/>
        <w:rPr>
          <w:rFonts w:ascii="Garamond" w:hAnsi="Garamond"/>
          <w:i/>
          <w:color w:val="0000FF"/>
          <w:sz w:val="40"/>
          <w:szCs w:val="40"/>
        </w:rPr>
      </w:pPr>
      <w:bookmarkStart w:id="33" w:name="_Toc342035929"/>
      <w:bookmarkStart w:id="34" w:name="_Toc458677966"/>
      <w:r w:rsidRPr="003505A6">
        <w:rPr>
          <w:rFonts w:ascii="Garamond" w:hAnsi="Garamond"/>
          <w:i/>
          <w:color w:val="0000FF"/>
          <w:sz w:val="40"/>
          <w:szCs w:val="40"/>
        </w:rPr>
        <w:lastRenderedPageBreak/>
        <w:t>4</w:t>
      </w:r>
      <w:r w:rsidR="00670EB5" w:rsidRPr="003505A6">
        <w:rPr>
          <w:rFonts w:ascii="Garamond" w:hAnsi="Garamond"/>
          <w:i/>
          <w:color w:val="0000FF"/>
          <w:sz w:val="40"/>
          <w:szCs w:val="40"/>
        </w:rPr>
        <w:t>.</w:t>
      </w:r>
      <w:r w:rsidR="00B96ACD" w:rsidRPr="003505A6">
        <w:rPr>
          <w:rFonts w:ascii="Garamond" w:hAnsi="Garamond"/>
          <w:i/>
          <w:color w:val="0000FF"/>
          <w:sz w:val="40"/>
          <w:szCs w:val="40"/>
        </w:rPr>
        <w:t>4</w:t>
      </w:r>
      <w:r w:rsidR="00762C39" w:rsidRPr="003505A6">
        <w:rPr>
          <w:rFonts w:ascii="Garamond" w:hAnsi="Garamond"/>
          <w:i/>
          <w:color w:val="0000FF"/>
          <w:sz w:val="40"/>
          <w:szCs w:val="40"/>
        </w:rPr>
        <w:t xml:space="preserve">. Profili </w:t>
      </w:r>
      <w:r w:rsidR="007F480F" w:rsidRPr="003505A6">
        <w:rPr>
          <w:rFonts w:ascii="Garamond" w:hAnsi="Garamond"/>
          <w:i/>
          <w:color w:val="0000FF"/>
          <w:sz w:val="40"/>
          <w:szCs w:val="40"/>
        </w:rPr>
        <w:t xml:space="preserve">di </w:t>
      </w:r>
      <w:r w:rsidR="00670EB5" w:rsidRPr="003505A6">
        <w:rPr>
          <w:rFonts w:ascii="Garamond" w:hAnsi="Garamond"/>
          <w:i/>
          <w:color w:val="0000FF"/>
          <w:sz w:val="40"/>
          <w:szCs w:val="40"/>
        </w:rPr>
        <w:t>formulazione tecnica dei testi normativi</w:t>
      </w:r>
      <w:bookmarkEnd w:id="32"/>
      <w:bookmarkEnd w:id="33"/>
      <w:bookmarkEnd w:id="34"/>
    </w:p>
    <w:p w:rsidR="00CA7AB6" w:rsidRPr="003505A6" w:rsidRDefault="00CA7AB6" w:rsidP="006E4713">
      <w:pPr>
        <w:pStyle w:val="Titolo2"/>
        <w:rPr>
          <w:rFonts w:ascii="Garamond" w:hAnsi="Garamond"/>
          <w:i/>
          <w:iCs/>
          <w:color w:val="0000FF"/>
          <w:sz w:val="28"/>
          <w:szCs w:val="28"/>
        </w:rPr>
      </w:pPr>
      <w:bookmarkStart w:id="35" w:name="_Toc458677967"/>
      <w:r w:rsidRPr="003505A6">
        <w:rPr>
          <w:rFonts w:ascii="Garamond" w:hAnsi="Garamond"/>
          <w:i/>
          <w:iCs/>
          <w:color w:val="0000FF"/>
          <w:sz w:val="28"/>
          <w:szCs w:val="28"/>
        </w:rPr>
        <w:t xml:space="preserve">4.4.1. </w:t>
      </w:r>
      <w:r w:rsidR="00594D41" w:rsidRPr="003505A6">
        <w:rPr>
          <w:rFonts w:ascii="Garamond" w:hAnsi="Garamond"/>
          <w:i/>
          <w:iCs/>
          <w:color w:val="0000FF"/>
          <w:sz w:val="28"/>
          <w:szCs w:val="28"/>
        </w:rPr>
        <w:t>Considerazioni generali</w:t>
      </w:r>
      <w:bookmarkEnd w:id="35"/>
    </w:p>
    <w:p w:rsidR="00DC7F6D" w:rsidRPr="003505A6" w:rsidRDefault="00DC7F6D" w:rsidP="00BB539E">
      <w:pPr>
        <w:rPr>
          <w:rFonts w:ascii="Garamond" w:hAnsi="Garamond"/>
          <w:sz w:val="32"/>
          <w:szCs w:val="32"/>
        </w:rPr>
      </w:pPr>
      <w:r w:rsidRPr="003505A6">
        <w:rPr>
          <w:rFonts w:ascii="Garamond" w:hAnsi="Garamond"/>
          <w:sz w:val="32"/>
          <w:szCs w:val="32"/>
        </w:rPr>
        <w:t xml:space="preserve">Il Comitato, per la legislazione, negli ultimi anni, si è interessato anche ad aspetti </w:t>
      </w:r>
      <w:r w:rsidR="00515AA7" w:rsidRPr="003505A6">
        <w:rPr>
          <w:rFonts w:ascii="Garamond" w:hAnsi="Garamond"/>
          <w:sz w:val="32"/>
          <w:szCs w:val="32"/>
        </w:rPr>
        <w:t>ulterior</w:t>
      </w:r>
      <w:r w:rsidRPr="003505A6">
        <w:rPr>
          <w:rFonts w:ascii="Garamond" w:hAnsi="Garamond"/>
          <w:sz w:val="32"/>
          <w:szCs w:val="32"/>
        </w:rPr>
        <w:t>i rispetto a quelli espressamente trattati nella circolare sulla formulazione tecnica dei testi legislativi</w:t>
      </w:r>
      <w:r w:rsidR="00E40005" w:rsidRPr="003505A6">
        <w:rPr>
          <w:rFonts w:ascii="Garamond" w:hAnsi="Garamond"/>
          <w:sz w:val="32"/>
          <w:szCs w:val="32"/>
        </w:rPr>
        <w:t>;</w:t>
      </w:r>
      <w:r w:rsidRPr="003505A6">
        <w:rPr>
          <w:rFonts w:ascii="Garamond" w:hAnsi="Garamond"/>
          <w:sz w:val="32"/>
          <w:szCs w:val="32"/>
        </w:rPr>
        <w:t xml:space="preserve"> in particolare, ha prestato attenzione ai seguenti fenomeni:</w:t>
      </w:r>
    </w:p>
    <w:p w:rsidR="00DC7F6D" w:rsidRPr="003505A6" w:rsidRDefault="00DC7F6D" w:rsidP="00DC7F6D">
      <w:pPr>
        <w:rPr>
          <w:rFonts w:ascii="Garamond" w:hAnsi="Garamond"/>
          <w:sz w:val="32"/>
          <w:szCs w:val="32"/>
        </w:rPr>
      </w:pPr>
      <w:r w:rsidRPr="003505A6">
        <w:rPr>
          <w:rFonts w:ascii="Garamond" w:hAnsi="Garamond" w:cs="Arial"/>
          <w:sz w:val="32"/>
          <w:szCs w:val="32"/>
        </w:rPr>
        <w:t>♦</w:t>
      </w:r>
      <w:r w:rsidRPr="003505A6">
        <w:rPr>
          <w:rFonts w:ascii="Garamond" w:hAnsi="Garamond"/>
          <w:sz w:val="32"/>
          <w:szCs w:val="32"/>
        </w:rPr>
        <w:t xml:space="preserve"> stratificazione normativa e modifica di norme di recente approvazione;</w:t>
      </w:r>
    </w:p>
    <w:p w:rsidR="00DC7F6D" w:rsidRPr="003505A6" w:rsidRDefault="00DC7F6D" w:rsidP="00DC7F6D">
      <w:pPr>
        <w:rPr>
          <w:rFonts w:ascii="Garamond" w:hAnsi="Garamond"/>
          <w:sz w:val="32"/>
          <w:szCs w:val="32"/>
        </w:rPr>
      </w:pPr>
      <w:r w:rsidRPr="003505A6">
        <w:rPr>
          <w:rFonts w:ascii="Garamond" w:hAnsi="Garamond" w:cs="Arial"/>
          <w:sz w:val="32"/>
          <w:szCs w:val="32"/>
        </w:rPr>
        <w:t xml:space="preserve">♦ </w:t>
      </w:r>
      <w:r w:rsidRPr="003505A6">
        <w:rPr>
          <w:rFonts w:ascii="Garamond" w:hAnsi="Garamond"/>
          <w:sz w:val="32"/>
          <w:szCs w:val="32"/>
        </w:rPr>
        <w:t>presenza di disposizioni transitorie, speciali o temporanee;</w:t>
      </w:r>
    </w:p>
    <w:p w:rsidR="00DC7F6D" w:rsidRPr="003505A6" w:rsidRDefault="00DC7F6D" w:rsidP="00DC7F6D">
      <w:pPr>
        <w:rPr>
          <w:rFonts w:ascii="Garamond" w:hAnsi="Garamond"/>
          <w:sz w:val="32"/>
          <w:szCs w:val="32"/>
        </w:rPr>
      </w:pPr>
      <w:r w:rsidRPr="003505A6">
        <w:rPr>
          <w:rFonts w:ascii="Garamond" w:hAnsi="Garamond" w:cs="Arial"/>
          <w:sz w:val="32"/>
          <w:szCs w:val="32"/>
        </w:rPr>
        <w:t>♦</w:t>
      </w:r>
      <w:r w:rsidRPr="003505A6">
        <w:rPr>
          <w:rFonts w:ascii="Garamond" w:hAnsi="Garamond"/>
          <w:sz w:val="32"/>
          <w:szCs w:val="32"/>
        </w:rPr>
        <w:t xml:space="preserve"> presenza di disposizioni meramente descrittive, ricognitive o programmatiche.</w:t>
      </w:r>
    </w:p>
    <w:p w:rsidR="00DC7F6D" w:rsidRPr="003505A6" w:rsidRDefault="00DC7F6D" w:rsidP="00DC7F6D">
      <w:pPr>
        <w:rPr>
          <w:rFonts w:ascii="Garamond" w:hAnsi="Garamond"/>
          <w:sz w:val="32"/>
          <w:szCs w:val="32"/>
        </w:rPr>
      </w:pPr>
      <w:r w:rsidRPr="003505A6">
        <w:rPr>
          <w:rFonts w:ascii="Garamond" w:hAnsi="Garamond"/>
          <w:sz w:val="32"/>
          <w:szCs w:val="32"/>
        </w:rPr>
        <w:t xml:space="preserve">Sono aspetti spesso molto contigui a quelli trattati nella circolare: per esempio, le disposizioni transitorie, speciali o temporanee delineano in genere regimi derogatori. </w:t>
      </w:r>
    </w:p>
    <w:p w:rsidR="00670EB5" w:rsidRPr="003505A6" w:rsidRDefault="00DC7F6D" w:rsidP="00BB539E">
      <w:pPr>
        <w:rPr>
          <w:rFonts w:ascii="Garamond" w:hAnsi="Garamond"/>
          <w:sz w:val="32"/>
          <w:szCs w:val="32"/>
        </w:rPr>
      </w:pPr>
      <w:r w:rsidRPr="003505A6">
        <w:rPr>
          <w:rFonts w:ascii="Garamond" w:hAnsi="Garamond"/>
          <w:sz w:val="32"/>
          <w:szCs w:val="32"/>
        </w:rPr>
        <w:t xml:space="preserve">Il quadro complessivo emerge dalla seguente tabella, ove su sfondo giallo sono indicati i profili specificamente trattati nella </w:t>
      </w:r>
      <w:r w:rsidRPr="00297670">
        <w:rPr>
          <w:rFonts w:ascii="Garamond" w:hAnsi="Garamond"/>
          <w:sz w:val="32"/>
          <w:szCs w:val="32"/>
        </w:rPr>
        <w:t xml:space="preserve">circolare: </w:t>
      </w:r>
      <w:r w:rsidR="00E40005" w:rsidRPr="00297670">
        <w:rPr>
          <w:rFonts w:ascii="Garamond" w:hAnsi="Garamond"/>
          <w:sz w:val="32"/>
          <w:szCs w:val="32"/>
        </w:rPr>
        <w:t>d</w:t>
      </w:r>
      <w:r w:rsidR="00670EB5" w:rsidRPr="00297670">
        <w:rPr>
          <w:rFonts w:ascii="Garamond" w:hAnsi="Garamond"/>
          <w:sz w:val="32"/>
          <w:szCs w:val="32"/>
        </w:rPr>
        <w:t xml:space="preserve">ei </w:t>
      </w:r>
      <w:r w:rsidR="009F2415" w:rsidRPr="00297670">
        <w:rPr>
          <w:rFonts w:ascii="Garamond" w:hAnsi="Garamond"/>
          <w:b/>
          <w:color w:val="800000"/>
          <w:sz w:val="32"/>
          <w:szCs w:val="32"/>
        </w:rPr>
        <w:t>2</w:t>
      </w:r>
      <w:r w:rsidR="00C74F22" w:rsidRPr="00297670">
        <w:rPr>
          <w:rFonts w:ascii="Garamond" w:hAnsi="Garamond"/>
          <w:b/>
          <w:color w:val="800000"/>
          <w:sz w:val="32"/>
          <w:szCs w:val="32"/>
        </w:rPr>
        <w:t>6</w:t>
      </w:r>
      <w:r w:rsidR="00670EB5" w:rsidRPr="00297670">
        <w:rPr>
          <w:rFonts w:ascii="Garamond" w:hAnsi="Garamond"/>
          <w:sz w:val="32"/>
          <w:szCs w:val="32"/>
        </w:rPr>
        <w:t xml:space="preserve"> pareri espressi dal Comitato nel periodo di</w:t>
      </w:r>
      <w:r w:rsidR="00670EB5" w:rsidRPr="003505A6">
        <w:rPr>
          <w:rFonts w:ascii="Garamond" w:hAnsi="Garamond"/>
          <w:sz w:val="32"/>
          <w:szCs w:val="32"/>
        </w:rPr>
        <w:t xml:space="preserve"> riferimento </w:t>
      </w:r>
      <w:r w:rsidR="00C74F22">
        <w:rPr>
          <w:rFonts w:ascii="Garamond" w:hAnsi="Garamond"/>
          <w:b/>
          <w:bCs/>
          <w:color w:val="800000"/>
          <w:sz w:val="32"/>
          <w:szCs w:val="32"/>
        </w:rPr>
        <w:t>2</w:t>
      </w:r>
      <w:r w:rsidR="00DD690B">
        <w:rPr>
          <w:rFonts w:ascii="Garamond" w:hAnsi="Garamond"/>
          <w:b/>
          <w:bCs/>
          <w:color w:val="800000"/>
          <w:sz w:val="32"/>
          <w:szCs w:val="32"/>
        </w:rPr>
        <w:t>3</w:t>
      </w:r>
      <w:r w:rsidR="006378D6" w:rsidRPr="003505A6">
        <w:rPr>
          <w:rFonts w:ascii="Garamond" w:hAnsi="Garamond"/>
          <w:b/>
          <w:bCs/>
          <w:color w:val="800000"/>
          <w:sz w:val="32"/>
          <w:szCs w:val="32"/>
        </w:rPr>
        <w:t xml:space="preserve"> </w:t>
      </w:r>
      <w:r w:rsidR="00762C39" w:rsidRPr="003505A6">
        <w:rPr>
          <w:rFonts w:ascii="Garamond" w:hAnsi="Garamond"/>
          <w:sz w:val="32"/>
          <w:szCs w:val="32"/>
        </w:rPr>
        <w:t>si riferisc</w:t>
      </w:r>
      <w:r w:rsidR="00670EB5" w:rsidRPr="003505A6">
        <w:rPr>
          <w:rFonts w:ascii="Garamond" w:hAnsi="Garamond"/>
          <w:sz w:val="32"/>
          <w:szCs w:val="32"/>
        </w:rPr>
        <w:t xml:space="preserve">ono </w:t>
      </w:r>
      <w:r w:rsidR="00762C39" w:rsidRPr="003505A6">
        <w:rPr>
          <w:rFonts w:ascii="Garamond" w:hAnsi="Garamond"/>
          <w:sz w:val="32"/>
          <w:szCs w:val="32"/>
        </w:rPr>
        <w:t xml:space="preserve">a profili </w:t>
      </w:r>
      <w:r w:rsidR="00E40005" w:rsidRPr="003505A6">
        <w:rPr>
          <w:rFonts w:ascii="Garamond" w:hAnsi="Garamond"/>
          <w:sz w:val="32"/>
          <w:szCs w:val="32"/>
        </w:rPr>
        <w:t>di formulazione tecnica dei testi</w:t>
      </w:r>
      <w:r w:rsidR="00762C39" w:rsidRPr="003505A6">
        <w:rPr>
          <w:rFonts w:ascii="Garamond" w:hAnsi="Garamond"/>
          <w:sz w:val="32"/>
          <w:szCs w:val="32"/>
        </w:rPr>
        <w:t>.</w:t>
      </w:r>
      <w:r w:rsidR="00670EB5" w:rsidRPr="003505A6">
        <w:rPr>
          <w:rFonts w:ascii="Garamond" w:hAnsi="Garamond"/>
          <w:sz w:val="32"/>
          <w:szCs w:val="32"/>
        </w:rPr>
        <w:t xml:space="preserve"> </w:t>
      </w:r>
    </w:p>
    <w:p w:rsidR="00762C39" w:rsidRPr="003505A6" w:rsidRDefault="00762C39" w:rsidP="00BB539E">
      <w:pPr>
        <w:rPr>
          <w:rFonts w:ascii="Garamond" w:hAnsi="Garamond"/>
          <w:sz w:val="32"/>
          <w:szCs w:val="32"/>
        </w:rPr>
      </w:pPr>
    </w:p>
    <w:tbl>
      <w:tblPr>
        <w:tblW w:w="5000" w:type="pct"/>
        <w:jc w:val="center"/>
        <w:tblCellMar>
          <w:left w:w="70" w:type="dxa"/>
          <w:right w:w="70" w:type="dxa"/>
        </w:tblCellMar>
        <w:tblLook w:val="0000" w:firstRow="0" w:lastRow="0" w:firstColumn="0" w:lastColumn="0" w:noHBand="0" w:noVBand="0"/>
      </w:tblPr>
      <w:tblGrid>
        <w:gridCol w:w="5144"/>
        <w:gridCol w:w="2932"/>
      </w:tblGrid>
      <w:tr w:rsidR="00D640E8" w:rsidRPr="003505A6" w:rsidTr="00976D09">
        <w:trPr>
          <w:trHeight w:val="945"/>
          <w:jc w:val="center"/>
        </w:trPr>
        <w:tc>
          <w:tcPr>
            <w:tcW w:w="3185" w:type="pct"/>
            <w:tcBorders>
              <w:top w:val="single" w:sz="8" w:space="0" w:color="auto"/>
              <w:left w:val="single" w:sz="8" w:space="0" w:color="auto"/>
              <w:bottom w:val="single" w:sz="4" w:space="0" w:color="auto"/>
              <w:right w:val="nil"/>
            </w:tcBorders>
            <w:shd w:val="clear" w:color="auto" w:fill="99CCFF"/>
            <w:vAlign w:val="center"/>
          </w:tcPr>
          <w:p w:rsidR="00D640E8" w:rsidRPr="003505A6" w:rsidRDefault="00D640E8" w:rsidP="001266E3">
            <w:pPr>
              <w:keepNext/>
              <w:spacing w:line="240" w:lineRule="auto"/>
              <w:ind w:firstLine="0"/>
              <w:jc w:val="left"/>
              <w:rPr>
                <w:rFonts w:ascii="Garamond" w:hAnsi="Garamond" w:cs="Arial"/>
                <w:b/>
                <w:bCs/>
                <w:color w:val="0000FF"/>
                <w:sz w:val="32"/>
                <w:szCs w:val="32"/>
              </w:rPr>
            </w:pPr>
            <w:r w:rsidRPr="003505A6">
              <w:rPr>
                <w:rFonts w:ascii="Garamond" w:hAnsi="Garamond" w:cs="Arial"/>
                <w:b/>
                <w:bCs/>
                <w:color w:val="0000FF"/>
                <w:sz w:val="32"/>
                <w:szCs w:val="32"/>
              </w:rPr>
              <w:lastRenderedPageBreak/>
              <w:t xml:space="preserve">Pareri </w:t>
            </w:r>
            <w:r w:rsidR="004F52AA" w:rsidRPr="003505A6">
              <w:rPr>
                <w:rFonts w:ascii="Garamond" w:hAnsi="Garamond" w:cs="Arial"/>
                <w:b/>
                <w:bCs/>
                <w:color w:val="0000FF"/>
                <w:sz w:val="32"/>
                <w:szCs w:val="32"/>
              </w:rPr>
              <w:t xml:space="preserve">riguardanti </w:t>
            </w:r>
            <w:r w:rsidR="001266E3" w:rsidRPr="003505A6">
              <w:rPr>
                <w:rFonts w:ascii="Garamond" w:hAnsi="Garamond" w:cs="Arial"/>
                <w:b/>
                <w:bCs/>
                <w:color w:val="0000FF"/>
                <w:sz w:val="32"/>
                <w:szCs w:val="32"/>
              </w:rPr>
              <w:t>profili di formulazione tecnica dei testi legislativi</w:t>
            </w:r>
          </w:p>
        </w:tc>
        <w:tc>
          <w:tcPr>
            <w:tcW w:w="1815" w:type="pct"/>
            <w:tcBorders>
              <w:top w:val="single" w:sz="8" w:space="0" w:color="auto"/>
              <w:left w:val="single" w:sz="4" w:space="0" w:color="auto"/>
              <w:bottom w:val="single" w:sz="4" w:space="0" w:color="auto"/>
              <w:right w:val="single" w:sz="8" w:space="0" w:color="000000"/>
            </w:tcBorders>
            <w:shd w:val="clear" w:color="auto" w:fill="99CCFF"/>
            <w:vAlign w:val="center"/>
          </w:tcPr>
          <w:p w:rsidR="00D640E8" w:rsidRPr="003505A6" w:rsidRDefault="001266E3" w:rsidP="00C74F22">
            <w:pPr>
              <w:keepNext/>
              <w:spacing w:line="240" w:lineRule="auto"/>
              <w:ind w:firstLine="0"/>
              <w:jc w:val="center"/>
              <w:rPr>
                <w:rFonts w:ascii="Garamond" w:hAnsi="Garamond" w:cs="Arial"/>
                <w:b/>
                <w:bCs/>
                <w:color w:val="0000FF"/>
                <w:sz w:val="32"/>
                <w:szCs w:val="32"/>
              </w:rPr>
            </w:pPr>
            <w:r w:rsidRPr="003505A6">
              <w:rPr>
                <w:rFonts w:ascii="Garamond" w:hAnsi="Garamond" w:cs="Arial"/>
                <w:b/>
                <w:bCs/>
                <w:color w:val="0000FF"/>
                <w:sz w:val="32"/>
                <w:szCs w:val="32"/>
              </w:rPr>
              <w:t>2</w:t>
            </w:r>
            <w:r w:rsidR="00C74F22">
              <w:rPr>
                <w:rFonts w:ascii="Garamond" w:hAnsi="Garamond" w:cs="Arial"/>
                <w:b/>
                <w:bCs/>
                <w:color w:val="0000FF"/>
                <w:sz w:val="32"/>
                <w:szCs w:val="32"/>
              </w:rPr>
              <w:t>3</w:t>
            </w:r>
            <w:r w:rsidR="00D640E8" w:rsidRPr="003505A6">
              <w:rPr>
                <w:rFonts w:ascii="Garamond" w:hAnsi="Garamond" w:cs="Arial"/>
                <w:b/>
                <w:bCs/>
                <w:color w:val="0000FF"/>
                <w:sz w:val="32"/>
                <w:szCs w:val="32"/>
              </w:rPr>
              <w:t xml:space="preserve"> su </w:t>
            </w:r>
            <w:r w:rsidR="009F2415" w:rsidRPr="003505A6">
              <w:rPr>
                <w:rFonts w:ascii="Garamond" w:hAnsi="Garamond" w:cs="Arial"/>
                <w:b/>
                <w:bCs/>
                <w:color w:val="0000FF"/>
                <w:sz w:val="32"/>
                <w:szCs w:val="32"/>
              </w:rPr>
              <w:t>2</w:t>
            </w:r>
            <w:r w:rsidR="00C74F22">
              <w:rPr>
                <w:rFonts w:ascii="Garamond" w:hAnsi="Garamond" w:cs="Arial"/>
                <w:b/>
                <w:bCs/>
                <w:color w:val="0000FF"/>
                <w:sz w:val="32"/>
                <w:szCs w:val="32"/>
              </w:rPr>
              <w:t>6</w:t>
            </w:r>
          </w:p>
        </w:tc>
      </w:tr>
      <w:tr w:rsidR="009F2415" w:rsidRPr="003505A6" w:rsidTr="00976D09">
        <w:trPr>
          <w:trHeight w:val="594"/>
          <w:jc w:val="center"/>
        </w:trPr>
        <w:tc>
          <w:tcPr>
            <w:tcW w:w="3185" w:type="pct"/>
            <w:tcBorders>
              <w:top w:val="single" w:sz="4" w:space="0" w:color="auto"/>
              <w:left w:val="single" w:sz="8" w:space="0" w:color="auto"/>
              <w:bottom w:val="single" w:sz="2" w:space="0" w:color="auto"/>
              <w:right w:val="single" w:sz="4" w:space="0" w:color="auto"/>
            </w:tcBorders>
            <w:shd w:val="clear" w:color="auto" w:fill="FFFF99"/>
            <w:vAlign w:val="center"/>
          </w:tcPr>
          <w:p w:rsidR="009F2415" w:rsidRPr="003505A6" w:rsidRDefault="009F2415" w:rsidP="00D640E8">
            <w:pPr>
              <w:keepNext/>
              <w:spacing w:line="240" w:lineRule="auto"/>
              <w:ind w:firstLine="0"/>
              <w:jc w:val="left"/>
              <w:rPr>
                <w:rFonts w:ascii="Garamond" w:hAnsi="Garamond" w:cs="Arial"/>
                <w:sz w:val="28"/>
                <w:szCs w:val="28"/>
              </w:rPr>
            </w:pPr>
            <w:r w:rsidRPr="003505A6">
              <w:rPr>
                <w:rFonts w:ascii="Garamond" w:hAnsi="Garamond" w:cs="Arial"/>
                <w:sz w:val="28"/>
                <w:szCs w:val="28"/>
              </w:rPr>
              <w:t>Deroghe</w:t>
            </w:r>
          </w:p>
        </w:tc>
        <w:tc>
          <w:tcPr>
            <w:tcW w:w="1815" w:type="pct"/>
            <w:tcBorders>
              <w:top w:val="single" w:sz="4" w:space="0" w:color="auto"/>
              <w:left w:val="nil"/>
              <w:bottom w:val="single" w:sz="2" w:space="0" w:color="auto"/>
              <w:right w:val="single" w:sz="8" w:space="0" w:color="auto"/>
            </w:tcBorders>
            <w:shd w:val="clear" w:color="auto" w:fill="FFFF99"/>
            <w:vAlign w:val="center"/>
          </w:tcPr>
          <w:p w:rsidR="009F2415" w:rsidRPr="003505A6" w:rsidRDefault="00C74F22" w:rsidP="00D640E8">
            <w:pPr>
              <w:keepNext/>
              <w:spacing w:line="240" w:lineRule="auto"/>
              <w:ind w:firstLine="0"/>
              <w:jc w:val="center"/>
              <w:rPr>
                <w:rFonts w:ascii="Garamond" w:hAnsi="Garamond" w:cs="Arial"/>
                <w:b/>
                <w:bCs/>
                <w:i/>
                <w:iCs/>
                <w:sz w:val="28"/>
                <w:szCs w:val="28"/>
              </w:rPr>
            </w:pPr>
            <w:r>
              <w:rPr>
                <w:rFonts w:ascii="Garamond" w:hAnsi="Garamond" w:cs="Arial"/>
                <w:b/>
                <w:bCs/>
                <w:sz w:val="28"/>
                <w:szCs w:val="28"/>
              </w:rPr>
              <w:t>4</w:t>
            </w:r>
          </w:p>
        </w:tc>
      </w:tr>
      <w:tr w:rsidR="00DC7F6D" w:rsidRPr="003505A6" w:rsidTr="00976D09">
        <w:trPr>
          <w:trHeight w:val="765"/>
          <w:jc w:val="center"/>
        </w:trPr>
        <w:tc>
          <w:tcPr>
            <w:tcW w:w="3185" w:type="pct"/>
            <w:tcBorders>
              <w:top w:val="single" w:sz="2" w:space="0" w:color="auto"/>
              <w:left w:val="single" w:sz="8" w:space="0" w:color="auto"/>
              <w:bottom w:val="single" w:sz="4" w:space="0" w:color="auto"/>
              <w:right w:val="single" w:sz="8" w:space="0" w:color="auto"/>
            </w:tcBorders>
            <w:shd w:val="clear" w:color="auto" w:fill="auto"/>
            <w:vAlign w:val="center"/>
          </w:tcPr>
          <w:p w:rsidR="00DC7F6D" w:rsidRPr="003505A6" w:rsidRDefault="00DC7F6D" w:rsidP="0095739B">
            <w:pPr>
              <w:keepNext/>
              <w:spacing w:line="240" w:lineRule="auto"/>
              <w:ind w:firstLine="0"/>
              <w:jc w:val="left"/>
              <w:rPr>
                <w:rFonts w:ascii="Garamond" w:hAnsi="Garamond" w:cs="Arial"/>
                <w:sz w:val="28"/>
                <w:szCs w:val="28"/>
              </w:rPr>
            </w:pPr>
            <w:r w:rsidRPr="003505A6">
              <w:rPr>
                <w:rFonts w:ascii="Garamond" w:hAnsi="Garamond" w:cs="Arial"/>
                <w:sz w:val="28"/>
                <w:szCs w:val="28"/>
              </w:rPr>
              <w:t>Disposizioni transitorie, speciali, temporanee</w:t>
            </w:r>
          </w:p>
        </w:tc>
        <w:tc>
          <w:tcPr>
            <w:tcW w:w="1815" w:type="pct"/>
            <w:tcBorders>
              <w:top w:val="single" w:sz="2" w:space="0" w:color="auto"/>
              <w:left w:val="nil"/>
              <w:bottom w:val="single" w:sz="4" w:space="0" w:color="auto"/>
              <w:right w:val="single" w:sz="8" w:space="0" w:color="auto"/>
            </w:tcBorders>
            <w:shd w:val="clear" w:color="auto" w:fill="auto"/>
            <w:vAlign w:val="center"/>
          </w:tcPr>
          <w:p w:rsidR="00DC7F6D" w:rsidRPr="003505A6" w:rsidRDefault="00C74F22" w:rsidP="0095739B">
            <w:pPr>
              <w:keepNext/>
              <w:spacing w:line="240" w:lineRule="auto"/>
              <w:ind w:firstLine="0"/>
              <w:jc w:val="center"/>
              <w:rPr>
                <w:rFonts w:ascii="Garamond" w:hAnsi="Garamond" w:cs="Arial"/>
                <w:b/>
                <w:bCs/>
                <w:i/>
                <w:iCs/>
                <w:sz w:val="28"/>
                <w:szCs w:val="28"/>
              </w:rPr>
            </w:pPr>
            <w:r>
              <w:rPr>
                <w:rFonts w:ascii="Garamond" w:hAnsi="Garamond" w:cs="Arial"/>
                <w:b/>
                <w:bCs/>
                <w:sz w:val="28"/>
                <w:szCs w:val="28"/>
              </w:rPr>
              <w:t>2</w:t>
            </w:r>
          </w:p>
        </w:tc>
      </w:tr>
      <w:tr w:rsidR="00DC7F6D" w:rsidRPr="003505A6" w:rsidTr="00976D09">
        <w:trPr>
          <w:trHeight w:val="765"/>
          <w:jc w:val="center"/>
        </w:trPr>
        <w:tc>
          <w:tcPr>
            <w:tcW w:w="3185" w:type="pct"/>
            <w:tcBorders>
              <w:top w:val="single" w:sz="4" w:space="0" w:color="auto"/>
              <w:left w:val="single" w:sz="8" w:space="0" w:color="auto"/>
              <w:bottom w:val="single" w:sz="4" w:space="0" w:color="auto"/>
              <w:right w:val="single" w:sz="8" w:space="0" w:color="auto"/>
            </w:tcBorders>
            <w:shd w:val="clear" w:color="auto" w:fill="auto"/>
            <w:vAlign w:val="center"/>
          </w:tcPr>
          <w:p w:rsidR="00DC7F6D" w:rsidRPr="003505A6" w:rsidRDefault="00DC7F6D" w:rsidP="0095739B">
            <w:pPr>
              <w:keepNext/>
              <w:spacing w:line="240" w:lineRule="auto"/>
              <w:ind w:firstLine="0"/>
              <w:jc w:val="left"/>
              <w:rPr>
                <w:rFonts w:ascii="Garamond" w:hAnsi="Garamond" w:cs="Arial"/>
                <w:sz w:val="28"/>
                <w:szCs w:val="28"/>
              </w:rPr>
            </w:pPr>
            <w:r w:rsidRPr="003505A6">
              <w:rPr>
                <w:rFonts w:ascii="Garamond" w:hAnsi="Garamond" w:cs="Arial"/>
                <w:sz w:val="28"/>
                <w:szCs w:val="28"/>
              </w:rPr>
              <w:t>Proroga di disposizioni transitorie</w:t>
            </w:r>
          </w:p>
        </w:tc>
        <w:tc>
          <w:tcPr>
            <w:tcW w:w="1815" w:type="pct"/>
            <w:tcBorders>
              <w:top w:val="single" w:sz="4" w:space="0" w:color="auto"/>
              <w:left w:val="nil"/>
              <w:bottom w:val="single" w:sz="4" w:space="0" w:color="auto"/>
              <w:right w:val="single" w:sz="8" w:space="0" w:color="auto"/>
            </w:tcBorders>
            <w:shd w:val="clear" w:color="auto" w:fill="auto"/>
            <w:vAlign w:val="center"/>
          </w:tcPr>
          <w:p w:rsidR="00DC7F6D" w:rsidRPr="003505A6" w:rsidRDefault="00C74F22" w:rsidP="0095739B">
            <w:pPr>
              <w:keepNext/>
              <w:spacing w:line="240" w:lineRule="auto"/>
              <w:ind w:firstLine="0"/>
              <w:jc w:val="center"/>
              <w:rPr>
                <w:rFonts w:ascii="Garamond" w:hAnsi="Garamond" w:cs="Arial"/>
                <w:b/>
                <w:bCs/>
                <w:i/>
                <w:iCs/>
                <w:sz w:val="28"/>
                <w:szCs w:val="28"/>
              </w:rPr>
            </w:pPr>
            <w:r>
              <w:rPr>
                <w:rFonts w:ascii="Garamond" w:hAnsi="Garamond" w:cs="Arial"/>
                <w:b/>
                <w:bCs/>
                <w:sz w:val="28"/>
                <w:szCs w:val="28"/>
              </w:rPr>
              <w:t>1</w:t>
            </w:r>
          </w:p>
        </w:tc>
      </w:tr>
      <w:tr w:rsidR="009F2415" w:rsidRPr="003505A6" w:rsidTr="00976D09">
        <w:trPr>
          <w:trHeight w:val="645"/>
          <w:jc w:val="center"/>
        </w:trPr>
        <w:tc>
          <w:tcPr>
            <w:tcW w:w="3185" w:type="pct"/>
            <w:tcBorders>
              <w:top w:val="single" w:sz="4" w:space="0" w:color="auto"/>
              <w:left w:val="single" w:sz="8" w:space="0" w:color="auto"/>
              <w:bottom w:val="single" w:sz="4" w:space="0" w:color="auto"/>
              <w:right w:val="single" w:sz="4" w:space="0" w:color="auto"/>
            </w:tcBorders>
            <w:shd w:val="clear" w:color="auto" w:fill="FFFF99"/>
            <w:vAlign w:val="center"/>
          </w:tcPr>
          <w:p w:rsidR="009F2415" w:rsidRPr="003505A6" w:rsidRDefault="009F2415" w:rsidP="00D640E8">
            <w:pPr>
              <w:keepNext/>
              <w:spacing w:line="240" w:lineRule="auto"/>
              <w:ind w:firstLine="0"/>
              <w:jc w:val="left"/>
              <w:rPr>
                <w:rFonts w:ascii="Garamond" w:hAnsi="Garamond" w:cs="Arial"/>
                <w:sz w:val="28"/>
                <w:szCs w:val="28"/>
              </w:rPr>
            </w:pPr>
            <w:r w:rsidRPr="003505A6">
              <w:rPr>
                <w:rFonts w:ascii="Garamond" w:hAnsi="Garamond" w:cs="Arial"/>
                <w:sz w:val="28"/>
                <w:szCs w:val="28"/>
              </w:rPr>
              <w:t>Richiami generici, imprecisi o errati</w:t>
            </w:r>
          </w:p>
        </w:tc>
        <w:tc>
          <w:tcPr>
            <w:tcW w:w="1815" w:type="pct"/>
            <w:tcBorders>
              <w:top w:val="single" w:sz="4" w:space="0" w:color="auto"/>
              <w:left w:val="nil"/>
              <w:bottom w:val="single" w:sz="4" w:space="0" w:color="auto"/>
              <w:right w:val="single" w:sz="8" w:space="0" w:color="auto"/>
            </w:tcBorders>
            <w:shd w:val="clear" w:color="auto" w:fill="FFFF99"/>
            <w:vAlign w:val="center"/>
          </w:tcPr>
          <w:p w:rsidR="009F2415" w:rsidRPr="003505A6" w:rsidRDefault="00C74F22" w:rsidP="00D640E8">
            <w:pPr>
              <w:keepNext/>
              <w:spacing w:line="240" w:lineRule="auto"/>
              <w:ind w:firstLine="0"/>
              <w:jc w:val="center"/>
              <w:rPr>
                <w:rFonts w:ascii="Garamond" w:hAnsi="Garamond" w:cs="Arial"/>
                <w:b/>
                <w:bCs/>
                <w:i/>
                <w:iCs/>
                <w:sz w:val="28"/>
                <w:szCs w:val="28"/>
              </w:rPr>
            </w:pPr>
            <w:r>
              <w:rPr>
                <w:rFonts w:ascii="Garamond" w:hAnsi="Garamond" w:cs="Arial"/>
                <w:b/>
                <w:bCs/>
                <w:sz w:val="28"/>
                <w:szCs w:val="28"/>
              </w:rPr>
              <w:t>3</w:t>
            </w:r>
          </w:p>
        </w:tc>
      </w:tr>
      <w:tr w:rsidR="009F2415" w:rsidRPr="003505A6" w:rsidTr="00617A19">
        <w:trPr>
          <w:trHeight w:val="604"/>
          <w:jc w:val="center"/>
        </w:trPr>
        <w:tc>
          <w:tcPr>
            <w:tcW w:w="3185" w:type="pct"/>
            <w:tcBorders>
              <w:top w:val="nil"/>
              <w:left w:val="single" w:sz="8" w:space="0" w:color="auto"/>
              <w:bottom w:val="single" w:sz="4" w:space="0" w:color="auto"/>
              <w:right w:val="single" w:sz="4" w:space="0" w:color="auto"/>
            </w:tcBorders>
            <w:shd w:val="clear" w:color="auto" w:fill="FFFF99"/>
            <w:vAlign w:val="center"/>
          </w:tcPr>
          <w:p w:rsidR="009F2415" w:rsidRPr="003505A6" w:rsidRDefault="009F2415" w:rsidP="00D640E8">
            <w:pPr>
              <w:keepNext/>
              <w:spacing w:line="240" w:lineRule="auto"/>
              <w:ind w:firstLine="0"/>
              <w:jc w:val="left"/>
              <w:rPr>
                <w:rFonts w:ascii="Garamond" w:hAnsi="Garamond" w:cs="Arial"/>
                <w:sz w:val="28"/>
                <w:szCs w:val="28"/>
              </w:rPr>
            </w:pPr>
            <w:r w:rsidRPr="003505A6">
              <w:rPr>
                <w:rFonts w:ascii="Garamond" w:hAnsi="Garamond" w:cs="Arial"/>
                <w:sz w:val="28"/>
                <w:szCs w:val="28"/>
              </w:rPr>
              <w:t>Incidenza su fonti secondarie</w:t>
            </w:r>
          </w:p>
        </w:tc>
        <w:tc>
          <w:tcPr>
            <w:tcW w:w="1815" w:type="pct"/>
            <w:tcBorders>
              <w:top w:val="nil"/>
              <w:left w:val="nil"/>
              <w:bottom w:val="single" w:sz="4" w:space="0" w:color="auto"/>
              <w:right w:val="single" w:sz="8" w:space="0" w:color="auto"/>
            </w:tcBorders>
            <w:shd w:val="clear" w:color="auto" w:fill="FFFF99"/>
            <w:vAlign w:val="center"/>
          </w:tcPr>
          <w:p w:rsidR="009F2415" w:rsidRPr="003505A6" w:rsidRDefault="00E53E72" w:rsidP="00D640E8">
            <w:pPr>
              <w:keepNext/>
              <w:spacing w:line="240" w:lineRule="auto"/>
              <w:ind w:firstLine="0"/>
              <w:jc w:val="center"/>
              <w:rPr>
                <w:rFonts w:ascii="Garamond" w:hAnsi="Garamond" w:cs="Arial"/>
                <w:b/>
                <w:bCs/>
                <w:i/>
                <w:iCs/>
                <w:sz w:val="28"/>
                <w:szCs w:val="28"/>
              </w:rPr>
            </w:pPr>
            <w:r>
              <w:rPr>
                <w:rFonts w:ascii="Garamond" w:hAnsi="Garamond" w:cs="Arial"/>
                <w:b/>
                <w:bCs/>
                <w:sz w:val="28"/>
                <w:szCs w:val="28"/>
              </w:rPr>
              <w:t>4</w:t>
            </w:r>
          </w:p>
        </w:tc>
      </w:tr>
      <w:tr w:rsidR="009F2415" w:rsidRPr="003505A6" w:rsidTr="00617A19">
        <w:trPr>
          <w:trHeight w:val="530"/>
          <w:jc w:val="center"/>
        </w:trPr>
        <w:tc>
          <w:tcPr>
            <w:tcW w:w="3185" w:type="pct"/>
            <w:tcBorders>
              <w:top w:val="nil"/>
              <w:left w:val="single" w:sz="8" w:space="0" w:color="auto"/>
              <w:bottom w:val="single" w:sz="4" w:space="0" w:color="auto"/>
              <w:right w:val="single" w:sz="4" w:space="0" w:color="auto"/>
            </w:tcBorders>
            <w:shd w:val="clear" w:color="auto" w:fill="FFFF99"/>
            <w:vAlign w:val="center"/>
          </w:tcPr>
          <w:p w:rsidR="009F2415" w:rsidRPr="003505A6" w:rsidRDefault="00C74F22" w:rsidP="00D640E8">
            <w:pPr>
              <w:keepNext/>
              <w:spacing w:line="240" w:lineRule="auto"/>
              <w:ind w:firstLine="0"/>
              <w:jc w:val="left"/>
              <w:rPr>
                <w:rFonts w:ascii="Garamond" w:hAnsi="Garamond" w:cs="Arial"/>
                <w:sz w:val="28"/>
                <w:szCs w:val="28"/>
              </w:rPr>
            </w:pPr>
            <w:r>
              <w:rPr>
                <w:rFonts w:ascii="Garamond" w:hAnsi="Garamond" w:cs="Arial"/>
                <w:sz w:val="28"/>
                <w:szCs w:val="28"/>
              </w:rPr>
              <w:t>Formula</w:t>
            </w:r>
            <w:r w:rsidR="009F2415" w:rsidRPr="003505A6">
              <w:rPr>
                <w:rFonts w:ascii="Garamond" w:hAnsi="Garamond" w:cs="Arial"/>
                <w:sz w:val="28"/>
                <w:szCs w:val="28"/>
              </w:rPr>
              <w:t>zione del testo</w:t>
            </w:r>
          </w:p>
        </w:tc>
        <w:tc>
          <w:tcPr>
            <w:tcW w:w="1815" w:type="pct"/>
            <w:tcBorders>
              <w:top w:val="nil"/>
              <w:left w:val="nil"/>
              <w:bottom w:val="single" w:sz="4" w:space="0" w:color="auto"/>
              <w:right w:val="single" w:sz="8" w:space="0" w:color="auto"/>
            </w:tcBorders>
            <w:shd w:val="clear" w:color="auto" w:fill="FFFF99"/>
            <w:vAlign w:val="center"/>
          </w:tcPr>
          <w:p w:rsidR="009F2415" w:rsidRPr="003505A6" w:rsidRDefault="009F2415" w:rsidP="00C74F22">
            <w:pPr>
              <w:keepNext/>
              <w:spacing w:line="240" w:lineRule="auto"/>
              <w:ind w:firstLine="0"/>
              <w:jc w:val="center"/>
              <w:rPr>
                <w:rFonts w:ascii="Garamond" w:hAnsi="Garamond" w:cs="Arial"/>
                <w:b/>
                <w:bCs/>
                <w:i/>
                <w:iCs/>
                <w:sz w:val="28"/>
                <w:szCs w:val="28"/>
              </w:rPr>
            </w:pPr>
            <w:r w:rsidRPr="003505A6">
              <w:rPr>
                <w:rFonts w:ascii="Garamond" w:hAnsi="Garamond" w:cs="Arial"/>
                <w:b/>
                <w:bCs/>
                <w:sz w:val="28"/>
                <w:szCs w:val="28"/>
              </w:rPr>
              <w:t>1</w:t>
            </w:r>
            <w:r w:rsidR="00C74F22">
              <w:rPr>
                <w:rFonts w:ascii="Garamond" w:hAnsi="Garamond" w:cs="Arial"/>
                <w:b/>
                <w:bCs/>
                <w:sz w:val="28"/>
                <w:szCs w:val="28"/>
              </w:rPr>
              <w:t>2</w:t>
            </w:r>
          </w:p>
        </w:tc>
      </w:tr>
      <w:tr w:rsidR="009F2415" w:rsidRPr="003505A6" w:rsidTr="00617A19">
        <w:trPr>
          <w:trHeight w:val="566"/>
          <w:jc w:val="center"/>
        </w:trPr>
        <w:tc>
          <w:tcPr>
            <w:tcW w:w="3185" w:type="pct"/>
            <w:tcBorders>
              <w:top w:val="nil"/>
              <w:left w:val="single" w:sz="8" w:space="0" w:color="auto"/>
              <w:bottom w:val="single" w:sz="4" w:space="0" w:color="auto"/>
              <w:right w:val="single" w:sz="4" w:space="0" w:color="auto"/>
            </w:tcBorders>
            <w:shd w:val="clear" w:color="auto" w:fill="FFFF99"/>
            <w:vAlign w:val="center"/>
          </w:tcPr>
          <w:p w:rsidR="009F2415" w:rsidRPr="003505A6" w:rsidRDefault="009F2415" w:rsidP="00D640E8">
            <w:pPr>
              <w:keepNext/>
              <w:spacing w:line="240" w:lineRule="auto"/>
              <w:ind w:firstLine="0"/>
              <w:jc w:val="left"/>
              <w:rPr>
                <w:rFonts w:ascii="Garamond" w:hAnsi="Garamond" w:cs="Arial"/>
                <w:sz w:val="28"/>
                <w:szCs w:val="28"/>
              </w:rPr>
            </w:pPr>
            <w:r w:rsidRPr="003505A6">
              <w:rPr>
                <w:rFonts w:ascii="Garamond" w:hAnsi="Garamond" w:cs="Arial"/>
                <w:sz w:val="28"/>
                <w:szCs w:val="28"/>
              </w:rPr>
              <w:t>Titolo e rubriche</w:t>
            </w:r>
          </w:p>
        </w:tc>
        <w:tc>
          <w:tcPr>
            <w:tcW w:w="1815" w:type="pct"/>
            <w:tcBorders>
              <w:top w:val="nil"/>
              <w:left w:val="nil"/>
              <w:bottom w:val="single" w:sz="4" w:space="0" w:color="auto"/>
              <w:right w:val="single" w:sz="8" w:space="0" w:color="auto"/>
            </w:tcBorders>
            <w:shd w:val="clear" w:color="auto" w:fill="FFFF99"/>
            <w:vAlign w:val="center"/>
          </w:tcPr>
          <w:p w:rsidR="009F2415" w:rsidRPr="003505A6" w:rsidRDefault="00C74F22" w:rsidP="00D640E8">
            <w:pPr>
              <w:keepNext/>
              <w:spacing w:line="240" w:lineRule="auto"/>
              <w:ind w:firstLine="0"/>
              <w:jc w:val="center"/>
              <w:rPr>
                <w:rFonts w:ascii="Garamond" w:hAnsi="Garamond" w:cs="Arial"/>
                <w:b/>
                <w:bCs/>
                <w:i/>
                <w:iCs/>
                <w:sz w:val="28"/>
                <w:szCs w:val="28"/>
              </w:rPr>
            </w:pPr>
            <w:r>
              <w:rPr>
                <w:rFonts w:ascii="Garamond" w:hAnsi="Garamond" w:cs="Arial"/>
                <w:b/>
                <w:bCs/>
                <w:sz w:val="28"/>
                <w:szCs w:val="28"/>
              </w:rPr>
              <w:t>2</w:t>
            </w:r>
          </w:p>
        </w:tc>
      </w:tr>
      <w:tr w:rsidR="00DC7F6D" w:rsidRPr="003505A6" w:rsidTr="0095739B">
        <w:trPr>
          <w:trHeight w:val="600"/>
          <w:jc w:val="center"/>
        </w:trPr>
        <w:tc>
          <w:tcPr>
            <w:tcW w:w="3185" w:type="pct"/>
            <w:tcBorders>
              <w:top w:val="single" w:sz="4" w:space="0" w:color="auto"/>
              <w:left w:val="single" w:sz="8" w:space="0" w:color="auto"/>
              <w:bottom w:val="single" w:sz="4" w:space="0" w:color="auto"/>
              <w:right w:val="single" w:sz="8" w:space="0" w:color="auto"/>
            </w:tcBorders>
            <w:shd w:val="clear" w:color="auto" w:fill="auto"/>
            <w:vAlign w:val="center"/>
          </w:tcPr>
          <w:p w:rsidR="00DC7F6D" w:rsidRPr="003505A6" w:rsidRDefault="00DC7F6D" w:rsidP="0095739B">
            <w:pPr>
              <w:keepNext/>
              <w:spacing w:line="240" w:lineRule="auto"/>
              <w:ind w:firstLine="0"/>
              <w:jc w:val="left"/>
              <w:rPr>
                <w:rFonts w:ascii="Garamond" w:hAnsi="Garamond" w:cs="Arial"/>
                <w:sz w:val="28"/>
                <w:szCs w:val="28"/>
              </w:rPr>
            </w:pPr>
            <w:r w:rsidRPr="003505A6">
              <w:rPr>
                <w:rFonts w:ascii="Garamond" w:hAnsi="Garamond" w:cs="Arial"/>
                <w:sz w:val="28"/>
                <w:szCs w:val="28"/>
              </w:rPr>
              <w:t>Stratificazione normativa</w:t>
            </w:r>
          </w:p>
        </w:tc>
        <w:tc>
          <w:tcPr>
            <w:tcW w:w="1815" w:type="pct"/>
            <w:tcBorders>
              <w:top w:val="single" w:sz="4" w:space="0" w:color="auto"/>
              <w:left w:val="nil"/>
              <w:bottom w:val="single" w:sz="4" w:space="0" w:color="auto"/>
              <w:right w:val="single" w:sz="8" w:space="0" w:color="auto"/>
            </w:tcBorders>
            <w:shd w:val="clear" w:color="auto" w:fill="auto"/>
            <w:vAlign w:val="center"/>
          </w:tcPr>
          <w:p w:rsidR="00DC7F6D" w:rsidRPr="003505A6" w:rsidRDefault="00C74F22" w:rsidP="0095739B">
            <w:pPr>
              <w:keepNext/>
              <w:spacing w:line="240" w:lineRule="auto"/>
              <w:ind w:firstLine="0"/>
              <w:jc w:val="center"/>
              <w:rPr>
                <w:rFonts w:ascii="Garamond" w:hAnsi="Garamond" w:cs="Arial"/>
                <w:b/>
                <w:bCs/>
                <w:sz w:val="28"/>
                <w:szCs w:val="28"/>
              </w:rPr>
            </w:pPr>
            <w:r>
              <w:rPr>
                <w:rFonts w:ascii="Garamond" w:hAnsi="Garamond" w:cs="Arial"/>
                <w:b/>
                <w:bCs/>
                <w:sz w:val="28"/>
                <w:szCs w:val="28"/>
              </w:rPr>
              <w:t>10</w:t>
            </w:r>
          </w:p>
        </w:tc>
      </w:tr>
      <w:tr w:rsidR="00DC7F6D" w:rsidRPr="003505A6" w:rsidTr="00976D09">
        <w:trPr>
          <w:trHeight w:val="600"/>
          <w:jc w:val="center"/>
        </w:trPr>
        <w:tc>
          <w:tcPr>
            <w:tcW w:w="3185" w:type="pct"/>
            <w:tcBorders>
              <w:top w:val="nil"/>
              <w:left w:val="single" w:sz="8" w:space="0" w:color="auto"/>
              <w:bottom w:val="single" w:sz="4" w:space="0" w:color="auto"/>
              <w:right w:val="single" w:sz="8" w:space="0" w:color="auto"/>
            </w:tcBorders>
            <w:shd w:val="clear" w:color="auto" w:fill="auto"/>
            <w:vAlign w:val="center"/>
          </w:tcPr>
          <w:p w:rsidR="00DC7F6D" w:rsidRPr="003505A6" w:rsidRDefault="00DC7F6D" w:rsidP="0095739B">
            <w:pPr>
              <w:keepNext/>
              <w:spacing w:line="240" w:lineRule="auto"/>
              <w:ind w:firstLine="0"/>
              <w:jc w:val="left"/>
              <w:rPr>
                <w:rFonts w:ascii="Garamond" w:hAnsi="Garamond" w:cs="Arial"/>
                <w:sz w:val="28"/>
                <w:szCs w:val="28"/>
              </w:rPr>
            </w:pPr>
            <w:r w:rsidRPr="003505A6">
              <w:rPr>
                <w:rFonts w:ascii="Garamond" w:hAnsi="Garamond" w:cs="Arial"/>
                <w:sz w:val="28"/>
                <w:szCs w:val="28"/>
              </w:rPr>
              <w:t>Modifica di norme recenti</w:t>
            </w:r>
          </w:p>
        </w:tc>
        <w:tc>
          <w:tcPr>
            <w:tcW w:w="1815" w:type="pct"/>
            <w:tcBorders>
              <w:top w:val="nil"/>
              <w:left w:val="nil"/>
              <w:bottom w:val="single" w:sz="4" w:space="0" w:color="auto"/>
              <w:right w:val="single" w:sz="8" w:space="0" w:color="auto"/>
            </w:tcBorders>
            <w:shd w:val="clear" w:color="auto" w:fill="auto"/>
            <w:vAlign w:val="center"/>
          </w:tcPr>
          <w:p w:rsidR="00DC7F6D" w:rsidRPr="003505A6" w:rsidRDefault="00E53E72" w:rsidP="0095739B">
            <w:pPr>
              <w:keepNext/>
              <w:spacing w:line="240" w:lineRule="auto"/>
              <w:ind w:firstLine="0"/>
              <w:jc w:val="center"/>
              <w:rPr>
                <w:rFonts w:ascii="Garamond" w:hAnsi="Garamond" w:cs="Arial"/>
                <w:b/>
                <w:bCs/>
                <w:i/>
                <w:iCs/>
                <w:sz w:val="28"/>
                <w:szCs w:val="28"/>
              </w:rPr>
            </w:pPr>
            <w:r>
              <w:rPr>
                <w:rFonts w:ascii="Garamond" w:hAnsi="Garamond" w:cs="Arial"/>
                <w:b/>
                <w:bCs/>
                <w:sz w:val="28"/>
                <w:szCs w:val="28"/>
              </w:rPr>
              <w:t>3</w:t>
            </w:r>
          </w:p>
        </w:tc>
      </w:tr>
      <w:tr w:rsidR="009F2415" w:rsidRPr="003505A6" w:rsidTr="00976D09">
        <w:trPr>
          <w:trHeight w:val="560"/>
          <w:jc w:val="center"/>
        </w:trPr>
        <w:tc>
          <w:tcPr>
            <w:tcW w:w="3185" w:type="pct"/>
            <w:tcBorders>
              <w:top w:val="single" w:sz="4" w:space="0" w:color="auto"/>
              <w:left w:val="single" w:sz="8" w:space="0" w:color="auto"/>
              <w:bottom w:val="single" w:sz="2" w:space="0" w:color="auto"/>
              <w:right w:val="single" w:sz="4" w:space="0" w:color="auto"/>
            </w:tcBorders>
            <w:shd w:val="clear" w:color="auto" w:fill="FFFF99"/>
            <w:vAlign w:val="center"/>
          </w:tcPr>
          <w:p w:rsidR="009F2415" w:rsidRPr="003505A6" w:rsidRDefault="009F2415" w:rsidP="00D640E8">
            <w:pPr>
              <w:keepNext/>
              <w:spacing w:line="240" w:lineRule="auto"/>
              <w:ind w:firstLine="0"/>
              <w:jc w:val="left"/>
              <w:rPr>
                <w:rFonts w:ascii="Garamond" w:hAnsi="Garamond" w:cs="Arial"/>
                <w:sz w:val="28"/>
                <w:szCs w:val="28"/>
              </w:rPr>
            </w:pPr>
            <w:r w:rsidRPr="003505A6">
              <w:rPr>
                <w:rFonts w:ascii="Garamond" w:hAnsi="Garamond" w:cs="Arial"/>
                <w:sz w:val="28"/>
                <w:szCs w:val="28"/>
              </w:rPr>
              <w:t>Modifiche non testuali</w:t>
            </w:r>
          </w:p>
        </w:tc>
        <w:tc>
          <w:tcPr>
            <w:tcW w:w="1815" w:type="pct"/>
            <w:tcBorders>
              <w:top w:val="single" w:sz="4" w:space="0" w:color="auto"/>
              <w:left w:val="nil"/>
              <w:bottom w:val="single" w:sz="2" w:space="0" w:color="auto"/>
              <w:right w:val="single" w:sz="8" w:space="0" w:color="auto"/>
            </w:tcBorders>
            <w:shd w:val="clear" w:color="auto" w:fill="FFFF99"/>
            <w:vAlign w:val="center"/>
          </w:tcPr>
          <w:p w:rsidR="009F2415" w:rsidRPr="003505A6" w:rsidRDefault="00C74F22" w:rsidP="00D640E8">
            <w:pPr>
              <w:keepNext/>
              <w:spacing w:line="240" w:lineRule="auto"/>
              <w:ind w:firstLine="0"/>
              <w:jc w:val="center"/>
              <w:rPr>
                <w:rFonts w:ascii="Garamond" w:hAnsi="Garamond" w:cs="Arial"/>
                <w:b/>
                <w:bCs/>
                <w:i/>
                <w:iCs/>
                <w:sz w:val="28"/>
                <w:szCs w:val="28"/>
              </w:rPr>
            </w:pPr>
            <w:r>
              <w:rPr>
                <w:rFonts w:ascii="Garamond" w:hAnsi="Garamond" w:cs="Arial"/>
                <w:b/>
                <w:bCs/>
                <w:sz w:val="28"/>
                <w:szCs w:val="28"/>
              </w:rPr>
              <w:t>11</w:t>
            </w:r>
          </w:p>
        </w:tc>
      </w:tr>
      <w:tr w:rsidR="009F2415" w:rsidRPr="003505A6" w:rsidTr="00976D09">
        <w:trPr>
          <w:trHeight w:val="560"/>
          <w:jc w:val="center"/>
        </w:trPr>
        <w:tc>
          <w:tcPr>
            <w:tcW w:w="3185" w:type="pct"/>
            <w:tcBorders>
              <w:top w:val="single" w:sz="2" w:space="0" w:color="auto"/>
              <w:left w:val="single" w:sz="8" w:space="0" w:color="auto"/>
              <w:bottom w:val="single" w:sz="2" w:space="0" w:color="auto"/>
              <w:right w:val="single" w:sz="4" w:space="0" w:color="auto"/>
            </w:tcBorders>
            <w:shd w:val="clear" w:color="auto" w:fill="FFFF99"/>
            <w:vAlign w:val="center"/>
          </w:tcPr>
          <w:p w:rsidR="009F2415" w:rsidRPr="003505A6" w:rsidRDefault="009F2415" w:rsidP="00D640E8">
            <w:pPr>
              <w:keepNext/>
              <w:spacing w:line="240" w:lineRule="auto"/>
              <w:ind w:firstLine="0"/>
              <w:jc w:val="left"/>
              <w:rPr>
                <w:rFonts w:ascii="Garamond" w:hAnsi="Garamond" w:cs="Arial"/>
                <w:sz w:val="28"/>
                <w:szCs w:val="28"/>
              </w:rPr>
            </w:pPr>
            <w:r w:rsidRPr="003505A6">
              <w:rPr>
                <w:rFonts w:ascii="Garamond" w:hAnsi="Garamond" w:cs="Arial"/>
                <w:sz w:val="28"/>
                <w:szCs w:val="28"/>
              </w:rPr>
              <w:t>Norme di interpretazione autentica</w:t>
            </w:r>
          </w:p>
        </w:tc>
        <w:tc>
          <w:tcPr>
            <w:tcW w:w="1815" w:type="pct"/>
            <w:tcBorders>
              <w:top w:val="single" w:sz="2" w:space="0" w:color="auto"/>
              <w:left w:val="nil"/>
              <w:bottom w:val="single" w:sz="2" w:space="0" w:color="auto"/>
              <w:right w:val="single" w:sz="8" w:space="0" w:color="auto"/>
            </w:tcBorders>
            <w:shd w:val="clear" w:color="auto" w:fill="FFFF99"/>
            <w:vAlign w:val="center"/>
          </w:tcPr>
          <w:p w:rsidR="009F2415" w:rsidRPr="003505A6" w:rsidRDefault="00C74F22" w:rsidP="00D640E8">
            <w:pPr>
              <w:keepNext/>
              <w:spacing w:line="240" w:lineRule="auto"/>
              <w:ind w:firstLine="0"/>
              <w:jc w:val="center"/>
              <w:rPr>
                <w:rFonts w:ascii="Garamond" w:hAnsi="Garamond" w:cs="Arial"/>
                <w:b/>
                <w:bCs/>
                <w:i/>
                <w:iCs/>
                <w:sz w:val="28"/>
                <w:szCs w:val="28"/>
              </w:rPr>
            </w:pPr>
            <w:r>
              <w:rPr>
                <w:rFonts w:ascii="Garamond" w:hAnsi="Garamond" w:cs="Arial"/>
                <w:b/>
                <w:bCs/>
                <w:sz w:val="28"/>
                <w:szCs w:val="28"/>
              </w:rPr>
              <w:t>1</w:t>
            </w:r>
          </w:p>
        </w:tc>
      </w:tr>
      <w:tr w:rsidR="00DC7F6D" w:rsidRPr="003505A6" w:rsidTr="0095739B">
        <w:trPr>
          <w:trHeight w:val="750"/>
          <w:jc w:val="center"/>
        </w:trPr>
        <w:tc>
          <w:tcPr>
            <w:tcW w:w="3185" w:type="pct"/>
            <w:tcBorders>
              <w:top w:val="single" w:sz="4" w:space="0" w:color="auto"/>
              <w:left w:val="single" w:sz="8" w:space="0" w:color="auto"/>
              <w:bottom w:val="single" w:sz="4" w:space="0" w:color="auto"/>
              <w:right w:val="single" w:sz="8" w:space="0" w:color="auto"/>
            </w:tcBorders>
            <w:shd w:val="clear" w:color="auto" w:fill="auto"/>
            <w:vAlign w:val="center"/>
          </w:tcPr>
          <w:p w:rsidR="00DC7F6D" w:rsidRPr="003505A6" w:rsidRDefault="00DC7F6D" w:rsidP="0095739B">
            <w:pPr>
              <w:keepNext/>
              <w:spacing w:line="240" w:lineRule="auto"/>
              <w:ind w:firstLine="0"/>
              <w:jc w:val="left"/>
              <w:rPr>
                <w:rFonts w:ascii="Garamond" w:hAnsi="Garamond" w:cs="Arial"/>
                <w:sz w:val="28"/>
                <w:szCs w:val="28"/>
              </w:rPr>
            </w:pPr>
            <w:r w:rsidRPr="003505A6">
              <w:rPr>
                <w:rFonts w:ascii="Garamond" w:hAnsi="Garamond" w:cs="Arial"/>
                <w:sz w:val="28"/>
                <w:szCs w:val="28"/>
              </w:rPr>
              <w:t>Norme descrittive, ricognitive, programmatiche</w:t>
            </w:r>
          </w:p>
        </w:tc>
        <w:tc>
          <w:tcPr>
            <w:tcW w:w="1815" w:type="pct"/>
            <w:tcBorders>
              <w:top w:val="single" w:sz="4" w:space="0" w:color="auto"/>
              <w:left w:val="nil"/>
              <w:bottom w:val="single" w:sz="4" w:space="0" w:color="auto"/>
              <w:right w:val="single" w:sz="8" w:space="0" w:color="auto"/>
            </w:tcBorders>
            <w:shd w:val="clear" w:color="auto" w:fill="auto"/>
            <w:vAlign w:val="center"/>
          </w:tcPr>
          <w:p w:rsidR="00DC7F6D" w:rsidRPr="003505A6" w:rsidRDefault="00C74F22" w:rsidP="0095739B">
            <w:pPr>
              <w:keepNext/>
              <w:spacing w:line="240" w:lineRule="auto"/>
              <w:ind w:firstLine="0"/>
              <w:jc w:val="center"/>
              <w:rPr>
                <w:rFonts w:ascii="Garamond" w:hAnsi="Garamond" w:cs="Arial"/>
                <w:b/>
                <w:bCs/>
                <w:i/>
                <w:iCs/>
                <w:sz w:val="28"/>
                <w:szCs w:val="28"/>
              </w:rPr>
            </w:pPr>
            <w:r>
              <w:rPr>
                <w:rFonts w:ascii="Garamond" w:hAnsi="Garamond" w:cs="Arial"/>
                <w:b/>
                <w:bCs/>
                <w:sz w:val="28"/>
                <w:szCs w:val="28"/>
              </w:rPr>
              <w:t>4</w:t>
            </w:r>
          </w:p>
        </w:tc>
      </w:tr>
    </w:tbl>
    <w:p w:rsidR="00670EB5" w:rsidRPr="003505A6" w:rsidRDefault="00670EB5" w:rsidP="00670EB5">
      <w:pPr>
        <w:ind w:firstLine="0"/>
        <w:rPr>
          <w:rFonts w:ascii="Garamond" w:hAnsi="Garamond"/>
          <w:sz w:val="28"/>
          <w:szCs w:val="28"/>
        </w:rPr>
      </w:pPr>
    </w:p>
    <w:p w:rsidR="00670EB5" w:rsidRPr="003505A6" w:rsidRDefault="00670EB5" w:rsidP="00670EB5">
      <w:pPr>
        <w:ind w:firstLine="0"/>
        <w:rPr>
          <w:rFonts w:ascii="Garamond" w:hAnsi="Garamond"/>
          <w:sz w:val="28"/>
          <w:szCs w:val="28"/>
        </w:rPr>
      </w:pPr>
    </w:p>
    <w:p w:rsidR="005C1341" w:rsidRPr="003505A6" w:rsidRDefault="00A36378" w:rsidP="003963F4">
      <w:pPr>
        <w:rPr>
          <w:rFonts w:ascii="Garamond" w:hAnsi="Garamond"/>
          <w:sz w:val="32"/>
          <w:szCs w:val="32"/>
        </w:rPr>
      </w:pPr>
      <w:r w:rsidRPr="003505A6">
        <w:rPr>
          <w:rFonts w:ascii="Garamond" w:hAnsi="Garamond"/>
          <w:sz w:val="32"/>
          <w:szCs w:val="32"/>
        </w:rPr>
        <w:t xml:space="preserve">Dalla tabella emergono </w:t>
      </w:r>
      <w:r w:rsidR="004C266D" w:rsidRPr="003505A6">
        <w:rPr>
          <w:rFonts w:ascii="Garamond" w:hAnsi="Garamond"/>
          <w:sz w:val="32"/>
          <w:szCs w:val="32"/>
        </w:rPr>
        <w:t xml:space="preserve">con evidenza </w:t>
      </w:r>
      <w:r w:rsidR="00A3363C" w:rsidRPr="003505A6">
        <w:rPr>
          <w:rFonts w:ascii="Garamond" w:hAnsi="Garamond"/>
          <w:sz w:val="32"/>
          <w:szCs w:val="32"/>
        </w:rPr>
        <w:t>talune</w:t>
      </w:r>
      <w:r w:rsidRPr="003505A6">
        <w:rPr>
          <w:rFonts w:ascii="Garamond" w:hAnsi="Garamond"/>
          <w:sz w:val="32"/>
          <w:szCs w:val="32"/>
        </w:rPr>
        <w:t xml:space="preserve"> problematiche strutturali della produzione </w:t>
      </w:r>
      <w:r w:rsidR="004C266D" w:rsidRPr="003505A6">
        <w:rPr>
          <w:rFonts w:ascii="Garamond" w:hAnsi="Garamond"/>
          <w:sz w:val="32"/>
          <w:szCs w:val="32"/>
        </w:rPr>
        <w:t>legisl</w:t>
      </w:r>
      <w:r w:rsidRPr="003505A6">
        <w:rPr>
          <w:rFonts w:ascii="Garamond" w:hAnsi="Garamond"/>
          <w:sz w:val="32"/>
          <w:szCs w:val="32"/>
        </w:rPr>
        <w:t xml:space="preserve">ativa, </w:t>
      </w:r>
      <w:r w:rsidR="005C1341" w:rsidRPr="003505A6">
        <w:rPr>
          <w:rFonts w:ascii="Garamond" w:hAnsi="Garamond"/>
          <w:sz w:val="32"/>
          <w:szCs w:val="32"/>
        </w:rPr>
        <w:t>che appare:</w:t>
      </w:r>
    </w:p>
    <w:p w:rsidR="005C1341" w:rsidRPr="003505A6" w:rsidRDefault="00A0443C" w:rsidP="003C5A84">
      <w:pPr>
        <w:ind w:left="284" w:hanging="284"/>
        <w:rPr>
          <w:rFonts w:ascii="Garamond" w:hAnsi="Garamond"/>
          <w:sz w:val="32"/>
          <w:szCs w:val="32"/>
        </w:rPr>
      </w:pPr>
      <w:r w:rsidRPr="003505A6">
        <w:rPr>
          <w:rFonts w:ascii="Garamond" w:hAnsi="Garamond"/>
          <w:sz w:val="32"/>
          <w:szCs w:val="32"/>
        </w:rPr>
        <w:t xml:space="preserve">♦ </w:t>
      </w:r>
      <w:r w:rsidR="00A36378" w:rsidRPr="003505A6">
        <w:rPr>
          <w:rFonts w:ascii="Garamond" w:hAnsi="Garamond"/>
          <w:sz w:val="32"/>
          <w:szCs w:val="32"/>
        </w:rPr>
        <w:t xml:space="preserve">non sempre curata nella formulazione (ne sono spie la ricorrenza di questioni </w:t>
      </w:r>
      <w:r w:rsidR="00CB1F66" w:rsidRPr="003505A6">
        <w:rPr>
          <w:rFonts w:ascii="Garamond" w:hAnsi="Garamond"/>
          <w:sz w:val="32"/>
          <w:szCs w:val="32"/>
        </w:rPr>
        <w:t>relative alla redazione del testo,</w:t>
      </w:r>
      <w:r w:rsidR="00A36378" w:rsidRPr="003505A6">
        <w:rPr>
          <w:rFonts w:ascii="Garamond" w:hAnsi="Garamond"/>
          <w:sz w:val="32"/>
          <w:szCs w:val="32"/>
        </w:rPr>
        <w:t xml:space="preserve"> ovvero </w:t>
      </w:r>
      <w:r w:rsidR="00CB1F66" w:rsidRPr="003505A6">
        <w:rPr>
          <w:rFonts w:ascii="Garamond" w:hAnsi="Garamond"/>
          <w:sz w:val="32"/>
          <w:szCs w:val="32"/>
        </w:rPr>
        <w:t>la</w:t>
      </w:r>
      <w:r w:rsidR="00A36378" w:rsidRPr="003505A6">
        <w:rPr>
          <w:rFonts w:ascii="Garamond" w:hAnsi="Garamond"/>
          <w:sz w:val="32"/>
          <w:szCs w:val="32"/>
        </w:rPr>
        <w:t xml:space="preserve"> chiarezza delle espressioni utilizzate, nonché i richiami normativi effettuati in forma generica, imprecisi o errati)</w:t>
      </w:r>
      <w:r w:rsidR="005C1341" w:rsidRPr="003505A6">
        <w:rPr>
          <w:rFonts w:ascii="Garamond" w:hAnsi="Garamond"/>
          <w:sz w:val="32"/>
          <w:szCs w:val="32"/>
        </w:rPr>
        <w:t>;</w:t>
      </w:r>
    </w:p>
    <w:p w:rsidR="004C266D" w:rsidRPr="003505A6" w:rsidRDefault="00A0443C" w:rsidP="003C5A84">
      <w:pPr>
        <w:ind w:left="284" w:hanging="284"/>
        <w:rPr>
          <w:rFonts w:ascii="Garamond" w:hAnsi="Garamond"/>
          <w:sz w:val="32"/>
          <w:szCs w:val="32"/>
        </w:rPr>
      </w:pPr>
      <w:r w:rsidRPr="003505A6">
        <w:rPr>
          <w:rFonts w:ascii="Garamond" w:hAnsi="Garamond"/>
          <w:sz w:val="32"/>
          <w:szCs w:val="32"/>
        </w:rPr>
        <w:t xml:space="preserve">♦ </w:t>
      </w:r>
      <w:r w:rsidR="008879C6" w:rsidRPr="003505A6">
        <w:rPr>
          <w:rFonts w:ascii="Garamond" w:hAnsi="Garamond"/>
          <w:sz w:val="32"/>
          <w:szCs w:val="32"/>
        </w:rPr>
        <w:t>c</w:t>
      </w:r>
      <w:r w:rsidR="00CB1F66" w:rsidRPr="003505A6">
        <w:rPr>
          <w:rFonts w:ascii="Garamond" w:hAnsi="Garamond"/>
          <w:sz w:val="32"/>
          <w:szCs w:val="32"/>
        </w:rPr>
        <w:t xml:space="preserve">omplessa e </w:t>
      </w:r>
      <w:r w:rsidR="008879C6" w:rsidRPr="003505A6">
        <w:rPr>
          <w:rFonts w:ascii="Garamond" w:hAnsi="Garamond"/>
          <w:sz w:val="32"/>
          <w:szCs w:val="32"/>
        </w:rPr>
        <w:t xml:space="preserve">talora </w:t>
      </w:r>
      <w:r w:rsidR="00CB1F66" w:rsidRPr="003505A6">
        <w:rPr>
          <w:rFonts w:ascii="Garamond" w:hAnsi="Garamond"/>
          <w:sz w:val="32"/>
          <w:szCs w:val="32"/>
        </w:rPr>
        <w:t>di difficile interpretazione</w:t>
      </w:r>
      <w:r w:rsidR="008879C6" w:rsidRPr="003505A6">
        <w:rPr>
          <w:rFonts w:ascii="Garamond" w:hAnsi="Garamond"/>
          <w:sz w:val="32"/>
          <w:szCs w:val="32"/>
        </w:rPr>
        <w:t xml:space="preserve"> e ricostruzione</w:t>
      </w:r>
      <w:r w:rsidR="005C1341" w:rsidRPr="003505A6">
        <w:rPr>
          <w:rFonts w:ascii="Garamond" w:hAnsi="Garamond"/>
          <w:sz w:val="32"/>
          <w:szCs w:val="32"/>
        </w:rPr>
        <w:t xml:space="preserve">, anche </w:t>
      </w:r>
      <w:r w:rsidR="00CB1F66" w:rsidRPr="003505A6">
        <w:rPr>
          <w:rFonts w:ascii="Garamond" w:hAnsi="Garamond"/>
          <w:sz w:val="32"/>
          <w:szCs w:val="32"/>
        </w:rPr>
        <w:t>a causa delle numerose</w:t>
      </w:r>
      <w:r w:rsidR="005C1341" w:rsidRPr="003505A6">
        <w:rPr>
          <w:rFonts w:ascii="Garamond" w:hAnsi="Garamond"/>
          <w:sz w:val="32"/>
          <w:szCs w:val="32"/>
        </w:rPr>
        <w:t xml:space="preserve"> modifiche non testuali </w:t>
      </w:r>
      <w:r w:rsidR="00CB1F66" w:rsidRPr="003505A6">
        <w:rPr>
          <w:rFonts w:ascii="Garamond" w:hAnsi="Garamond"/>
          <w:sz w:val="32"/>
          <w:szCs w:val="32"/>
        </w:rPr>
        <w:t xml:space="preserve">a </w:t>
      </w:r>
      <w:r w:rsidR="00CB1F66" w:rsidRPr="003505A6">
        <w:rPr>
          <w:rFonts w:ascii="Garamond" w:hAnsi="Garamond"/>
          <w:sz w:val="32"/>
          <w:szCs w:val="32"/>
        </w:rPr>
        <w:lastRenderedPageBreak/>
        <w:t>previgenti disposizioni normative</w:t>
      </w:r>
      <w:r w:rsidR="00085F56" w:rsidRPr="003505A6">
        <w:rPr>
          <w:rFonts w:ascii="Garamond" w:hAnsi="Garamond"/>
          <w:sz w:val="32"/>
          <w:szCs w:val="32"/>
        </w:rPr>
        <w:t xml:space="preserve"> e ad una stratificazione che talora interessa anche norme di recente approvazione</w:t>
      </w:r>
      <w:r w:rsidR="004C266D" w:rsidRPr="003505A6">
        <w:rPr>
          <w:rFonts w:ascii="Garamond" w:hAnsi="Garamond"/>
          <w:sz w:val="32"/>
          <w:szCs w:val="32"/>
        </w:rPr>
        <w:t>;</w:t>
      </w:r>
    </w:p>
    <w:p w:rsidR="00807456" w:rsidRPr="003505A6" w:rsidRDefault="00A3363C" w:rsidP="003C5A84">
      <w:pPr>
        <w:ind w:left="284" w:hanging="284"/>
        <w:rPr>
          <w:rFonts w:ascii="Garamond" w:hAnsi="Garamond"/>
          <w:sz w:val="32"/>
          <w:szCs w:val="32"/>
        </w:rPr>
      </w:pPr>
      <w:r w:rsidRPr="003505A6">
        <w:rPr>
          <w:rFonts w:ascii="Garamond" w:hAnsi="Garamond"/>
          <w:sz w:val="32"/>
          <w:szCs w:val="32"/>
        </w:rPr>
        <w:t xml:space="preserve">♦ </w:t>
      </w:r>
      <w:r w:rsidR="003E6BBC" w:rsidRPr="003505A6">
        <w:rPr>
          <w:rFonts w:ascii="Garamond" w:hAnsi="Garamond"/>
          <w:sz w:val="32"/>
          <w:szCs w:val="32"/>
        </w:rPr>
        <w:t xml:space="preserve">condizionata da un alto numero di disposizioni </w:t>
      </w:r>
      <w:r w:rsidR="0038741D" w:rsidRPr="003505A6">
        <w:rPr>
          <w:rFonts w:ascii="Garamond" w:hAnsi="Garamond"/>
          <w:sz w:val="32"/>
          <w:szCs w:val="32"/>
        </w:rPr>
        <w:t xml:space="preserve">implicitamente o esplicitamente </w:t>
      </w:r>
      <w:r w:rsidR="003E6BBC" w:rsidRPr="003505A6">
        <w:rPr>
          <w:rFonts w:ascii="Garamond" w:hAnsi="Garamond"/>
          <w:sz w:val="32"/>
          <w:szCs w:val="32"/>
        </w:rPr>
        <w:t>derogatorie</w:t>
      </w:r>
      <w:r w:rsidR="0038741D" w:rsidRPr="003505A6">
        <w:rPr>
          <w:rFonts w:ascii="Garamond" w:hAnsi="Garamond"/>
          <w:sz w:val="32"/>
          <w:szCs w:val="32"/>
        </w:rPr>
        <w:t xml:space="preserve"> della normativa vigente oppure volte a prorogare regimi in deroga</w:t>
      </w:r>
      <w:r w:rsidR="00085F56" w:rsidRPr="003505A6">
        <w:rPr>
          <w:rFonts w:ascii="Garamond" w:hAnsi="Garamond"/>
          <w:sz w:val="32"/>
          <w:szCs w:val="32"/>
        </w:rPr>
        <w:t xml:space="preserve"> o a stabilire regimi transitori, speciali o temporanei comunque fondati su impianti derogatori</w:t>
      </w:r>
      <w:r w:rsidR="003E6BBC" w:rsidRPr="003505A6">
        <w:rPr>
          <w:rFonts w:ascii="Garamond" w:hAnsi="Garamond"/>
          <w:sz w:val="32"/>
          <w:szCs w:val="32"/>
        </w:rPr>
        <w:t>;</w:t>
      </w:r>
    </w:p>
    <w:p w:rsidR="00DC7F6D" w:rsidRPr="003505A6" w:rsidRDefault="003E6BBC" w:rsidP="00DC7F6D">
      <w:pPr>
        <w:ind w:left="284" w:hanging="284"/>
        <w:rPr>
          <w:rFonts w:ascii="Garamond" w:hAnsi="Garamond"/>
          <w:sz w:val="32"/>
          <w:szCs w:val="32"/>
        </w:rPr>
      </w:pPr>
      <w:r w:rsidRPr="003505A6">
        <w:rPr>
          <w:rFonts w:ascii="Garamond" w:hAnsi="Garamond"/>
          <w:sz w:val="32"/>
          <w:szCs w:val="32"/>
        </w:rPr>
        <w:t>♦ intrecciata con le fonti di rango subordinato, in forza di due fenomeni tra loro correlati: le modifiche a fonti secondarie apportate con fonti di rango primario; la previsione di provvedimenti non sempre facilmente riconducibili al sistema delle fonti per modificare atti legislativi (cosiddetta delegificazione spuria)</w:t>
      </w:r>
      <w:r w:rsidR="00DC7F6D" w:rsidRPr="003505A6">
        <w:rPr>
          <w:rFonts w:ascii="Garamond" w:hAnsi="Garamond"/>
          <w:sz w:val="32"/>
          <w:szCs w:val="32"/>
        </w:rPr>
        <w:t>;</w:t>
      </w:r>
    </w:p>
    <w:p w:rsidR="00DC7F6D" w:rsidRPr="003505A6" w:rsidRDefault="00DC7F6D" w:rsidP="00DC7F6D">
      <w:pPr>
        <w:ind w:firstLine="0"/>
        <w:rPr>
          <w:rFonts w:ascii="Garamond" w:hAnsi="Garamond"/>
          <w:sz w:val="32"/>
          <w:szCs w:val="32"/>
        </w:rPr>
      </w:pPr>
      <w:r w:rsidRPr="003505A6">
        <w:rPr>
          <w:rFonts w:ascii="Garamond" w:hAnsi="Garamond" w:cs="Arial"/>
          <w:sz w:val="32"/>
          <w:szCs w:val="32"/>
        </w:rPr>
        <w:t>♦</w:t>
      </w:r>
      <w:r w:rsidRPr="003505A6">
        <w:rPr>
          <w:rFonts w:ascii="Garamond" w:hAnsi="Garamond"/>
          <w:sz w:val="32"/>
          <w:szCs w:val="32"/>
        </w:rPr>
        <w:t xml:space="preserve"> </w:t>
      </w:r>
      <w:r w:rsidR="00085F56" w:rsidRPr="003505A6">
        <w:rPr>
          <w:rFonts w:ascii="Garamond" w:hAnsi="Garamond"/>
          <w:sz w:val="32"/>
          <w:szCs w:val="32"/>
        </w:rPr>
        <w:t xml:space="preserve">accompagnata dalla </w:t>
      </w:r>
      <w:r w:rsidRPr="003505A6">
        <w:rPr>
          <w:rFonts w:ascii="Garamond" w:hAnsi="Garamond"/>
          <w:sz w:val="32"/>
          <w:szCs w:val="32"/>
        </w:rPr>
        <w:t xml:space="preserve">presenza di </w:t>
      </w:r>
      <w:r w:rsidR="00085F56" w:rsidRPr="003505A6">
        <w:rPr>
          <w:rFonts w:ascii="Garamond" w:hAnsi="Garamond"/>
          <w:sz w:val="32"/>
          <w:szCs w:val="32"/>
        </w:rPr>
        <w:t>previs</w:t>
      </w:r>
      <w:r w:rsidRPr="003505A6">
        <w:rPr>
          <w:rFonts w:ascii="Garamond" w:hAnsi="Garamond"/>
          <w:sz w:val="32"/>
          <w:szCs w:val="32"/>
        </w:rPr>
        <w:t xml:space="preserve">ioni </w:t>
      </w:r>
      <w:r w:rsidR="00085F56" w:rsidRPr="003505A6">
        <w:rPr>
          <w:rFonts w:ascii="Garamond" w:hAnsi="Garamond"/>
          <w:sz w:val="32"/>
          <w:szCs w:val="32"/>
        </w:rPr>
        <w:t xml:space="preserve">di dubbia portata normativa, </w:t>
      </w:r>
      <w:r w:rsidRPr="003505A6">
        <w:rPr>
          <w:rFonts w:ascii="Garamond" w:hAnsi="Garamond"/>
          <w:sz w:val="32"/>
          <w:szCs w:val="32"/>
        </w:rPr>
        <w:t>meramente descrittive, ricognitive o programmatiche.</w:t>
      </w:r>
    </w:p>
    <w:p w:rsidR="008F46A9" w:rsidRPr="003505A6" w:rsidRDefault="008F46A9" w:rsidP="00085F56">
      <w:pPr>
        <w:ind w:firstLine="0"/>
        <w:rPr>
          <w:rFonts w:ascii="Garamond" w:hAnsi="Garamond"/>
          <w:sz w:val="32"/>
          <w:szCs w:val="32"/>
        </w:rPr>
      </w:pPr>
    </w:p>
    <w:p w:rsidR="00EA1A97" w:rsidRPr="003505A6" w:rsidRDefault="004F52AA" w:rsidP="00C00704">
      <w:pPr>
        <w:rPr>
          <w:rFonts w:ascii="Garamond" w:hAnsi="Garamond"/>
          <w:sz w:val="32"/>
          <w:szCs w:val="32"/>
        </w:rPr>
      </w:pPr>
      <w:r w:rsidRPr="00297670">
        <w:rPr>
          <w:rFonts w:ascii="Garamond" w:hAnsi="Garamond"/>
          <w:sz w:val="32"/>
          <w:szCs w:val="32"/>
        </w:rPr>
        <w:t xml:space="preserve">La </w:t>
      </w:r>
      <w:hyperlink r:id="rId20" w:anchor="TABELLA02" w:history="1">
        <w:r w:rsidRPr="00297670">
          <w:rPr>
            <w:rStyle w:val="Collegamentoipertestuale"/>
            <w:rFonts w:ascii="Garamond" w:hAnsi="Garamond"/>
            <w:sz w:val="32"/>
            <w:szCs w:val="32"/>
          </w:rPr>
          <w:t xml:space="preserve">tabella </w:t>
        </w:r>
        <w:r w:rsidR="00F1239F" w:rsidRPr="00297670">
          <w:rPr>
            <w:rStyle w:val="Collegamentoipertestuale"/>
            <w:rFonts w:ascii="Garamond" w:hAnsi="Garamond"/>
            <w:sz w:val="32"/>
            <w:szCs w:val="32"/>
          </w:rPr>
          <w:t>2</w:t>
        </w:r>
      </w:hyperlink>
      <w:r w:rsidRPr="00297670">
        <w:rPr>
          <w:rFonts w:ascii="Garamond" w:hAnsi="Garamond"/>
          <w:sz w:val="32"/>
          <w:szCs w:val="32"/>
        </w:rPr>
        <w:t xml:space="preserve"> </w:t>
      </w:r>
      <w:r w:rsidR="001266E3" w:rsidRPr="00297670">
        <w:rPr>
          <w:rFonts w:ascii="Garamond" w:hAnsi="Garamond"/>
          <w:sz w:val="32"/>
          <w:szCs w:val="32"/>
        </w:rPr>
        <w:t xml:space="preserve">e la </w:t>
      </w:r>
      <w:hyperlink r:id="rId21" w:anchor="TABELLA03" w:history="1">
        <w:r w:rsidR="001266E3" w:rsidRPr="00297670">
          <w:rPr>
            <w:rStyle w:val="Collegamentoipertestuale"/>
            <w:rFonts w:ascii="Garamond" w:hAnsi="Garamond"/>
            <w:sz w:val="32"/>
            <w:szCs w:val="32"/>
          </w:rPr>
          <w:t>tabella 3</w:t>
        </w:r>
      </w:hyperlink>
      <w:r w:rsidR="001266E3" w:rsidRPr="00297670">
        <w:rPr>
          <w:rFonts w:ascii="Garamond" w:hAnsi="Garamond"/>
          <w:sz w:val="32"/>
          <w:szCs w:val="32"/>
        </w:rPr>
        <w:t xml:space="preserve"> </w:t>
      </w:r>
      <w:r w:rsidRPr="00297670">
        <w:rPr>
          <w:rFonts w:ascii="Garamond" w:hAnsi="Garamond"/>
          <w:sz w:val="32"/>
          <w:szCs w:val="32"/>
        </w:rPr>
        <w:t>indica</w:t>
      </w:r>
      <w:r w:rsidR="001266E3" w:rsidRPr="00297670">
        <w:rPr>
          <w:rFonts w:ascii="Garamond" w:hAnsi="Garamond"/>
          <w:sz w:val="32"/>
          <w:szCs w:val="32"/>
        </w:rPr>
        <w:t>no</w:t>
      </w:r>
      <w:r w:rsidRPr="00297670">
        <w:rPr>
          <w:rFonts w:ascii="Garamond" w:hAnsi="Garamond"/>
          <w:sz w:val="32"/>
          <w:szCs w:val="32"/>
        </w:rPr>
        <w:t xml:space="preserve"> i </w:t>
      </w:r>
      <w:r w:rsidR="000D683A" w:rsidRPr="00297670">
        <w:rPr>
          <w:rFonts w:ascii="Garamond" w:hAnsi="Garamond"/>
          <w:sz w:val="32"/>
          <w:szCs w:val="32"/>
        </w:rPr>
        <w:t xml:space="preserve">singoli </w:t>
      </w:r>
      <w:r w:rsidRPr="00297670">
        <w:rPr>
          <w:rFonts w:ascii="Garamond" w:hAnsi="Garamond"/>
          <w:sz w:val="32"/>
          <w:szCs w:val="32"/>
        </w:rPr>
        <w:t>aspetti trattati nella</w:t>
      </w:r>
      <w:r w:rsidRPr="003505A6">
        <w:rPr>
          <w:rFonts w:ascii="Garamond" w:hAnsi="Garamond"/>
          <w:sz w:val="32"/>
          <w:szCs w:val="32"/>
        </w:rPr>
        <w:t xml:space="preserve"> circolare </w:t>
      </w:r>
      <w:r w:rsidR="001266E3" w:rsidRPr="003505A6">
        <w:rPr>
          <w:rFonts w:ascii="Garamond" w:hAnsi="Garamond"/>
          <w:sz w:val="32"/>
          <w:szCs w:val="32"/>
        </w:rPr>
        <w:t xml:space="preserve">e quelli ulteriori </w:t>
      </w:r>
      <w:r w:rsidRPr="003505A6">
        <w:rPr>
          <w:rFonts w:ascii="Garamond" w:hAnsi="Garamond"/>
          <w:sz w:val="32"/>
          <w:szCs w:val="32"/>
        </w:rPr>
        <w:t>che costituiscono oggetto d</w:t>
      </w:r>
      <w:r w:rsidR="001266E3" w:rsidRPr="003505A6">
        <w:rPr>
          <w:rFonts w:ascii="Garamond" w:hAnsi="Garamond"/>
          <w:sz w:val="32"/>
          <w:szCs w:val="32"/>
        </w:rPr>
        <w:t>e</w:t>
      </w:r>
      <w:r w:rsidRPr="003505A6">
        <w:rPr>
          <w:rFonts w:ascii="Garamond" w:hAnsi="Garamond"/>
          <w:sz w:val="32"/>
          <w:szCs w:val="32"/>
        </w:rPr>
        <w:t xml:space="preserve">i </w:t>
      </w:r>
      <w:r w:rsidR="001266E3" w:rsidRPr="003505A6">
        <w:rPr>
          <w:rFonts w:ascii="Garamond" w:hAnsi="Garamond"/>
          <w:sz w:val="32"/>
          <w:szCs w:val="32"/>
        </w:rPr>
        <w:t>pareri espressi dal Comitato</w:t>
      </w:r>
      <w:r w:rsidR="0088545F" w:rsidRPr="003505A6">
        <w:rPr>
          <w:rFonts w:ascii="Garamond" w:hAnsi="Garamond"/>
          <w:sz w:val="32"/>
          <w:szCs w:val="32"/>
        </w:rPr>
        <w:t>.</w:t>
      </w:r>
    </w:p>
    <w:p w:rsidR="00E731B4" w:rsidRPr="003505A6" w:rsidRDefault="00E731B4" w:rsidP="00E731B4">
      <w:pPr>
        <w:rPr>
          <w:rFonts w:ascii="Garamond" w:hAnsi="Garamond"/>
        </w:rPr>
      </w:pPr>
    </w:p>
    <w:p w:rsidR="00670EB5" w:rsidRPr="003505A6" w:rsidRDefault="00A3363C" w:rsidP="00BB539E">
      <w:pPr>
        <w:rPr>
          <w:rFonts w:ascii="Garamond" w:hAnsi="Garamond"/>
          <w:sz w:val="32"/>
          <w:szCs w:val="32"/>
        </w:rPr>
      </w:pPr>
      <w:r w:rsidRPr="003505A6">
        <w:rPr>
          <w:rFonts w:ascii="Garamond" w:hAnsi="Garamond"/>
          <w:sz w:val="32"/>
          <w:szCs w:val="32"/>
        </w:rPr>
        <w:t xml:space="preserve">Rimandando </w:t>
      </w:r>
      <w:r w:rsidR="00DB5C99" w:rsidRPr="003505A6">
        <w:rPr>
          <w:rFonts w:ascii="Garamond" w:hAnsi="Garamond"/>
          <w:sz w:val="32"/>
          <w:szCs w:val="32"/>
        </w:rPr>
        <w:t xml:space="preserve">per il dettaglio </w:t>
      </w:r>
      <w:r w:rsidRPr="003505A6">
        <w:rPr>
          <w:rFonts w:ascii="Garamond" w:hAnsi="Garamond"/>
          <w:sz w:val="32"/>
          <w:szCs w:val="32"/>
        </w:rPr>
        <w:t>al</w:t>
      </w:r>
      <w:r w:rsidR="004D4ECD" w:rsidRPr="003505A6">
        <w:rPr>
          <w:rFonts w:ascii="Garamond" w:hAnsi="Garamond"/>
          <w:sz w:val="32"/>
          <w:szCs w:val="32"/>
        </w:rPr>
        <w:t xml:space="preserve">le schede relative a tutti i pareri espressi nel periodo di riferimento, </w:t>
      </w:r>
      <w:r w:rsidR="00C06549" w:rsidRPr="003505A6">
        <w:rPr>
          <w:rFonts w:ascii="Garamond" w:hAnsi="Garamond"/>
          <w:sz w:val="32"/>
          <w:szCs w:val="32"/>
        </w:rPr>
        <w:t xml:space="preserve">che saranno </w:t>
      </w:r>
      <w:r w:rsidR="00DB5C99" w:rsidRPr="003505A6">
        <w:rPr>
          <w:rFonts w:ascii="Garamond" w:hAnsi="Garamond"/>
          <w:sz w:val="32"/>
          <w:szCs w:val="32"/>
        </w:rPr>
        <w:t>allegate</w:t>
      </w:r>
      <w:r w:rsidR="004D4ECD" w:rsidRPr="003505A6">
        <w:rPr>
          <w:rFonts w:ascii="Garamond" w:hAnsi="Garamond"/>
          <w:sz w:val="32"/>
          <w:szCs w:val="32"/>
        </w:rPr>
        <w:t xml:space="preserve"> al presente </w:t>
      </w:r>
      <w:r w:rsidR="00C06549" w:rsidRPr="003505A6">
        <w:rPr>
          <w:rFonts w:ascii="Garamond" w:hAnsi="Garamond"/>
          <w:sz w:val="32"/>
          <w:szCs w:val="32"/>
        </w:rPr>
        <w:t>rapporto</w:t>
      </w:r>
      <w:r w:rsidR="004D4ECD" w:rsidRPr="003505A6">
        <w:rPr>
          <w:rFonts w:ascii="Garamond" w:hAnsi="Garamond"/>
          <w:sz w:val="32"/>
          <w:szCs w:val="32"/>
        </w:rPr>
        <w:t xml:space="preserve">, </w:t>
      </w:r>
      <w:r w:rsidR="00DB5C99" w:rsidRPr="003505A6">
        <w:rPr>
          <w:rFonts w:ascii="Garamond" w:hAnsi="Garamond"/>
          <w:sz w:val="32"/>
          <w:szCs w:val="32"/>
        </w:rPr>
        <w:t>in formato elettronico,</w:t>
      </w:r>
      <w:r w:rsidRPr="003505A6">
        <w:rPr>
          <w:rFonts w:ascii="Garamond" w:hAnsi="Garamond"/>
          <w:sz w:val="32"/>
          <w:szCs w:val="32"/>
        </w:rPr>
        <w:t xml:space="preserve"> mi limiterò in questa sede a qualche indicazione </w:t>
      </w:r>
      <w:r w:rsidR="0048691D" w:rsidRPr="003505A6">
        <w:rPr>
          <w:rFonts w:ascii="Garamond" w:hAnsi="Garamond"/>
          <w:sz w:val="32"/>
          <w:szCs w:val="32"/>
        </w:rPr>
        <w:t xml:space="preserve">di carattere generale </w:t>
      </w:r>
      <w:r w:rsidRPr="003505A6">
        <w:rPr>
          <w:rFonts w:ascii="Garamond" w:hAnsi="Garamond"/>
          <w:sz w:val="32"/>
          <w:szCs w:val="32"/>
        </w:rPr>
        <w:t>sugli aspetti appena segnalati.</w:t>
      </w:r>
    </w:p>
    <w:p w:rsidR="008846B4" w:rsidRPr="003505A6" w:rsidRDefault="008846B4" w:rsidP="00BB539E">
      <w:pPr>
        <w:rPr>
          <w:rFonts w:ascii="Garamond" w:hAnsi="Garamond"/>
          <w:sz w:val="32"/>
          <w:szCs w:val="32"/>
        </w:rPr>
      </w:pPr>
    </w:p>
    <w:p w:rsidR="0048691D" w:rsidRPr="00992D90" w:rsidRDefault="0050423D" w:rsidP="00BB539E">
      <w:pPr>
        <w:rPr>
          <w:rFonts w:ascii="Garamond" w:hAnsi="Garamond"/>
          <w:sz w:val="32"/>
          <w:szCs w:val="32"/>
        </w:rPr>
      </w:pPr>
      <w:r w:rsidRPr="003505A6">
        <w:rPr>
          <w:rFonts w:ascii="Garamond" w:hAnsi="Garamond"/>
          <w:sz w:val="32"/>
          <w:szCs w:val="32"/>
        </w:rPr>
        <w:t xml:space="preserve">Talune tendenze di tecnica legislativa manifestatesi nella parte finale della scorsa legislatura si ripresentano anche </w:t>
      </w:r>
      <w:r w:rsidR="008879C6" w:rsidRPr="003505A6">
        <w:rPr>
          <w:rFonts w:ascii="Garamond" w:hAnsi="Garamond"/>
          <w:sz w:val="32"/>
          <w:szCs w:val="32"/>
        </w:rPr>
        <w:t>in</w:t>
      </w:r>
      <w:r w:rsidRPr="003505A6">
        <w:rPr>
          <w:rFonts w:ascii="Garamond" w:hAnsi="Garamond"/>
          <w:sz w:val="32"/>
          <w:szCs w:val="32"/>
        </w:rPr>
        <w:t xml:space="preserve"> quella in corso e costituiscono oggetto di attenzione da parte del Comitato. </w:t>
      </w:r>
      <w:r w:rsidR="00992D90" w:rsidRPr="00992D90">
        <w:rPr>
          <w:rFonts w:ascii="Garamond" w:hAnsi="Garamond"/>
          <w:sz w:val="32"/>
          <w:szCs w:val="32"/>
        </w:rPr>
        <w:t>I</w:t>
      </w:r>
      <w:r w:rsidRPr="00992D90">
        <w:rPr>
          <w:rFonts w:ascii="Garamond" w:hAnsi="Garamond"/>
          <w:sz w:val="32"/>
          <w:szCs w:val="32"/>
        </w:rPr>
        <w:t xml:space="preserve"> fenomeni di particolare interesse</w:t>
      </w:r>
      <w:r w:rsidR="00992D90" w:rsidRPr="00992D90">
        <w:rPr>
          <w:rFonts w:ascii="Garamond" w:hAnsi="Garamond"/>
          <w:sz w:val="32"/>
          <w:szCs w:val="32"/>
        </w:rPr>
        <w:t>,</w:t>
      </w:r>
      <w:r w:rsidRPr="00992D90">
        <w:rPr>
          <w:rFonts w:ascii="Garamond" w:hAnsi="Garamond"/>
          <w:sz w:val="32"/>
          <w:szCs w:val="32"/>
        </w:rPr>
        <w:t xml:space="preserve"> </w:t>
      </w:r>
      <w:r w:rsidR="008879C6" w:rsidRPr="00992D90">
        <w:rPr>
          <w:rFonts w:ascii="Garamond" w:hAnsi="Garamond"/>
          <w:sz w:val="32"/>
          <w:szCs w:val="32"/>
        </w:rPr>
        <w:t>che già erano stati individuati con riguardo ai primi turni di presidenza del Comitato</w:t>
      </w:r>
      <w:r w:rsidR="00992D90" w:rsidRPr="00992D90">
        <w:rPr>
          <w:rFonts w:ascii="Garamond" w:hAnsi="Garamond"/>
          <w:sz w:val="32"/>
          <w:szCs w:val="32"/>
        </w:rPr>
        <w:t>, sono, in particolare</w:t>
      </w:r>
      <w:r w:rsidRPr="00992D90">
        <w:rPr>
          <w:rFonts w:ascii="Garamond" w:hAnsi="Garamond"/>
          <w:sz w:val="32"/>
          <w:szCs w:val="32"/>
        </w:rPr>
        <w:t>:</w:t>
      </w:r>
    </w:p>
    <w:p w:rsidR="0050423D" w:rsidRPr="00992D90" w:rsidRDefault="0050423D" w:rsidP="00E10E3E">
      <w:pPr>
        <w:numPr>
          <w:ilvl w:val="0"/>
          <w:numId w:val="12"/>
        </w:numPr>
        <w:tabs>
          <w:tab w:val="clear" w:pos="1004"/>
          <w:tab w:val="num" w:pos="567"/>
        </w:tabs>
        <w:ind w:left="567"/>
        <w:rPr>
          <w:rFonts w:ascii="Garamond" w:hAnsi="Garamond"/>
          <w:sz w:val="32"/>
          <w:szCs w:val="32"/>
        </w:rPr>
      </w:pPr>
      <w:r w:rsidRPr="00992D90">
        <w:rPr>
          <w:rFonts w:ascii="Garamond" w:hAnsi="Garamond"/>
          <w:sz w:val="32"/>
          <w:szCs w:val="32"/>
        </w:rPr>
        <w:t xml:space="preserve">una accentuata volatilità di diverse disposizioni, in ambiti nei quali si procede o in via incrementale e/o per successivi </w:t>
      </w:r>
      <w:r w:rsidRPr="00992D90">
        <w:rPr>
          <w:rFonts w:ascii="Garamond" w:hAnsi="Garamond"/>
          <w:sz w:val="32"/>
          <w:szCs w:val="32"/>
        </w:rPr>
        <w:lastRenderedPageBreak/>
        <w:t xml:space="preserve">aggiustamenti, </w:t>
      </w:r>
      <w:r w:rsidR="00115676" w:rsidRPr="00992D90">
        <w:rPr>
          <w:rFonts w:ascii="Garamond" w:hAnsi="Garamond"/>
          <w:sz w:val="32"/>
          <w:szCs w:val="32"/>
        </w:rPr>
        <w:t>ove si produce</w:t>
      </w:r>
      <w:r w:rsidRPr="00992D90">
        <w:rPr>
          <w:rFonts w:ascii="Garamond" w:hAnsi="Garamond"/>
          <w:sz w:val="32"/>
          <w:szCs w:val="32"/>
        </w:rPr>
        <w:t xml:space="preserve"> talora una stratificata situazione normativa, non sempre corredata degli opportuni coordinamenti;</w:t>
      </w:r>
    </w:p>
    <w:p w:rsidR="0050423D" w:rsidRPr="00992D90" w:rsidRDefault="0050423D" w:rsidP="00E10E3E">
      <w:pPr>
        <w:numPr>
          <w:ilvl w:val="0"/>
          <w:numId w:val="12"/>
        </w:numPr>
        <w:tabs>
          <w:tab w:val="clear" w:pos="1004"/>
          <w:tab w:val="num" w:pos="567"/>
        </w:tabs>
        <w:ind w:left="567"/>
        <w:rPr>
          <w:rFonts w:ascii="Garamond" w:hAnsi="Garamond"/>
          <w:sz w:val="32"/>
          <w:szCs w:val="32"/>
        </w:rPr>
      </w:pPr>
      <w:r w:rsidRPr="00992D90">
        <w:rPr>
          <w:rFonts w:ascii="Garamond" w:hAnsi="Garamond"/>
          <w:sz w:val="32"/>
          <w:szCs w:val="32"/>
        </w:rPr>
        <w:t xml:space="preserve">la previsione di discipline a carattere </w:t>
      </w:r>
      <w:r w:rsidR="001266E3" w:rsidRPr="00992D90">
        <w:rPr>
          <w:rFonts w:ascii="Garamond" w:hAnsi="Garamond"/>
          <w:sz w:val="32"/>
          <w:szCs w:val="32"/>
        </w:rPr>
        <w:t xml:space="preserve">derogatorio, </w:t>
      </w:r>
      <w:r w:rsidRPr="00992D90">
        <w:rPr>
          <w:rFonts w:ascii="Garamond" w:hAnsi="Garamond"/>
          <w:sz w:val="32"/>
          <w:szCs w:val="32"/>
        </w:rPr>
        <w:t>temporaneo</w:t>
      </w:r>
      <w:r w:rsidR="007B17B5" w:rsidRPr="00992D90">
        <w:rPr>
          <w:rFonts w:ascii="Garamond" w:hAnsi="Garamond"/>
          <w:sz w:val="32"/>
          <w:szCs w:val="32"/>
        </w:rPr>
        <w:t>, transitorio</w:t>
      </w:r>
      <w:r w:rsidRPr="00992D90">
        <w:rPr>
          <w:rFonts w:ascii="Garamond" w:hAnsi="Garamond"/>
          <w:sz w:val="32"/>
          <w:szCs w:val="32"/>
        </w:rPr>
        <w:t xml:space="preserve"> o sperimentale, poi magari di volta in volta prorogate;</w:t>
      </w:r>
    </w:p>
    <w:p w:rsidR="0050423D" w:rsidRDefault="0050423D" w:rsidP="00E10E3E">
      <w:pPr>
        <w:numPr>
          <w:ilvl w:val="0"/>
          <w:numId w:val="12"/>
        </w:numPr>
        <w:tabs>
          <w:tab w:val="clear" w:pos="1004"/>
          <w:tab w:val="num" w:pos="567"/>
        </w:tabs>
        <w:ind w:left="567"/>
        <w:rPr>
          <w:rFonts w:ascii="Garamond" w:hAnsi="Garamond"/>
          <w:sz w:val="32"/>
          <w:szCs w:val="32"/>
        </w:rPr>
      </w:pPr>
      <w:r w:rsidRPr="00992D90">
        <w:rPr>
          <w:rFonts w:ascii="Garamond" w:hAnsi="Garamond"/>
          <w:sz w:val="32"/>
          <w:szCs w:val="32"/>
        </w:rPr>
        <w:t>la redazione – a corredo delle parti precettive – di parti descrittive</w:t>
      </w:r>
      <w:r w:rsidR="007D3035" w:rsidRPr="00992D90">
        <w:rPr>
          <w:rFonts w:ascii="Garamond" w:hAnsi="Garamond"/>
          <w:sz w:val="32"/>
          <w:szCs w:val="32"/>
        </w:rPr>
        <w:t>, ricognitive</w:t>
      </w:r>
      <w:r w:rsidR="007932BC" w:rsidRPr="00992D90">
        <w:rPr>
          <w:rFonts w:ascii="Garamond" w:hAnsi="Garamond"/>
          <w:sz w:val="32"/>
          <w:szCs w:val="32"/>
        </w:rPr>
        <w:t>, programmatiche</w:t>
      </w:r>
      <w:r w:rsidR="00B7763C" w:rsidRPr="00992D90">
        <w:rPr>
          <w:rFonts w:ascii="Garamond" w:hAnsi="Garamond"/>
          <w:sz w:val="32"/>
          <w:szCs w:val="32"/>
        </w:rPr>
        <w:t xml:space="preserve"> o di principio</w:t>
      </w:r>
      <w:r w:rsidRPr="00992D90">
        <w:rPr>
          <w:rFonts w:ascii="Garamond" w:hAnsi="Garamond"/>
          <w:sz w:val="32"/>
          <w:szCs w:val="32"/>
        </w:rPr>
        <w:t>, che indicano contesto</w:t>
      </w:r>
      <w:r w:rsidR="005D77D7" w:rsidRPr="00992D90">
        <w:rPr>
          <w:rFonts w:ascii="Garamond" w:hAnsi="Garamond"/>
          <w:sz w:val="32"/>
          <w:szCs w:val="32"/>
        </w:rPr>
        <w:t xml:space="preserve"> e</w:t>
      </w:r>
      <w:r w:rsidRPr="00992D90">
        <w:rPr>
          <w:rFonts w:ascii="Garamond" w:hAnsi="Garamond"/>
          <w:sz w:val="32"/>
          <w:szCs w:val="32"/>
        </w:rPr>
        <w:t xml:space="preserve"> finalità</w:t>
      </w:r>
      <w:r w:rsidR="00B7763C" w:rsidRPr="00992D90">
        <w:rPr>
          <w:rFonts w:ascii="Garamond" w:hAnsi="Garamond"/>
          <w:sz w:val="32"/>
          <w:szCs w:val="32"/>
        </w:rPr>
        <w:t>, tal</w:t>
      </w:r>
      <w:r w:rsidR="005D77D7" w:rsidRPr="00992D90">
        <w:rPr>
          <w:rFonts w:ascii="Garamond" w:hAnsi="Garamond"/>
          <w:sz w:val="32"/>
          <w:szCs w:val="32"/>
        </w:rPr>
        <w:t>ora in stile quasi colloquiale</w:t>
      </w:r>
      <w:r w:rsidR="00992D90">
        <w:rPr>
          <w:rFonts w:ascii="Garamond" w:hAnsi="Garamond"/>
          <w:sz w:val="32"/>
          <w:szCs w:val="32"/>
        </w:rPr>
        <w:t>;</w:t>
      </w:r>
    </w:p>
    <w:p w:rsidR="00992D90" w:rsidRPr="00992D90" w:rsidRDefault="00992D90" w:rsidP="00E10E3E">
      <w:pPr>
        <w:numPr>
          <w:ilvl w:val="0"/>
          <w:numId w:val="12"/>
        </w:numPr>
        <w:tabs>
          <w:tab w:val="clear" w:pos="1004"/>
          <w:tab w:val="num" w:pos="567"/>
        </w:tabs>
        <w:ind w:left="567"/>
        <w:rPr>
          <w:rFonts w:ascii="Garamond" w:hAnsi="Garamond"/>
          <w:sz w:val="32"/>
          <w:szCs w:val="32"/>
        </w:rPr>
      </w:pPr>
      <w:r>
        <w:rPr>
          <w:rFonts w:ascii="Garamond" w:hAnsi="Garamond"/>
          <w:sz w:val="32"/>
          <w:szCs w:val="32"/>
        </w:rPr>
        <w:t>la formulazione delle disposizioni normative, spesso attraverso l’uso di termini stranieri, di locuzioni non appartenenti al linguaggio giuridico o f</w:t>
      </w:r>
      <w:r w:rsidRPr="00992D90">
        <w:rPr>
          <w:rFonts w:ascii="Garamond" w:hAnsi="Garamond"/>
          <w:sz w:val="32"/>
          <w:szCs w:val="32"/>
        </w:rPr>
        <w:t>ormulazioni generiche, di non univoco significato o non direttamente applicabili</w:t>
      </w:r>
      <w:r>
        <w:rPr>
          <w:rFonts w:ascii="Garamond" w:hAnsi="Garamond"/>
          <w:sz w:val="32"/>
          <w:szCs w:val="32"/>
        </w:rPr>
        <w:t>.</w:t>
      </w:r>
    </w:p>
    <w:p w:rsidR="007E4916" w:rsidRPr="003505A6" w:rsidRDefault="007E4916" w:rsidP="00BB539E">
      <w:pPr>
        <w:rPr>
          <w:rFonts w:ascii="Garamond" w:hAnsi="Garamond"/>
          <w:sz w:val="32"/>
          <w:szCs w:val="32"/>
        </w:rPr>
      </w:pPr>
    </w:p>
    <w:p w:rsidR="005D77D7" w:rsidRPr="003505A6" w:rsidRDefault="00F038C0" w:rsidP="00F00BA0">
      <w:pPr>
        <w:pStyle w:val="Titolo2"/>
        <w:rPr>
          <w:rFonts w:ascii="Garamond" w:hAnsi="Garamond"/>
          <w:i/>
          <w:color w:val="0000FF"/>
          <w:sz w:val="28"/>
          <w:szCs w:val="28"/>
        </w:rPr>
      </w:pPr>
      <w:bookmarkStart w:id="36" w:name="_Toc458677968"/>
      <w:r w:rsidRPr="002D1608">
        <w:rPr>
          <w:rFonts w:ascii="Garamond" w:hAnsi="Garamond"/>
          <w:i/>
          <w:color w:val="0000FF"/>
          <w:sz w:val="28"/>
          <w:szCs w:val="28"/>
        </w:rPr>
        <w:t>4.4.2.</w:t>
      </w:r>
      <w:r w:rsidR="00CA7AB6" w:rsidRPr="002D1608">
        <w:rPr>
          <w:rFonts w:ascii="Garamond" w:hAnsi="Garamond"/>
          <w:i/>
          <w:color w:val="0000FF"/>
          <w:sz w:val="28"/>
          <w:szCs w:val="28"/>
        </w:rPr>
        <w:t xml:space="preserve"> </w:t>
      </w:r>
      <w:r w:rsidR="007B17B5" w:rsidRPr="002D1608">
        <w:rPr>
          <w:rFonts w:ascii="Garamond" w:hAnsi="Garamond"/>
          <w:i/>
          <w:color w:val="0000FF"/>
          <w:sz w:val="28"/>
          <w:szCs w:val="28"/>
        </w:rPr>
        <w:t>Volatilità,</w:t>
      </w:r>
      <w:r w:rsidR="005D77D7" w:rsidRPr="002D1608">
        <w:rPr>
          <w:rFonts w:ascii="Garamond" w:hAnsi="Garamond"/>
          <w:i/>
          <w:color w:val="0000FF"/>
          <w:sz w:val="28"/>
          <w:szCs w:val="28"/>
        </w:rPr>
        <w:t xml:space="preserve"> stratificazione normativa</w:t>
      </w:r>
      <w:r w:rsidR="007B17B5" w:rsidRPr="002D1608">
        <w:rPr>
          <w:rFonts w:ascii="Garamond" w:hAnsi="Garamond"/>
          <w:i/>
          <w:color w:val="0000FF"/>
          <w:sz w:val="28"/>
          <w:szCs w:val="28"/>
        </w:rPr>
        <w:t xml:space="preserve"> ed assenza di coordinamento</w:t>
      </w:r>
      <w:bookmarkEnd w:id="36"/>
    </w:p>
    <w:p w:rsidR="00D824A8" w:rsidRDefault="001266E3" w:rsidP="00A66E87">
      <w:pPr>
        <w:rPr>
          <w:rFonts w:ascii="Garamond" w:hAnsi="Garamond"/>
          <w:sz w:val="32"/>
          <w:szCs w:val="32"/>
        </w:rPr>
      </w:pPr>
      <w:r w:rsidRPr="00956242">
        <w:rPr>
          <w:rFonts w:ascii="Garamond" w:hAnsi="Garamond"/>
          <w:sz w:val="32"/>
          <w:szCs w:val="32"/>
        </w:rPr>
        <w:t xml:space="preserve">Come risulta dalle </w:t>
      </w:r>
      <w:hyperlink r:id="rId22" w:anchor="TABELLA02" w:history="1">
        <w:r w:rsidRPr="00956242">
          <w:rPr>
            <w:rStyle w:val="Collegamentoipertestuale"/>
            <w:rFonts w:ascii="Garamond" w:hAnsi="Garamond"/>
            <w:sz w:val="32"/>
            <w:szCs w:val="32"/>
          </w:rPr>
          <w:t>tabelle 2</w:t>
        </w:r>
      </w:hyperlink>
      <w:r w:rsidRPr="00956242">
        <w:rPr>
          <w:rFonts w:ascii="Garamond" w:hAnsi="Garamond"/>
          <w:sz w:val="32"/>
          <w:szCs w:val="32"/>
        </w:rPr>
        <w:t xml:space="preserve"> e </w:t>
      </w:r>
      <w:hyperlink r:id="rId23" w:anchor="TABELLA03" w:history="1">
        <w:r w:rsidRPr="00956242">
          <w:rPr>
            <w:rStyle w:val="Collegamentoipertestuale"/>
            <w:rFonts w:ascii="Garamond" w:hAnsi="Garamond"/>
            <w:sz w:val="32"/>
            <w:szCs w:val="32"/>
          </w:rPr>
          <w:t>3</w:t>
        </w:r>
      </w:hyperlink>
      <w:r w:rsidRPr="00956242">
        <w:rPr>
          <w:rFonts w:ascii="Garamond" w:hAnsi="Garamond"/>
          <w:sz w:val="32"/>
          <w:szCs w:val="32"/>
        </w:rPr>
        <w:t>, so</w:t>
      </w:r>
      <w:r w:rsidR="007B17B5" w:rsidRPr="00956242">
        <w:rPr>
          <w:rFonts w:ascii="Garamond" w:hAnsi="Garamond"/>
          <w:sz w:val="32"/>
          <w:szCs w:val="32"/>
        </w:rPr>
        <w:t>no molti i</w:t>
      </w:r>
      <w:r w:rsidR="005D77D7" w:rsidRPr="00956242">
        <w:rPr>
          <w:rFonts w:ascii="Garamond" w:hAnsi="Garamond"/>
          <w:sz w:val="32"/>
          <w:szCs w:val="32"/>
        </w:rPr>
        <w:t xml:space="preserve"> pareri </w:t>
      </w:r>
      <w:r w:rsidR="007B17B5" w:rsidRPr="00956242">
        <w:rPr>
          <w:rFonts w:ascii="Garamond" w:hAnsi="Garamond"/>
          <w:sz w:val="32"/>
          <w:szCs w:val="32"/>
        </w:rPr>
        <w:t xml:space="preserve">che </w:t>
      </w:r>
      <w:r w:rsidR="005D77D7" w:rsidRPr="00956242">
        <w:rPr>
          <w:rFonts w:ascii="Garamond" w:hAnsi="Garamond"/>
          <w:sz w:val="32"/>
          <w:szCs w:val="32"/>
        </w:rPr>
        <w:t>si</w:t>
      </w:r>
      <w:r w:rsidR="005D77D7" w:rsidRPr="003505A6">
        <w:rPr>
          <w:rFonts w:ascii="Garamond" w:hAnsi="Garamond"/>
          <w:sz w:val="32"/>
          <w:szCs w:val="32"/>
        </w:rPr>
        <w:t xml:space="preserve"> soffermano sui temi collegati </w:t>
      </w:r>
      <w:r w:rsidR="00992D90" w:rsidRPr="003505A6">
        <w:rPr>
          <w:rFonts w:ascii="Garamond" w:hAnsi="Garamond"/>
          <w:sz w:val="32"/>
          <w:szCs w:val="32"/>
        </w:rPr>
        <w:t>del mancato coordinamento con la normativa vigente</w:t>
      </w:r>
      <w:r w:rsidR="00992D90">
        <w:rPr>
          <w:rFonts w:ascii="Garamond" w:hAnsi="Garamond"/>
          <w:sz w:val="32"/>
          <w:szCs w:val="32"/>
        </w:rPr>
        <w:t>,</w:t>
      </w:r>
      <w:r w:rsidR="00992D90" w:rsidRPr="003505A6">
        <w:rPr>
          <w:rFonts w:ascii="Garamond" w:hAnsi="Garamond"/>
          <w:sz w:val="32"/>
          <w:szCs w:val="32"/>
        </w:rPr>
        <w:t xml:space="preserve"> della stratificazione normativa e </w:t>
      </w:r>
      <w:r w:rsidR="005D77D7" w:rsidRPr="003505A6">
        <w:rPr>
          <w:rFonts w:ascii="Garamond" w:hAnsi="Garamond"/>
          <w:sz w:val="32"/>
          <w:szCs w:val="32"/>
        </w:rPr>
        <w:t>della modifica di</w:t>
      </w:r>
      <w:r w:rsidR="00992D90">
        <w:rPr>
          <w:rFonts w:ascii="Garamond" w:hAnsi="Garamond"/>
          <w:sz w:val="32"/>
          <w:szCs w:val="32"/>
        </w:rPr>
        <w:t xml:space="preserve"> norme di recente approvazione</w:t>
      </w:r>
      <w:r w:rsidR="005D77D7" w:rsidRPr="003505A6">
        <w:rPr>
          <w:rFonts w:ascii="Garamond" w:hAnsi="Garamond"/>
          <w:sz w:val="32"/>
          <w:szCs w:val="32"/>
        </w:rPr>
        <w:t xml:space="preserve">. </w:t>
      </w:r>
      <w:r w:rsidR="00A66E87" w:rsidRPr="003505A6">
        <w:rPr>
          <w:rFonts w:ascii="Garamond" w:hAnsi="Garamond"/>
          <w:sz w:val="32"/>
          <w:szCs w:val="32"/>
        </w:rPr>
        <w:t xml:space="preserve">Ovviamente, i problemi si amplificano quando le norme si stratificano senza gli adeguati coordinamenti. </w:t>
      </w:r>
    </w:p>
    <w:p w:rsidR="000D683A" w:rsidRPr="00AF2177" w:rsidRDefault="000D683A" w:rsidP="00A66E87">
      <w:pPr>
        <w:rPr>
          <w:rFonts w:ascii="Garamond" w:hAnsi="Garamond"/>
          <w:sz w:val="32"/>
          <w:szCs w:val="32"/>
        </w:rPr>
      </w:pPr>
      <w:r>
        <w:rPr>
          <w:rFonts w:ascii="Garamond" w:hAnsi="Garamond"/>
          <w:sz w:val="32"/>
          <w:szCs w:val="32"/>
        </w:rPr>
        <w:t>Nella premessa ho già avuto modo di annotare come gli 11 decreti-legge sui quali il Comitato si è pronunciato in questi dieci mesi sia</w:t>
      </w:r>
      <w:r w:rsidR="007700C0">
        <w:rPr>
          <w:rFonts w:ascii="Garamond" w:hAnsi="Garamond"/>
          <w:sz w:val="32"/>
          <w:szCs w:val="32"/>
        </w:rPr>
        <w:t>no classificabili in sei</w:t>
      </w:r>
      <w:r>
        <w:rPr>
          <w:rFonts w:ascii="Garamond" w:hAnsi="Garamond"/>
          <w:sz w:val="32"/>
          <w:szCs w:val="32"/>
        </w:rPr>
        <w:t xml:space="preserve"> ambiti: </w:t>
      </w:r>
      <w:r w:rsidR="00AF2177" w:rsidRPr="00AF2177">
        <w:rPr>
          <w:rFonts w:ascii="Garamond" w:hAnsi="Garamond"/>
          <w:sz w:val="32"/>
          <w:szCs w:val="32"/>
        </w:rPr>
        <w:t>il settore bancario (3 decreti); la cessione dell’ILVA (2 decreti); la partecipazione italiana alle missioni internazionali (2); interventi, lo più di carattere finanziario, per i territori e gli enti locali e regionali</w:t>
      </w:r>
      <w:r w:rsidR="00AF2177">
        <w:rPr>
          <w:rFonts w:ascii="Garamond" w:hAnsi="Garamond"/>
          <w:sz w:val="32"/>
          <w:szCs w:val="32"/>
        </w:rPr>
        <w:t xml:space="preserve"> (</w:t>
      </w:r>
      <w:r w:rsidR="00457B43">
        <w:rPr>
          <w:rFonts w:ascii="Garamond" w:hAnsi="Garamond"/>
          <w:sz w:val="32"/>
          <w:szCs w:val="32"/>
        </w:rPr>
        <w:t>3</w:t>
      </w:r>
      <w:r w:rsidR="00AF2177">
        <w:rPr>
          <w:rFonts w:ascii="Garamond" w:hAnsi="Garamond"/>
          <w:sz w:val="32"/>
          <w:szCs w:val="32"/>
        </w:rPr>
        <w:t>)</w:t>
      </w:r>
      <w:r w:rsidR="00AF2177" w:rsidRPr="00AF2177">
        <w:rPr>
          <w:rFonts w:ascii="Garamond" w:hAnsi="Garamond"/>
          <w:sz w:val="32"/>
          <w:szCs w:val="32"/>
        </w:rPr>
        <w:t xml:space="preserve">; </w:t>
      </w:r>
      <w:r w:rsidR="00AF2177">
        <w:rPr>
          <w:rFonts w:ascii="Garamond" w:hAnsi="Garamond"/>
          <w:sz w:val="32"/>
          <w:szCs w:val="32"/>
        </w:rPr>
        <w:t>proroga di termini (2)</w:t>
      </w:r>
      <w:r w:rsidR="007700C0">
        <w:rPr>
          <w:rFonts w:ascii="Garamond" w:hAnsi="Garamond"/>
          <w:sz w:val="32"/>
          <w:szCs w:val="32"/>
        </w:rPr>
        <w:t>; il sistema scolastico e la ricerca (1)</w:t>
      </w:r>
      <w:r w:rsidR="00AF2177">
        <w:rPr>
          <w:rFonts w:ascii="Garamond" w:hAnsi="Garamond"/>
          <w:sz w:val="32"/>
          <w:szCs w:val="32"/>
        </w:rPr>
        <w:t>.</w:t>
      </w:r>
    </w:p>
    <w:p w:rsidR="00944D35" w:rsidRDefault="00F46E04" w:rsidP="00A66E87">
      <w:pPr>
        <w:rPr>
          <w:rFonts w:ascii="Garamond" w:hAnsi="Garamond"/>
          <w:sz w:val="32"/>
          <w:szCs w:val="32"/>
        </w:rPr>
      </w:pPr>
      <w:r>
        <w:rPr>
          <w:rFonts w:ascii="Garamond" w:hAnsi="Garamond"/>
          <w:sz w:val="32"/>
          <w:szCs w:val="32"/>
        </w:rPr>
        <w:t xml:space="preserve">Una delle più note tra le ricorrenti vicende normative che hanno contrassegnato gli ultimi anni riguarda lo stabilimento ILVA di Taranto. Nelle premesse del parere </w:t>
      </w:r>
      <w:r w:rsidR="00A60FE2">
        <w:rPr>
          <w:rFonts w:ascii="Garamond" w:hAnsi="Garamond"/>
          <w:sz w:val="32"/>
          <w:szCs w:val="32"/>
        </w:rPr>
        <w:t>su</w:t>
      </w:r>
      <w:r w:rsidR="00944D35">
        <w:rPr>
          <w:rFonts w:ascii="Garamond" w:hAnsi="Garamond"/>
          <w:sz w:val="32"/>
          <w:szCs w:val="32"/>
        </w:rPr>
        <w:t xml:space="preserve">l </w:t>
      </w:r>
      <w:r w:rsidR="00944D35" w:rsidRPr="00666ECD">
        <w:rPr>
          <w:rFonts w:ascii="Garamond" w:hAnsi="Garamond"/>
          <w:sz w:val="32"/>
          <w:szCs w:val="32"/>
          <w:u w:val="single"/>
        </w:rPr>
        <w:t xml:space="preserve">decreto-legge </w:t>
      </w:r>
      <w:r w:rsidR="00AF2177">
        <w:rPr>
          <w:rFonts w:ascii="Garamond" w:hAnsi="Garamond"/>
          <w:sz w:val="32"/>
          <w:szCs w:val="32"/>
          <w:u w:val="single"/>
        </w:rPr>
        <w:t xml:space="preserve">n. </w:t>
      </w:r>
      <w:r w:rsidR="00944D35" w:rsidRPr="00666ECD">
        <w:rPr>
          <w:rFonts w:ascii="Garamond" w:hAnsi="Garamond"/>
          <w:sz w:val="32"/>
          <w:szCs w:val="32"/>
          <w:u w:val="single"/>
        </w:rPr>
        <w:lastRenderedPageBreak/>
        <w:t>98/2016</w:t>
      </w:r>
      <w:r w:rsidR="00944D35">
        <w:rPr>
          <w:rFonts w:ascii="Garamond" w:hAnsi="Garamond"/>
          <w:sz w:val="32"/>
          <w:szCs w:val="32"/>
        </w:rPr>
        <w:t xml:space="preserve"> (C. 3886, cessione ILVA)</w:t>
      </w:r>
      <w:r w:rsidR="00AF2177">
        <w:rPr>
          <w:rFonts w:ascii="Garamond" w:hAnsi="Garamond"/>
          <w:sz w:val="32"/>
          <w:szCs w:val="32"/>
        </w:rPr>
        <w:t xml:space="preserve"> </w:t>
      </w:r>
      <w:r>
        <w:rPr>
          <w:rFonts w:ascii="Garamond" w:hAnsi="Garamond"/>
          <w:sz w:val="32"/>
          <w:szCs w:val="32"/>
        </w:rPr>
        <w:t xml:space="preserve">il Comitato rileva che esso </w:t>
      </w:r>
      <w:r w:rsidR="00944D35" w:rsidRPr="003505A6">
        <w:rPr>
          <w:rFonts w:ascii="Garamond" w:hAnsi="Garamond"/>
          <w:sz w:val="32"/>
          <w:szCs w:val="32"/>
        </w:rPr>
        <w:t>«</w:t>
      </w:r>
      <w:r w:rsidR="00944D35" w:rsidRPr="00944D35">
        <w:rPr>
          <w:rFonts w:ascii="Garamond" w:hAnsi="Garamond"/>
          <w:sz w:val="32"/>
          <w:szCs w:val="32"/>
        </w:rPr>
        <w:t>interviene su una materia che in tempi recenti ha visto la rapida successione di otto decreti-legge, che, da un lato, sono intervenuti a regime sulla normativa in materia di grandi imprese in crisi e, dall’altro, hanno dettato una disciplina specifica e per lo più derogatoria del quadro normativo vigente per risolvere la crisi economica ed ambientale dello stabilimento ILVA di Taranto e del gruppo industriale; in tale quadro normativo, gli articoli 1 e 2 intervengono – rendendola più complessa e spostandone in avanti il termine finale di attuazione – su una disciplina soggetta a frequenti assestamenti, anche di recentissima formulazione, tra l’altro modificando in più punti il decreto-legge 4 dicembre 2015, n. 191, convertito, con modificazioni, dalla legge 1° febbraio 2016, n. 13»</w:t>
      </w:r>
      <w:r>
        <w:rPr>
          <w:rFonts w:ascii="Garamond" w:hAnsi="Garamond"/>
          <w:sz w:val="32"/>
          <w:szCs w:val="32"/>
        </w:rPr>
        <w:t>.</w:t>
      </w:r>
    </w:p>
    <w:p w:rsidR="00F46E04" w:rsidRDefault="00241B0F" w:rsidP="00A66E87">
      <w:pPr>
        <w:rPr>
          <w:rFonts w:ascii="Garamond" w:hAnsi="Garamond"/>
          <w:sz w:val="32"/>
          <w:szCs w:val="32"/>
        </w:rPr>
      </w:pPr>
      <w:r>
        <w:rPr>
          <w:rFonts w:ascii="Garamond" w:hAnsi="Garamond"/>
          <w:sz w:val="32"/>
          <w:szCs w:val="32"/>
        </w:rPr>
        <w:t>Gli altri pareri che merita segnalare riguardano progetti di legge contenenti disposizioni di delega</w:t>
      </w:r>
      <w:r w:rsidR="00C952E0">
        <w:rPr>
          <w:rFonts w:ascii="Garamond" w:hAnsi="Garamond"/>
          <w:sz w:val="32"/>
          <w:szCs w:val="32"/>
        </w:rPr>
        <w:t>, nei quali il Comitato formula condizioni volte ad utilizzare le disposizioni di delega anche a fini di coordinamento normativo</w:t>
      </w:r>
      <w:r>
        <w:rPr>
          <w:rFonts w:ascii="Garamond" w:hAnsi="Garamond"/>
          <w:sz w:val="32"/>
          <w:szCs w:val="32"/>
        </w:rPr>
        <w:t>:</w:t>
      </w:r>
    </w:p>
    <w:p w:rsidR="00A66E87" w:rsidRDefault="0077331C" w:rsidP="00241B0F">
      <w:pPr>
        <w:rPr>
          <w:rFonts w:ascii="Garamond" w:hAnsi="Garamond"/>
          <w:sz w:val="32"/>
          <w:szCs w:val="32"/>
        </w:rPr>
      </w:pPr>
      <w:r w:rsidRPr="003505A6">
        <w:rPr>
          <w:rFonts w:ascii="Garamond" w:hAnsi="Garamond"/>
          <w:sz w:val="32"/>
          <w:szCs w:val="32"/>
        </w:rPr>
        <w:t xml:space="preserve">▪ </w:t>
      </w:r>
      <w:r w:rsidR="00241B0F">
        <w:rPr>
          <w:rFonts w:ascii="Garamond" w:hAnsi="Garamond"/>
          <w:sz w:val="32"/>
          <w:szCs w:val="32"/>
        </w:rPr>
        <w:t xml:space="preserve">nelle premesse del parere </w:t>
      </w:r>
      <w:r w:rsidR="00A60FE2">
        <w:rPr>
          <w:rFonts w:ascii="Garamond" w:hAnsi="Garamond"/>
          <w:sz w:val="32"/>
          <w:szCs w:val="32"/>
        </w:rPr>
        <w:t>su</w:t>
      </w:r>
      <w:r w:rsidR="00D824A8" w:rsidRPr="003505A6">
        <w:rPr>
          <w:rFonts w:ascii="Garamond" w:hAnsi="Garamond"/>
          <w:sz w:val="32"/>
          <w:szCs w:val="32"/>
        </w:rPr>
        <w:t xml:space="preserve">l </w:t>
      </w:r>
      <w:r w:rsidR="00B446B2" w:rsidRPr="00666ECD">
        <w:rPr>
          <w:rFonts w:ascii="Garamond" w:hAnsi="Garamond"/>
          <w:sz w:val="32"/>
          <w:szCs w:val="32"/>
          <w:u w:val="single"/>
        </w:rPr>
        <w:t xml:space="preserve">disegno di legge </w:t>
      </w:r>
      <w:r w:rsidR="00D824A8" w:rsidRPr="00666ECD">
        <w:rPr>
          <w:rFonts w:ascii="Garamond" w:hAnsi="Garamond"/>
          <w:sz w:val="32"/>
          <w:szCs w:val="32"/>
          <w:u w:val="single"/>
        </w:rPr>
        <w:t xml:space="preserve">C. </w:t>
      </w:r>
      <w:r w:rsidR="00B446B2" w:rsidRPr="00666ECD">
        <w:rPr>
          <w:rFonts w:ascii="Garamond" w:hAnsi="Garamond"/>
          <w:sz w:val="32"/>
          <w:szCs w:val="32"/>
          <w:u w:val="single"/>
        </w:rPr>
        <w:t>2039-nuovo testo</w:t>
      </w:r>
      <w:r w:rsidR="00D824A8" w:rsidRPr="003505A6">
        <w:rPr>
          <w:rFonts w:ascii="Garamond" w:hAnsi="Garamond"/>
          <w:sz w:val="32"/>
          <w:szCs w:val="32"/>
        </w:rPr>
        <w:t xml:space="preserve"> (delega </w:t>
      </w:r>
      <w:r w:rsidR="00B446B2">
        <w:rPr>
          <w:rFonts w:ascii="Garamond" w:hAnsi="Garamond"/>
          <w:sz w:val="32"/>
          <w:szCs w:val="32"/>
        </w:rPr>
        <w:t>consumo del suolo</w:t>
      </w:r>
      <w:r w:rsidR="00D824A8" w:rsidRPr="003505A6">
        <w:rPr>
          <w:rFonts w:ascii="Garamond" w:hAnsi="Garamond"/>
          <w:sz w:val="32"/>
          <w:szCs w:val="32"/>
        </w:rPr>
        <w:t xml:space="preserve">) si rileva che </w:t>
      </w:r>
      <w:r w:rsidR="00A66E87" w:rsidRPr="003505A6">
        <w:rPr>
          <w:rFonts w:ascii="Garamond" w:hAnsi="Garamond"/>
          <w:sz w:val="32"/>
          <w:szCs w:val="32"/>
        </w:rPr>
        <w:t>«</w:t>
      </w:r>
      <w:r w:rsidR="00B446B2" w:rsidRPr="00B446B2">
        <w:rPr>
          <w:rFonts w:ascii="Garamond" w:hAnsi="Garamond"/>
          <w:sz w:val="32"/>
          <w:szCs w:val="32"/>
        </w:rPr>
        <w:t>il disegno di legge, pur recando un complesso di misure che, nell'ambito delle politiche per il territorio, presentano aspetti assai innovativi, interviene su un ambito materiale, quello della valorizzazione e della tutela del suolo, che presenta numerosi punti di contatto con altri settori disciplinari che hanno formato oggetto, anche in tempi recenti, di interventi legislativi e con i quali dovrebbero essere assicurati gli opportuni coordinamenti</w:t>
      </w:r>
      <w:r w:rsidR="00A66E87" w:rsidRPr="003505A6">
        <w:rPr>
          <w:rFonts w:ascii="Garamond" w:hAnsi="Garamond"/>
          <w:sz w:val="32"/>
          <w:szCs w:val="32"/>
        </w:rPr>
        <w:t>»</w:t>
      </w:r>
      <w:r w:rsidR="000A3BAA" w:rsidRPr="003505A6">
        <w:rPr>
          <w:rFonts w:ascii="Garamond" w:hAnsi="Garamond"/>
          <w:sz w:val="32"/>
          <w:szCs w:val="32"/>
        </w:rPr>
        <w:t xml:space="preserve"> (</w:t>
      </w:r>
      <w:hyperlink r:id="rId24" w:anchor="S10a02" w:history="1">
        <w:r w:rsidR="000A3BAA" w:rsidRPr="00B446B2">
          <w:rPr>
            <w:rStyle w:val="Collegamentoipertestuale"/>
            <w:rFonts w:ascii="Garamond" w:hAnsi="Garamond"/>
            <w:sz w:val="32"/>
            <w:szCs w:val="32"/>
          </w:rPr>
          <w:t xml:space="preserve">Scheda </w:t>
        </w:r>
        <w:r w:rsidR="00B446B2" w:rsidRPr="00B446B2">
          <w:rPr>
            <w:rStyle w:val="Collegamentoipertestuale"/>
            <w:rFonts w:ascii="Garamond" w:hAnsi="Garamond"/>
            <w:sz w:val="32"/>
            <w:szCs w:val="32"/>
          </w:rPr>
          <w:t>10</w:t>
        </w:r>
        <w:r w:rsidR="000A3BAA" w:rsidRPr="00B446B2">
          <w:rPr>
            <w:rStyle w:val="Collegamentoipertestuale"/>
            <w:rFonts w:ascii="Garamond" w:hAnsi="Garamond"/>
            <w:sz w:val="32"/>
            <w:szCs w:val="32"/>
          </w:rPr>
          <w:t xml:space="preserve">, punto </w:t>
        </w:r>
        <w:r w:rsidR="00B446B2" w:rsidRPr="00B446B2">
          <w:rPr>
            <w:rStyle w:val="Collegamentoipertestuale"/>
            <w:rFonts w:ascii="Garamond" w:hAnsi="Garamond"/>
            <w:sz w:val="32"/>
            <w:szCs w:val="32"/>
          </w:rPr>
          <w:t>2</w:t>
        </w:r>
      </w:hyperlink>
      <w:r w:rsidR="000A3BAA" w:rsidRPr="003505A6">
        <w:rPr>
          <w:rFonts w:ascii="Garamond" w:hAnsi="Garamond"/>
          <w:sz w:val="32"/>
          <w:szCs w:val="32"/>
        </w:rPr>
        <w:t>)</w:t>
      </w:r>
      <w:r w:rsidR="00474E17">
        <w:rPr>
          <w:rFonts w:ascii="Garamond" w:hAnsi="Garamond"/>
          <w:sz w:val="32"/>
          <w:szCs w:val="32"/>
        </w:rPr>
        <w:t xml:space="preserve">; </w:t>
      </w:r>
      <w:r w:rsidR="00241B0F">
        <w:rPr>
          <w:rFonts w:ascii="Garamond" w:hAnsi="Garamond"/>
          <w:sz w:val="32"/>
          <w:szCs w:val="32"/>
        </w:rPr>
        <w:t>il Comitato formula tra le altre un</w:t>
      </w:r>
      <w:r w:rsidR="00474E17">
        <w:rPr>
          <w:rFonts w:ascii="Garamond" w:hAnsi="Garamond"/>
          <w:sz w:val="32"/>
          <w:szCs w:val="32"/>
        </w:rPr>
        <w:t>a condizione volta a</w:t>
      </w:r>
      <w:r w:rsidR="00241B0F">
        <w:rPr>
          <w:rFonts w:ascii="Garamond" w:hAnsi="Garamond"/>
          <w:sz w:val="32"/>
          <w:szCs w:val="32"/>
        </w:rPr>
        <w:t>d</w:t>
      </w:r>
      <w:r w:rsidR="00474E17">
        <w:rPr>
          <w:rFonts w:ascii="Garamond" w:hAnsi="Garamond"/>
          <w:sz w:val="32"/>
          <w:szCs w:val="32"/>
        </w:rPr>
        <w:t xml:space="preserve"> </w:t>
      </w:r>
      <w:r w:rsidR="00241B0F">
        <w:rPr>
          <w:rFonts w:ascii="Garamond" w:hAnsi="Garamond"/>
          <w:sz w:val="32"/>
          <w:szCs w:val="32"/>
        </w:rPr>
        <w:t>utilizzare la delega anche per assicurare i necessari coordinamenti normativi</w:t>
      </w:r>
      <w:r w:rsidR="00474E17">
        <w:rPr>
          <w:rFonts w:ascii="Garamond" w:hAnsi="Garamond"/>
          <w:sz w:val="32"/>
          <w:szCs w:val="32"/>
        </w:rPr>
        <w:t xml:space="preserve">: </w:t>
      </w:r>
      <w:r w:rsidR="00474E17" w:rsidRPr="003505A6">
        <w:rPr>
          <w:rFonts w:ascii="Garamond" w:hAnsi="Garamond"/>
          <w:sz w:val="32"/>
          <w:szCs w:val="32"/>
        </w:rPr>
        <w:t>«</w:t>
      </w:r>
      <w:r w:rsidR="00474E17" w:rsidRPr="00474E17">
        <w:rPr>
          <w:rFonts w:ascii="Garamond" w:hAnsi="Garamond"/>
          <w:sz w:val="32"/>
          <w:szCs w:val="32"/>
        </w:rPr>
        <w:t xml:space="preserve">all'articolo 5, che conferisce una delega al Governo per l'adozione di decreti legislativi volti alla rigenerazione delle aree urbane degradate, intervenendo su un settore che ha formato, anche in tempi recenti, oggetto di numerosi interventi normativi, si preveda espressamente che nell'esercizio della delega il Governo debba </w:t>
      </w:r>
      <w:r w:rsidR="00474E17" w:rsidRPr="00474E17">
        <w:rPr>
          <w:rFonts w:ascii="Garamond" w:hAnsi="Garamond"/>
          <w:sz w:val="32"/>
          <w:szCs w:val="32"/>
        </w:rPr>
        <w:lastRenderedPageBreak/>
        <w:t>assicurare il coordinamento con la normativa vigente</w:t>
      </w:r>
      <w:r w:rsidR="00474E17" w:rsidRPr="003505A6">
        <w:rPr>
          <w:rFonts w:ascii="Garamond" w:hAnsi="Garamond"/>
          <w:sz w:val="32"/>
          <w:szCs w:val="32"/>
        </w:rPr>
        <w:t>»</w:t>
      </w:r>
      <w:r w:rsidR="00241B0F">
        <w:rPr>
          <w:rFonts w:ascii="Garamond" w:hAnsi="Garamond"/>
          <w:sz w:val="32"/>
          <w:szCs w:val="32"/>
        </w:rPr>
        <w:t xml:space="preserve"> </w:t>
      </w:r>
      <w:r w:rsidR="00241B0F" w:rsidRPr="005E417A">
        <w:rPr>
          <w:rFonts w:ascii="Garamond" w:hAnsi="Garamond"/>
          <w:sz w:val="32"/>
          <w:szCs w:val="32"/>
        </w:rPr>
        <w:t>(</w:t>
      </w:r>
      <w:hyperlink r:id="rId25" w:anchor="S10c01" w:history="1">
        <w:r w:rsidR="00241B0F" w:rsidRPr="005E417A">
          <w:rPr>
            <w:rStyle w:val="Collegamentoipertestuale"/>
            <w:rFonts w:ascii="Garamond" w:hAnsi="Garamond"/>
            <w:sz w:val="32"/>
            <w:szCs w:val="32"/>
          </w:rPr>
          <w:t xml:space="preserve">Scheda 10, condizione </w:t>
        </w:r>
        <w:r w:rsidR="005E417A" w:rsidRPr="005E417A">
          <w:rPr>
            <w:rStyle w:val="Collegamentoipertestuale"/>
            <w:rFonts w:ascii="Garamond" w:hAnsi="Garamond"/>
            <w:sz w:val="32"/>
            <w:szCs w:val="32"/>
          </w:rPr>
          <w:t>1</w:t>
        </w:r>
      </w:hyperlink>
      <w:r w:rsidR="00241B0F" w:rsidRPr="005E417A">
        <w:rPr>
          <w:rFonts w:ascii="Garamond" w:hAnsi="Garamond"/>
          <w:sz w:val="32"/>
          <w:szCs w:val="32"/>
        </w:rPr>
        <w:t>)</w:t>
      </w:r>
      <w:r w:rsidR="00A66E87" w:rsidRPr="005E417A">
        <w:rPr>
          <w:rFonts w:ascii="Garamond" w:hAnsi="Garamond"/>
          <w:sz w:val="32"/>
          <w:szCs w:val="32"/>
        </w:rPr>
        <w:t>;</w:t>
      </w:r>
    </w:p>
    <w:p w:rsidR="00666ECD" w:rsidRDefault="00666ECD" w:rsidP="00A66E87">
      <w:pPr>
        <w:rPr>
          <w:rFonts w:ascii="Garamond" w:hAnsi="Garamond"/>
          <w:sz w:val="32"/>
          <w:szCs w:val="32"/>
        </w:rPr>
      </w:pPr>
      <w:r w:rsidRPr="003505A6">
        <w:rPr>
          <w:rFonts w:ascii="Garamond" w:hAnsi="Garamond"/>
          <w:sz w:val="32"/>
          <w:szCs w:val="32"/>
        </w:rPr>
        <w:t>▪</w:t>
      </w:r>
      <w:r>
        <w:rPr>
          <w:rFonts w:ascii="Garamond" w:hAnsi="Garamond"/>
          <w:sz w:val="32"/>
          <w:szCs w:val="32"/>
        </w:rPr>
        <w:t xml:space="preserve"> </w:t>
      </w:r>
      <w:r w:rsidR="00241B0F">
        <w:rPr>
          <w:rFonts w:ascii="Garamond" w:hAnsi="Garamond"/>
          <w:sz w:val="32"/>
          <w:szCs w:val="32"/>
        </w:rPr>
        <w:t xml:space="preserve">nelle premesse del parere </w:t>
      </w:r>
      <w:r w:rsidR="00144796">
        <w:rPr>
          <w:rFonts w:ascii="Garamond" w:hAnsi="Garamond"/>
          <w:sz w:val="32"/>
          <w:szCs w:val="32"/>
        </w:rPr>
        <w:t>su</w:t>
      </w:r>
      <w:r>
        <w:rPr>
          <w:rFonts w:ascii="Garamond" w:hAnsi="Garamond"/>
          <w:sz w:val="32"/>
          <w:szCs w:val="32"/>
        </w:rPr>
        <w:t>l</w:t>
      </w:r>
      <w:r w:rsidR="00241B0F">
        <w:rPr>
          <w:rFonts w:ascii="Garamond" w:hAnsi="Garamond"/>
          <w:sz w:val="32"/>
          <w:szCs w:val="32"/>
        </w:rPr>
        <w:t>la</w:t>
      </w:r>
      <w:r>
        <w:rPr>
          <w:rFonts w:ascii="Garamond" w:hAnsi="Garamond"/>
          <w:sz w:val="32"/>
          <w:szCs w:val="32"/>
        </w:rPr>
        <w:t xml:space="preserve"> </w:t>
      </w:r>
      <w:r w:rsidRPr="00666ECD">
        <w:rPr>
          <w:rFonts w:ascii="Garamond" w:hAnsi="Garamond"/>
          <w:sz w:val="32"/>
          <w:szCs w:val="32"/>
          <w:u w:val="single"/>
        </w:rPr>
        <w:t>pro</w:t>
      </w:r>
      <w:r w:rsidR="00241B0F">
        <w:rPr>
          <w:rFonts w:ascii="Garamond" w:hAnsi="Garamond"/>
          <w:sz w:val="32"/>
          <w:szCs w:val="32"/>
          <w:u w:val="single"/>
        </w:rPr>
        <w:t>posta</w:t>
      </w:r>
      <w:r w:rsidRPr="00666ECD">
        <w:rPr>
          <w:rFonts w:ascii="Garamond" w:hAnsi="Garamond"/>
          <w:sz w:val="32"/>
          <w:szCs w:val="32"/>
          <w:u w:val="single"/>
        </w:rPr>
        <w:t xml:space="preserve"> di legge C. 2212</w:t>
      </w:r>
      <w:r>
        <w:rPr>
          <w:rFonts w:ascii="Garamond" w:hAnsi="Garamond"/>
          <w:sz w:val="32"/>
          <w:szCs w:val="32"/>
        </w:rPr>
        <w:t xml:space="preserve"> (gestione acque pubbliche e servizio idrico) </w:t>
      </w:r>
      <w:r w:rsidR="00241B0F">
        <w:rPr>
          <w:rFonts w:ascii="Garamond" w:hAnsi="Garamond"/>
          <w:sz w:val="32"/>
          <w:szCs w:val="32"/>
        </w:rPr>
        <w:t>si annota che essa,</w:t>
      </w:r>
      <w:r>
        <w:rPr>
          <w:rFonts w:ascii="Garamond" w:hAnsi="Garamond"/>
          <w:sz w:val="32"/>
          <w:szCs w:val="32"/>
        </w:rPr>
        <w:t xml:space="preserve"> </w:t>
      </w:r>
      <w:r w:rsidRPr="003505A6">
        <w:rPr>
          <w:rFonts w:ascii="Garamond" w:hAnsi="Garamond"/>
          <w:sz w:val="32"/>
          <w:szCs w:val="32"/>
        </w:rPr>
        <w:t>«</w:t>
      </w:r>
      <w:r w:rsidRPr="00666ECD">
        <w:rPr>
          <w:rFonts w:ascii="Garamond" w:hAnsi="Garamond"/>
          <w:sz w:val="32"/>
          <w:szCs w:val="32"/>
        </w:rPr>
        <w:t>nell’intervenire su di un settore che ha formato oggetto di una profonda stratificazione normativa, non sempre effettua gli opportuni coordinamenti con l’ordinamento vigente, al quale si sovrappone in alcuni casi ribadendo disposizioni già vigenti e, in numerosi altri casi, modificando i regimi giuridici senza procedere alle necessarie novelle e abrogazioni»</w:t>
      </w:r>
      <w:r w:rsidR="0080468F">
        <w:rPr>
          <w:rFonts w:ascii="Garamond" w:hAnsi="Garamond"/>
          <w:sz w:val="32"/>
          <w:szCs w:val="32"/>
        </w:rPr>
        <w:t xml:space="preserve"> (</w:t>
      </w:r>
      <w:hyperlink r:id="rId26" w:anchor="S12a02" w:history="1">
        <w:r w:rsidR="0080468F" w:rsidRPr="0080468F">
          <w:rPr>
            <w:rStyle w:val="Collegamentoipertestuale"/>
            <w:rFonts w:ascii="Garamond" w:hAnsi="Garamond"/>
            <w:sz w:val="32"/>
            <w:szCs w:val="32"/>
          </w:rPr>
          <w:t>Scheda 12, punto 2</w:t>
        </w:r>
      </w:hyperlink>
      <w:r w:rsidR="0080468F">
        <w:rPr>
          <w:rFonts w:ascii="Garamond" w:hAnsi="Garamond"/>
          <w:sz w:val="32"/>
          <w:szCs w:val="32"/>
        </w:rPr>
        <w:t>)</w:t>
      </w:r>
      <w:r w:rsidRPr="00666ECD">
        <w:rPr>
          <w:rFonts w:ascii="Garamond" w:hAnsi="Garamond"/>
          <w:sz w:val="32"/>
          <w:szCs w:val="32"/>
        </w:rPr>
        <w:t>;</w:t>
      </w:r>
      <w:r w:rsidR="0080468F">
        <w:rPr>
          <w:rFonts w:ascii="Garamond" w:hAnsi="Garamond"/>
          <w:sz w:val="32"/>
          <w:szCs w:val="32"/>
        </w:rPr>
        <w:t xml:space="preserve"> </w:t>
      </w:r>
      <w:r w:rsidR="00932C8B">
        <w:rPr>
          <w:rFonts w:ascii="Garamond" w:hAnsi="Garamond"/>
          <w:sz w:val="32"/>
          <w:szCs w:val="32"/>
        </w:rPr>
        <w:t>all’elenco</w:t>
      </w:r>
      <w:r w:rsidR="0080468F">
        <w:rPr>
          <w:rFonts w:ascii="Garamond" w:hAnsi="Garamond"/>
          <w:sz w:val="32"/>
          <w:szCs w:val="32"/>
        </w:rPr>
        <w:t xml:space="preserve"> </w:t>
      </w:r>
      <w:r w:rsidR="00932C8B">
        <w:rPr>
          <w:rFonts w:ascii="Garamond" w:hAnsi="Garamond"/>
          <w:sz w:val="32"/>
          <w:szCs w:val="32"/>
        </w:rPr>
        <w:t>del</w:t>
      </w:r>
      <w:r w:rsidR="0080468F">
        <w:rPr>
          <w:rFonts w:ascii="Garamond" w:hAnsi="Garamond"/>
          <w:sz w:val="32"/>
          <w:szCs w:val="32"/>
        </w:rPr>
        <w:t xml:space="preserve">le disposizioni non coordinate </w:t>
      </w:r>
      <w:r w:rsidR="00932C8B">
        <w:rPr>
          <w:rFonts w:ascii="Garamond" w:hAnsi="Garamond"/>
          <w:sz w:val="32"/>
          <w:szCs w:val="32"/>
        </w:rPr>
        <w:t>segue quest</w:t>
      </w:r>
      <w:r w:rsidR="0080468F">
        <w:rPr>
          <w:rFonts w:ascii="Garamond" w:hAnsi="Garamond"/>
          <w:sz w:val="32"/>
          <w:szCs w:val="32"/>
        </w:rPr>
        <w:t>a condizione</w:t>
      </w:r>
      <w:r w:rsidR="00C952E0">
        <w:rPr>
          <w:rFonts w:ascii="Garamond" w:hAnsi="Garamond"/>
          <w:sz w:val="32"/>
          <w:szCs w:val="32"/>
        </w:rPr>
        <w:t>, analoga alla precedente</w:t>
      </w:r>
      <w:r w:rsidR="00932C8B">
        <w:rPr>
          <w:rFonts w:ascii="Garamond" w:hAnsi="Garamond"/>
          <w:sz w:val="32"/>
          <w:szCs w:val="32"/>
        </w:rPr>
        <w:t>:</w:t>
      </w:r>
      <w:r w:rsidR="0080468F">
        <w:rPr>
          <w:rFonts w:ascii="Garamond" w:hAnsi="Garamond"/>
          <w:sz w:val="32"/>
          <w:szCs w:val="32"/>
        </w:rPr>
        <w:t xml:space="preserve"> </w:t>
      </w:r>
      <w:r w:rsidR="0080468F" w:rsidRPr="003505A6">
        <w:rPr>
          <w:rFonts w:ascii="Garamond" w:hAnsi="Garamond"/>
          <w:sz w:val="32"/>
          <w:szCs w:val="32"/>
        </w:rPr>
        <w:t>«</w:t>
      </w:r>
      <w:r w:rsidR="0080468F" w:rsidRPr="0080468F">
        <w:rPr>
          <w:rFonts w:ascii="Garamond" w:hAnsi="Garamond"/>
          <w:sz w:val="32"/>
          <w:szCs w:val="32"/>
        </w:rPr>
        <w:t>si ponga riparo ai numerosi difetti di coordinamento con l’ordinamento vigente indicati in premessa e, segnatamente, a quelli riscontrati con il così detto codice ambientale di cui al decreto legislativo n. 152 del 2006, al quale in più punti la disciplina in oggetto si sovrappone, eventualmente valutando l’eventualità di aggiungere alla delega conferita al Governo dall’articolo 12, comma 2, un nuovo oggetto, consistente nel coordinamento della normativa introdotta dalla presente legge con l’ordinamento vigente</w:t>
      </w:r>
      <w:r w:rsidR="0080468F" w:rsidRPr="00666ECD">
        <w:rPr>
          <w:rFonts w:ascii="Garamond" w:hAnsi="Garamond"/>
          <w:sz w:val="32"/>
          <w:szCs w:val="32"/>
        </w:rPr>
        <w:t>»</w:t>
      </w:r>
      <w:r w:rsidR="0080468F">
        <w:rPr>
          <w:rFonts w:ascii="Garamond" w:hAnsi="Garamond"/>
          <w:sz w:val="32"/>
          <w:szCs w:val="32"/>
        </w:rPr>
        <w:t>;</w:t>
      </w:r>
    </w:p>
    <w:p w:rsidR="0080468F" w:rsidRDefault="0080468F" w:rsidP="00A66E87">
      <w:pPr>
        <w:rPr>
          <w:rFonts w:ascii="Garamond" w:hAnsi="Garamond"/>
          <w:sz w:val="32"/>
          <w:szCs w:val="32"/>
        </w:rPr>
      </w:pPr>
      <w:r w:rsidRPr="003505A6">
        <w:rPr>
          <w:rFonts w:ascii="Garamond" w:hAnsi="Garamond"/>
          <w:sz w:val="32"/>
          <w:szCs w:val="32"/>
        </w:rPr>
        <w:t>▪</w:t>
      </w:r>
      <w:r w:rsidR="002D1608">
        <w:rPr>
          <w:rFonts w:ascii="Garamond" w:hAnsi="Garamond"/>
          <w:sz w:val="32"/>
          <w:szCs w:val="32"/>
        </w:rPr>
        <w:t xml:space="preserve"> </w:t>
      </w:r>
      <w:r w:rsidR="00C952E0">
        <w:rPr>
          <w:rFonts w:ascii="Garamond" w:hAnsi="Garamond"/>
          <w:sz w:val="32"/>
          <w:szCs w:val="32"/>
        </w:rPr>
        <w:t xml:space="preserve">nelle premesse del parere </w:t>
      </w:r>
      <w:r w:rsidR="00144796">
        <w:rPr>
          <w:rFonts w:ascii="Garamond" w:hAnsi="Garamond"/>
          <w:sz w:val="32"/>
          <w:szCs w:val="32"/>
        </w:rPr>
        <w:t>su</w:t>
      </w:r>
      <w:r w:rsidR="002D1608">
        <w:rPr>
          <w:rFonts w:ascii="Garamond" w:hAnsi="Garamond"/>
          <w:sz w:val="32"/>
          <w:szCs w:val="32"/>
        </w:rPr>
        <w:t>l</w:t>
      </w:r>
      <w:r w:rsidR="00C952E0">
        <w:rPr>
          <w:rFonts w:ascii="Garamond" w:hAnsi="Garamond"/>
          <w:sz w:val="32"/>
          <w:szCs w:val="32"/>
        </w:rPr>
        <w:t>la</w:t>
      </w:r>
      <w:r w:rsidR="002D1608">
        <w:rPr>
          <w:rFonts w:ascii="Garamond" w:hAnsi="Garamond"/>
          <w:sz w:val="32"/>
          <w:szCs w:val="32"/>
        </w:rPr>
        <w:t xml:space="preserve"> </w:t>
      </w:r>
      <w:r w:rsidR="002D1608" w:rsidRPr="00666ECD">
        <w:rPr>
          <w:rFonts w:ascii="Garamond" w:hAnsi="Garamond"/>
          <w:sz w:val="32"/>
          <w:szCs w:val="32"/>
          <w:u w:val="single"/>
        </w:rPr>
        <w:t>pro</w:t>
      </w:r>
      <w:r w:rsidR="00C952E0">
        <w:rPr>
          <w:rFonts w:ascii="Garamond" w:hAnsi="Garamond"/>
          <w:sz w:val="32"/>
          <w:szCs w:val="32"/>
          <w:u w:val="single"/>
        </w:rPr>
        <w:t>posta</w:t>
      </w:r>
      <w:r w:rsidR="002D1608" w:rsidRPr="00666ECD">
        <w:rPr>
          <w:rFonts w:ascii="Garamond" w:hAnsi="Garamond"/>
          <w:sz w:val="32"/>
          <w:szCs w:val="32"/>
          <w:u w:val="single"/>
        </w:rPr>
        <w:t xml:space="preserve"> di legge </w:t>
      </w:r>
      <w:r w:rsidR="002D1608">
        <w:rPr>
          <w:rFonts w:ascii="Garamond" w:hAnsi="Garamond"/>
          <w:sz w:val="32"/>
          <w:szCs w:val="32"/>
          <w:u w:val="single"/>
        </w:rPr>
        <w:t>C.2839 e abb.</w:t>
      </w:r>
      <w:r w:rsidR="002D1608">
        <w:rPr>
          <w:rFonts w:ascii="Garamond" w:hAnsi="Garamond"/>
          <w:sz w:val="32"/>
          <w:szCs w:val="32"/>
        </w:rPr>
        <w:t xml:space="preserve"> (disciplina dei partiti politici) il Comitato rileva che </w:t>
      </w:r>
      <w:r w:rsidR="002D1608" w:rsidRPr="002D1608">
        <w:rPr>
          <w:rFonts w:ascii="Garamond" w:hAnsi="Garamond"/>
          <w:sz w:val="32"/>
          <w:szCs w:val="32"/>
        </w:rPr>
        <w:t>«il testo unificato interviene su una materia oggetto di una significativa stratificazione normativa, essendo stata investita, negli ultimi anni, da profonde rivisitazioni in particolare ad opera della legge 6 luglio 2012, n. 96 e del decreto-legge 28 dicembre 2013, n. 149; al riguardo, si segnala che talune delle disposizioni del testo e, in particolare, l’articolo 2, comma 3, l’articolo 3, l’articolo 6, comma 8 e gli articoli 7-</w:t>
      </w:r>
      <w:r w:rsidR="002D1608" w:rsidRPr="002D1608">
        <w:rPr>
          <w:rFonts w:ascii="Garamond" w:hAnsi="Garamond"/>
          <w:i/>
          <w:sz w:val="32"/>
          <w:szCs w:val="32"/>
        </w:rPr>
        <w:t>bis</w:t>
      </w:r>
      <w:r w:rsidR="002D1608" w:rsidRPr="002D1608">
        <w:rPr>
          <w:rFonts w:ascii="Garamond" w:hAnsi="Garamond"/>
          <w:sz w:val="32"/>
          <w:szCs w:val="32"/>
        </w:rPr>
        <w:t xml:space="preserve"> e 8 sono opportunamente formulati in termini di novella e che l’articolo 9 abroga alcune delle disposizioni contenute nei due atti legislativi già richiamati, nonché nelle leggi 18 novembre 1981, n. 659 e 5 luglio 1982, n. 441, in quanto superate dalle disposizioni del testo all’esame. Altre disposizioni fanno invece sistema e talora si affiancano o </w:t>
      </w:r>
      <w:r w:rsidR="002D1608" w:rsidRPr="002D1608">
        <w:rPr>
          <w:rFonts w:ascii="Garamond" w:hAnsi="Garamond"/>
          <w:sz w:val="32"/>
          <w:szCs w:val="32"/>
        </w:rPr>
        <w:lastRenderedPageBreak/>
        <w:t>si sovrappongono alla normativa vigente»</w:t>
      </w:r>
      <w:r w:rsidR="002D1608">
        <w:rPr>
          <w:rFonts w:ascii="Garamond" w:hAnsi="Garamond"/>
          <w:sz w:val="32"/>
          <w:szCs w:val="32"/>
        </w:rPr>
        <w:t xml:space="preserve"> </w:t>
      </w:r>
      <w:r w:rsidR="00573AC2">
        <w:rPr>
          <w:rFonts w:ascii="Garamond" w:hAnsi="Garamond"/>
          <w:sz w:val="32"/>
          <w:szCs w:val="32"/>
        </w:rPr>
        <w:t>(</w:t>
      </w:r>
      <w:hyperlink r:id="rId27" w:anchor="S17a02" w:history="1">
        <w:r w:rsidR="00573AC2" w:rsidRPr="00573AC2">
          <w:rPr>
            <w:rStyle w:val="Collegamentoipertestuale"/>
            <w:rFonts w:ascii="Garamond" w:hAnsi="Garamond"/>
            <w:sz w:val="32"/>
            <w:szCs w:val="32"/>
          </w:rPr>
          <w:t>Scheda 17, punto 2</w:t>
        </w:r>
      </w:hyperlink>
      <w:r w:rsidR="00573AC2">
        <w:rPr>
          <w:rFonts w:ascii="Garamond" w:hAnsi="Garamond"/>
          <w:sz w:val="32"/>
          <w:szCs w:val="32"/>
        </w:rPr>
        <w:t xml:space="preserve">); </w:t>
      </w:r>
      <w:r w:rsidR="002D1608">
        <w:rPr>
          <w:rFonts w:ascii="Garamond" w:hAnsi="Garamond"/>
          <w:sz w:val="32"/>
          <w:szCs w:val="32"/>
        </w:rPr>
        <w:t xml:space="preserve">ne deriva la conseguente condizione: </w:t>
      </w:r>
      <w:r w:rsidR="002D1608" w:rsidRPr="002D1608">
        <w:rPr>
          <w:rFonts w:ascii="Garamond" w:hAnsi="Garamond"/>
          <w:sz w:val="32"/>
          <w:szCs w:val="32"/>
        </w:rPr>
        <w:t>«considerato che il testo unificato interviene su di un settore che ha formato oggetto, anche in tempi recenti, di una significativa stratificazione normativa, che rende in alcuni casi difficoltosa l’individuazione della disciplina concretamente applicabile, si verifichi l’opportunità - come peraltro previsto da talune delle proposte di legge confluite nel testo - di delegare il Governo all’elaborazione di un testo unico di natura ricognitiva che raccolga in un organico contesto la normativa in materia di disciplina, contribuzione e trasparenza dei partiti, movimenti e gruppi politici»</w:t>
      </w:r>
      <w:r w:rsidR="002D1608">
        <w:rPr>
          <w:rFonts w:ascii="Garamond" w:hAnsi="Garamond"/>
          <w:sz w:val="32"/>
          <w:szCs w:val="32"/>
        </w:rPr>
        <w:t>.</w:t>
      </w:r>
    </w:p>
    <w:p w:rsidR="002D1608" w:rsidRPr="002D1608" w:rsidRDefault="002D1608" w:rsidP="00A66E87">
      <w:pPr>
        <w:rPr>
          <w:rFonts w:ascii="Garamond" w:hAnsi="Garamond"/>
          <w:sz w:val="32"/>
          <w:szCs w:val="32"/>
        </w:rPr>
      </w:pPr>
    </w:p>
    <w:p w:rsidR="000A3BAA" w:rsidRPr="003505A6" w:rsidRDefault="000A3BAA" w:rsidP="00BB539E">
      <w:pPr>
        <w:rPr>
          <w:rFonts w:ascii="Garamond" w:hAnsi="Garamond"/>
          <w:sz w:val="32"/>
          <w:szCs w:val="32"/>
        </w:rPr>
      </w:pPr>
    </w:p>
    <w:p w:rsidR="00232052" w:rsidRPr="003505A6" w:rsidRDefault="00976D09" w:rsidP="00480219">
      <w:pPr>
        <w:pStyle w:val="Titolo2"/>
        <w:rPr>
          <w:rFonts w:ascii="Garamond" w:hAnsi="Garamond"/>
          <w:i/>
          <w:color w:val="0000FF"/>
          <w:sz w:val="28"/>
          <w:szCs w:val="28"/>
        </w:rPr>
      </w:pPr>
      <w:bookmarkStart w:id="37" w:name="_Toc458677969"/>
      <w:r w:rsidRPr="001608F1">
        <w:rPr>
          <w:rFonts w:ascii="Garamond" w:hAnsi="Garamond"/>
          <w:i/>
          <w:color w:val="0000FF"/>
          <w:sz w:val="28"/>
          <w:szCs w:val="28"/>
        </w:rPr>
        <w:t>4.4.</w:t>
      </w:r>
      <w:r w:rsidR="00F038C0" w:rsidRPr="001608F1">
        <w:rPr>
          <w:rFonts w:ascii="Garamond" w:hAnsi="Garamond"/>
          <w:i/>
          <w:color w:val="0000FF"/>
          <w:sz w:val="28"/>
          <w:szCs w:val="28"/>
        </w:rPr>
        <w:t>3.</w:t>
      </w:r>
      <w:r w:rsidR="00CA7AB6" w:rsidRPr="001608F1">
        <w:rPr>
          <w:rFonts w:ascii="Garamond" w:hAnsi="Garamond"/>
          <w:i/>
          <w:color w:val="0000FF"/>
          <w:sz w:val="28"/>
          <w:szCs w:val="28"/>
        </w:rPr>
        <w:t xml:space="preserve"> </w:t>
      </w:r>
      <w:r w:rsidR="007B17B5" w:rsidRPr="001608F1">
        <w:rPr>
          <w:rFonts w:ascii="Garamond" w:hAnsi="Garamond"/>
          <w:i/>
          <w:color w:val="0000FF"/>
          <w:sz w:val="28"/>
          <w:szCs w:val="28"/>
        </w:rPr>
        <w:t>Discipline a carattere temporaneo, transitorio</w:t>
      </w:r>
      <w:r w:rsidR="00CB1DA2" w:rsidRPr="001608F1">
        <w:rPr>
          <w:rFonts w:ascii="Garamond" w:hAnsi="Garamond"/>
          <w:i/>
          <w:color w:val="0000FF"/>
          <w:sz w:val="28"/>
          <w:szCs w:val="28"/>
        </w:rPr>
        <w:t>,</w:t>
      </w:r>
      <w:r w:rsidR="007B17B5" w:rsidRPr="001608F1">
        <w:rPr>
          <w:rFonts w:ascii="Garamond" w:hAnsi="Garamond"/>
          <w:i/>
          <w:color w:val="0000FF"/>
          <w:sz w:val="28"/>
          <w:szCs w:val="28"/>
        </w:rPr>
        <w:t xml:space="preserve"> sperimentale</w:t>
      </w:r>
      <w:r w:rsidR="00CB1DA2" w:rsidRPr="001608F1">
        <w:rPr>
          <w:rFonts w:ascii="Garamond" w:hAnsi="Garamond"/>
          <w:i/>
          <w:color w:val="0000FF"/>
          <w:sz w:val="28"/>
          <w:szCs w:val="28"/>
        </w:rPr>
        <w:t xml:space="preserve"> o derogatorio</w:t>
      </w:r>
      <w:bookmarkEnd w:id="37"/>
    </w:p>
    <w:p w:rsidR="00F6198F" w:rsidRDefault="00A860E2" w:rsidP="00BB539E">
      <w:pPr>
        <w:rPr>
          <w:rFonts w:ascii="Garamond" w:hAnsi="Garamond"/>
          <w:sz w:val="32"/>
          <w:szCs w:val="32"/>
        </w:rPr>
      </w:pPr>
      <w:r w:rsidRPr="003505A6">
        <w:rPr>
          <w:rFonts w:ascii="Garamond" w:hAnsi="Garamond"/>
          <w:sz w:val="32"/>
          <w:szCs w:val="32"/>
        </w:rPr>
        <w:t>I decreti-legge che di volta in volta prorogano la partecipazione italiana alle missioni internazionali ed alle iniziative per il consolidamento dei processi di pace e di stabilizzazione</w:t>
      </w:r>
      <w:r w:rsidR="00480219">
        <w:rPr>
          <w:rFonts w:ascii="Garamond" w:hAnsi="Garamond"/>
          <w:sz w:val="32"/>
          <w:szCs w:val="32"/>
        </w:rPr>
        <w:t xml:space="preserve"> </w:t>
      </w:r>
      <w:r w:rsidRPr="003505A6">
        <w:rPr>
          <w:rFonts w:ascii="Garamond" w:hAnsi="Garamond"/>
          <w:sz w:val="32"/>
          <w:szCs w:val="32"/>
        </w:rPr>
        <w:t>presentano generalmente profili di interesse sul versante della stratificazione e del coordinamento normativi, che in genere in</w:t>
      </w:r>
      <w:r w:rsidR="00AF2177">
        <w:rPr>
          <w:rFonts w:ascii="Garamond" w:hAnsi="Garamond"/>
          <w:sz w:val="32"/>
          <w:szCs w:val="32"/>
        </w:rPr>
        <w:t>vesto</w:t>
      </w:r>
      <w:r w:rsidRPr="003505A6">
        <w:rPr>
          <w:rFonts w:ascii="Garamond" w:hAnsi="Garamond"/>
          <w:sz w:val="32"/>
          <w:szCs w:val="32"/>
        </w:rPr>
        <w:t xml:space="preserve">no – ed è il motivo per cui vengono trattati in questo paragrafo – disposizioni a carattere derogatorio, originariamente </w:t>
      </w:r>
      <w:r w:rsidR="000A33AE">
        <w:rPr>
          <w:rFonts w:ascii="Garamond" w:hAnsi="Garamond"/>
          <w:sz w:val="32"/>
          <w:szCs w:val="32"/>
        </w:rPr>
        <w:t>concepite</w:t>
      </w:r>
      <w:r w:rsidRPr="003505A6">
        <w:rPr>
          <w:rFonts w:ascii="Garamond" w:hAnsi="Garamond"/>
          <w:sz w:val="32"/>
          <w:szCs w:val="32"/>
        </w:rPr>
        <w:t xml:space="preserve"> per un limitato periodo di tempo e poi via via prorogat</w:t>
      </w:r>
      <w:r w:rsidR="00AF2177">
        <w:rPr>
          <w:rFonts w:ascii="Garamond" w:hAnsi="Garamond"/>
          <w:sz w:val="32"/>
          <w:szCs w:val="32"/>
        </w:rPr>
        <w:t>e</w:t>
      </w:r>
      <w:r w:rsidRPr="003505A6">
        <w:rPr>
          <w:rFonts w:ascii="Garamond" w:hAnsi="Garamond"/>
          <w:sz w:val="32"/>
          <w:szCs w:val="32"/>
        </w:rPr>
        <w:t>. Nei dieci mesi di riferimento il Comitato si è pronunciato su due decreti-legge</w:t>
      </w:r>
      <w:r w:rsidR="005831D7">
        <w:rPr>
          <w:rFonts w:ascii="Garamond" w:hAnsi="Garamond"/>
          <w:sz w:val="32"/>
          <w:szCs w:val="32"/>
        </w:rPr>
        <w:t xml:space="preserve"> riguardanti la proroga di missioni internazionali</w:t>
      </w:r>
      <w:r w:rsidRPr="003505A6">
        <w:rPr>
          <w:rFonts w:ascii="Garamond" w:hAnsi="Garamond"/>
          <w:sz w:val="32"/>
          <w:szCs w:val="32"/>
        </w:rPr>
        <w:t xml:space="preserve">: il n. </w:t>
      </w:r>
      <w:r w:rsidR="00480219">
        <w:rPr>
          <w:rFonts w:ascii="Garamond" w:hAnsi="Garamond"/>
          <w:sz w:val="32"/>
          <w:szCs w:val="32"/>
        </w:rPr>
        <w:t>1</w:t>
      </w:r>
      <w:r w:rsidRPr="003505A6">
        <w:rPr>
          <w:rFonts w:ascii="Garamond" w:hAnsi="Garamond"/>
          <w:sz w:val="32"/>
          <w:szCs w:val="32"/>
        </w:rPr>
        <w:t>7</w:t>
      </w:r>
      <w:r w:rsidR="00480219">
        <w:rPr>
          <w:rFonts w:ascii="Garamond" w:hAnsi="Garamond"/>
          <w:sz w:val="32"/>
          <w:szCs w:val="32"/>
        </w:rPr>
        <w:t xml:space="preserve">4 del 2015 e </w:t>
      </w:r>
      <w:r w:rsidRPr="003505A6">
        <w:rPr>
          <w:rFonts w:ascii="Garamond" w:hAnsi="Garamond"/>
          <w:sz w:val="32"/>
          <w:szCs w:val="32"/>
        </w:rPr>
        <w:t xml:space="preserve">il n. </w:t>
      </w:r>
      <w:r w:rsidR="00480219">
        <w:rPr>
          <w:rFonts w:ascii="Garamond" w:hAnsi="Garamond"/>
          <w:sz w:val="32"/>
          <w:szCs w:val="32"/>
        </w:rPr>
        <w:t>67</w:t>
      </w:r>
      <w:r w:rsidRPr="003505A6">
        <w:rPr>
          <w:rFonts w:ascii="Garamond" w:hAnsi="Garamond"/>
          <w:sz w:val="32"/>
          <w:szCs w:val="32"/>
        </w:rPr>
        <w:t xml:space="preserve"> del 201</w:t>
      </w:r>
      <w:r w:rsidR="00480219">
        <w:rPr>
          <w:rFonts w:ascii="Garamond" w:hAnsi="Garamond"/>
          <w:sz w:val="32"/>
          <w:szCs w:val="32"/>
        </w:rPr>
        <w:t>6</w:t>
      </w:r>
      <w:r w:rsidR="000A57EC" w:rsidRPr="003505A6">
        <w:rPr>
          <w:rFonts w:ascii="Garamond" w:hAnsi="Garamond"/>
          <w:sz w:val="32"/>
          <w:szCs w:val="32"/>
        </w:rPr>
        <w:t>.</w:t>
      </w:r>
      <w:r w:rsidR="00F6198F">
        <w:rPr>
          <w:rFonts w:ascii="Garamond" w:hAnsi="Garamond"/>
          <w:sz w:val="32"/>
          <w:szCs w:val="32"/>
        </w:rPr>
        <w:t xml:space="preserve"> </w:t>
      </w:r>
    </w:p>
    <w:p w:rsidR="00564E78" w:rsidRDefault="00564E78" w:rsidP="00564E78">
      <w:pPr>
        <w:rPr>
          <w:rFonts w:ascii="Garamond" w:hAnsi="Garamond"/>
          <w:sz w:val="32"/>
          <w:szCs w:val="32"/>
        </w:rPr>
      </w:pPr>
      <w:r>
        <w:rPr>
          <w:rFonts w:ascii="Garamond" w:hAnsi="Garamond"/>
          <w:sz w:val="32"/>
          <w:szCs w:val="32"/>
        </w:rPr>
        <w:t>Il ragionamento svolto i</w:t>
      </w:r>
      <w:r w:rsidR="000A33AE">
        <w:rPr>
          <w:rFonts w:ascii="Garamond" w:hAnsi="Garamond"/>
          <w:sz w:val="32"/>
          <w:szCs w:val="32"/>
        </w:rPr>
        <w:t>n</w:t>
      </w:r>
      <w:r>
        <w:rPr>
          <w:rFonts w:ascii="Garamond" w:hAnsi="Garamond"/>
          <w:sz w:val="32"/>
          <w:szCs w:val="32"/>
        </w:rPr>
        <w:t xml:space="preserve"> </w:t>
      </w:r>
      <w:r w:rsidR="000A33AE">
        <w:rPr>
          <w:rFonts w:ascii="Garamond" w:hAnsi="Garamond"/>
          <w:sz w:val="32"/>
          <w:szCs w:val="32"/>
        </w:rPr>
        <w:t>entrambi i</w:t>
      </w:r>
      <w:r>
        <w:rPr>
          <w:rFonts w:ascii="Garamond" w:hAnsi="Garamond"/>
          <w:sz w:val="32"/>
          <w:szCs w:val="32"/>
        </w:rPr>
        <w:t xml:space="preserve"> pareri parte dalla constatazione che </w:t>
      </w:r>
      <w:r w:rsidR="00A60FE2" w:rsidRPr="00480219">
        <w:rPr>
          <w:rFonts w:ascii="Garamond" w:hAnsi="Garamond"/>
          <w:sz w:val="32"/>
          <w:szCs w:val="32"/>
        </w:rPr>
        <w:t xml:space="preserve">«secondo un procedimento consueto nei decreti-legge che regolano la partecipazione italiana alle missioni internazionali, il provvedimento – reiterando una modalità di produzione normativa i cui aspetti problematici sono stati più </w:t>
      </w:r>
      <w:r w:rsidR="00A60FE2" w:rsidRPr="00480219">
        <w:rPr>
          <w:rFonts w:ascii="Garamond" w:hAnsi="Garamond"/>
          <w:sz w:val="32"/>
          <w:szCs w:val="32"/>
        </w:rPr>
        <w:lastRenderedPageBreak/>
        <w:t>volte segnalati dal Comitato</w:t>
      </w:r>
      <w:r>
        <w:rPr>
          <w:rFonts w:ascii="Garamond" w:hAnsi="Garamond"/>
          <w:sz w:val="32"/>
          <w:szCs w:val="32"/>
        </w:rPr>
        <w:t xml:space="preserve"> […] </w:t>
      </w:r>
      <w:r w:rsidR="00A60FE2" w:rsidRPr="00480219">
        <w:rPr>
          <w:rFonts w:ascii="Garamond" w:hAnsi="Garamond"/>
          <w:sz w:val="32"/>
          <w:szCs w:val="32"/>
        </w:rPr>
        <w:t>effettua rinvii alla normativa esistente senza potersi però rapportare ad una disciplina unitaria che regolamenti stabilmente i profili giuridico-economici delle missioni stesse</w:t>
      </w:r>
      <w:r w:rsidRPr="00480219">
        <w:rPr>
          <w:rFonts w:ascii="Garamond" w:hAnsi="Garamond"/>
          <w:sz w:val="32"/>
          <w:szCs w:val="32"/>
        </w:rPr>
        <w:t>»</w:t>
      </w:r>
      <w:r>
        <w:rPr>
          <w:rFonts w:ascii="Garamond" w:hAnsi="Garamond"/>
          <w:sz w:val="32"/>
          <w:szCs w:val="32"/>
        </w:rPr>
        <w:t>;</w:t>
      </w:r>
    </w:p>
    <w:p w:rsidR="00A60FE2" w:rsidRDefault="00564E78" w:rsidP="003932A6">
      <w:pPr>
        <w:rPr>
          <w:rFonts w:ascii="Garamond" w:hAnsi="Garamond"/>
          <w:sz w:val="32"/>
          <w:szCs w:val="32"/>
        </w:rPr>
      </w:pPr>
      <w:r w:rsidRPr="00480219">
        <w:rPr>
          <w:rFonts w:ascii="Garamond" w:hAnsi="Garamond"/>
          <w:sz w:val="32"/>
          <w:szCs w:val="32"/>
        </w:rPr>
        <w:t>«</w:t>
      </w:r>
      <w:r>
        <w:rPr>
          <w:rFonts w:ascii="Garamond" w:hAnsi="Garamond"/>
          <w:sz w:val="32"/>
          <w:szCs w:val="32"/>
        </w:rPr>
        <w:t>p</w:t>
      </w:r>
      <w:r w:rsidR="00A60FE2" w:rsidRPr="00480219">
        <w:rPr>
          <w:rFonts w:ascii="Garamond" w:hAnsi="Garamond"/>
          <w:sz w:val="32"/>
          <w:szCs w:val="32"/>
        </w:rPr>
        <w:t>er la disciplina in materia penale, il provvedimento perpetua una lunga e complessa catena di rinvii normativi al decreto-legge n. 152 del 2009 e al decreto-legge n. 209 del 2008, senza al contempo aggiornare - in termini di rinvii alle disposizioni e agli istituti disciplinati dal Codice dell’ordinamento militare, di cui al decreto legislativo 15 marzo 2010, n. 66 - i richiami a quelle disposizioni che, in quanto confluite nel Codice in questione, sono state abrogate nella fonte originaria»</w:t>
      </w:r>
      <w:r w:rsidR="00A60FE2">
        <w:rPr>
          <w:rFonts w:ascii="Garamond" w:hAnsi="Garamond"/>
          <w:sz w:val="32"/>
          <w:szCs w:val="32"/>
        </w:rPr>
        <w:t xml:space="preserve"> (</w:t>
      </w:r>
      <w:hyperlink r:id="rId28" w:anchor="S01a03" w:history="1">
        <w:r w:rsidR="00A60FE2" w:rsidRPr="00480219">
          <w:rPr>
            <w:rStyle w:val="Collegamentoipertestuale"/>
            <w:rFonts w:ascii="Garamond" w:hAnsi="Garamond"/>
            <w:sz w:val="32"/>
            <w:szCs w:val="32"/>
          </w:rPr>
          <w:t>Scheda 1, punto 3</w:t>
        </w:r>
      </w:hyperlink>
      <w:r w:rsidR="00A60FE2">
        <w:rPr>
          <w:rFonts w:ascii="Garamond" w:hAnsi="Garamond"/>
          <w:sz w:val="32"/>
          <w:szCs w:val="32"/>
        </w:rPr>
        <w:t>)</w:t>
      </w:r>
      <w:r>
        <w:rPr>
          <w:rFonts w:ascii="Garamond" w:hAnsi="Garamond"/>
          <w:sz w:val="32"/>
          <w:szCs w:val="32"/>
        </w:rPr>
        <w:t xml:space="preserve"> (</w:t>
      </w:r>
      <w:hyperlink r:id="rId29" w:anchor="S24a03" w:history="1">
        <w:r w:rsidRPr="00F6198F">
          <w:rPr>
            <w:rStyle w:val="Collegamentoipertestuale"/>
            <w:rFonts w:ascii="Garamond" w:hAnsi="Garamond"/>
            <w:sz w:val="32"/>
            <w:szCs w:val="32"/>
          </w:rPr>
          <w:t>Scheda 24, punto 3</w:t>
        </w:r>
      </w:hyperlink>
      <w:r>
        <w:rPr>
          <w:rFonts w:ascii="Garamond" w:hAnsi="Garamond"/>
          <w:sz w:val="32"/>
          <w:szCs w:val="32"/>
        </w:rPr>
        <w:t>)</w:t>
      </w:r>
      <w:r w:rsidR="00A60FE2">
        <w:rPr>
          <w:rFonts w:ascii="Garamond" w:hAnsi="Garamond"/>
          <w:sz w:val="32"/>
          <w:szCs w:val="32"/>
        </w:rPr>
        <w:t xml:space="preserve">; </w:t>
      </w:r>
    </w:p>
    <w:p w:rsidR="003932A6" w:rsidRDefault="001E1B1F" w:rsidP="00A60FE2">
      <w:pPr>
        <w:rPr>
          <w:rFonts w:ascii="Garamond" w:hAnsi="Garamond"/>
          <w:sz w:val="32"/>
          <w:szCs w:val="32"/>
        </w:rPr>
      </w:pPr>
      <w:r w:rsidRPr="001E1B1F">
        <w:rPr>
          <w:rFonts w:ascii="Garamond" w:hAnsi="Garamond"/>
          <w:sz w:val="32"/>
          <w:szCs w:val="32"/>
        </w:rPr>
        <w:t>«in ragione della peculiare fattispecie delle missioni militari e internazionali, il provvedimento si caratterizza come disciplina in più punti derogatoria del diritto vigente. La relazione sull’analisi tecnico-normativa (ATN) dà conto analiticamente delle norme derogate, anche implicitamente; si rammenta tuttavia che l’articolo 13-</w:t>
      </w:r>
      <w:r w:rsidRPr="001E1B1F">
        <w:rPr>
          <w:rFonts w:ascii="Garamond" w:hAnsi="Garamond"/>
          <w:i/>
          <w:sz w:val="32"/>
          <w:szCs w:val="32"/>
        </w:rPr>
        <w:t>bis</w:t>
      </w:r>
      <w:r w:rsidRPr="001E1B1F">
        <w:rPr>
          <w:rFonts w:ascii="Garamond" w:hAnsi="Garamond"/>
          <w:sz w:val="32"/>
          <w:szCs w:val="32"/>
        </w:rPr>
        <w:t xml:space="preserve"> della legge n. 400 del 1988 dispone tra l’altro che il Governo, nell’ambito delle proprie competenze, provvede “a che ogni norma che sia diretta a sostituire, modificare o abrogare norme vigenti ovvero a stabilire deroghe indichi espressamente le norme sostituite, modificate, abrogate o derogate” (comma 1, lettera </w:t>
      </w:r>
      <w:r w:rsidRPr="001E1B1F">
        <w:rPr>
          <w:rFonts w:ascii="Garamond" w:hAnsi="Garamond"/>
          <w:i/>
          <w:sz w:val="32"/>
          <w:szCs w:val="32"/>
        </w:rPr>
        <w:t>a)</w:t>
      </w:r>
      <w:r w:rsidRPr="001E1B1F">
        <w:rPr>
          <w:rFonts w:ascii="Garamond" w:hAnsi="Garamond"/>
          <w:sz w:val="32"/>
          <w:szCs w:val="32"/>
        </w:rPr>
        <w:t xml:space="preserve"> ) e che “Le disposizioni della presente legge in materia di chiarezza dei testi normativi costituiscono princìpi generali per la produzione normativa e non possono essere derogate, modificate o abrogate se non in modo esplicito” (comma 2); deroghe sono riscontrabili, in particolare: all’articolo 5, comma 1, sul trattamento del personale in missione; all’articolo 5, comma 4, in materia di compenso forfettario di impiego per il personale che partecipa alle missioni militari; all’articolo 6, comma 1, sulla competenza territoriale dei tribunali militari, sulla procedura penale militare, al codice penale ed al codice di procedura penale; all’articolo 7, </w:t>
      </w:r>
      <w:r w:rsidRPr="001E1B1F">
        <w:rPr>
          <w:rFonts w:ascii="Garamond" w:hAnsi="Garamond"/>
          <w:sz w:val="32"/>
          <w:szCs w:val="32"/>
        </w:rPr>
        <w:lastRenderedPageBreak/>
        <w:t>comma 1, in materia contabile»</w:t>
      </w:r>
      <w:r>
        <w:rPr>
          <w:rFonts w:ascii="Garamond" w:hAnsi="Garamond"/>
          <w:sz w:val="32"/>
          <w:szCs w:val="32"/>
        </w:rPr>
        <w:t xml:space="preserve">; </w:t>
      </w:r>
      <w:r w:rsidR="00273B95">
        <w:rPr>
          <w:rFonts w:ascii="Garamond" w:hAnsi="Garamond"/>
          <w:sz w:val="32"/>
          <w:szCs w:val="32"/>
        </w:rPr>
        <w:t>(</w:t>
      </w:r>
      <w:hyperlink r:id="rId30" w:anchor="S01a04" w:history="1">
        <w:r w:rsidR="00273B95" w:rsidRPr="00273B95">
          <w:rPr>
            <w:rStyle w:val="Collegamentoipertestuale"/>
            <w:rFonts w:ascii="Garamond" w:hAnsi="Garamond"/>
            <w:sz w:val="32"/>
            <w:szCs w:val="32"/>
          </w:rPr>
          <w:t>Scheda 1, punto 4</w:t>
        </w:r>
      </w:hyperlink>
      <w:r w:rsidR="00273B95">
        <w:rPr>
          <w:rFonts w:ascii="Garamond" w:hAnsi="Garamond"/>
          <w:sz w:val="32"/>
          <w:szCs w:val="32"/>
        </w:rPr>
        <w:t xml:space="preserve"> e </w:t>
      </w:r>
      <w:hyperlink r:id="rId31" w:anchor="S24a04" w:history="1">
        <w:r w:rsidR="00273B95" w:rsidRPr="00273B95">
          <w:rPr>
            <w:rStyle w:val="Collegamentoipertestuale"/>
            <w:rFonts w:ascii="Garamond" w:hAnsi="Garamond"/>
            <w:sz w:val="32"/>
            <w:szCs w:val="32"/>
          </w:rPr>
          <w:t>Scheda 24, punto 4</w:t>
        </w:r>
      </w:hyperlink>
      <w:r w:rsidR="00273B95">
        <w:rPr>
          <w:rFonts w:ascii="Garamond" w:hAnsi="Garamond"/>
          <w:sz w:val="32"/>
          <w:szCs w:val="32"/>
        </w:rPr>
        <w:t>)</w:t>
      </w:r>
      <w:r w:rsidR="003932A6">
        <w:rPr>
          <w:rFonts w:ascii="Garamond" w:hAnsi="Garamond"/>
          <w:sz w:val="32"/>
          <w:szCs w:val="32"/>
        </w:rPr>
        <w:t>.</w:t>
      </w:r>
    </w:p>
    <w:p w:rsidR="003932A6" w:rsidRDefault="003932A6" w:rsidP="00A60FE2">
      <w:pPr>
        <w:rPr>
          <w:rFonts w:ascii="Garamond" w:hAnsi="Garamond"/>
          <w:sz w:val="32"/>
          <w:szCs w:val="32"/>
        </w:rPr>
      </w:pPr>
      <w:r>
        <w:rPr>
          <w:rFonts w:ascii="Garamond" w:hAnsi="Garamond"/>
          <w:sz w:val="32"/>
          <w:szCs w:val="32"/>
        </w:rPr>
        <w:t xml:space="preserve">Ulteriori rilievi presenti nelle premesse di entrambi i pareri concernono l’efficacia retroattiva dei decreti: in particolare, il decreto-legge n. 67 del 2016 retroagisce di quattro mesi e mezzo rispetto alla data di entrata in vigore. Il Comitato constata in entrambi i casi che </w:t>
      </w:r>
      <w:r w:rsidRPr="001E1B1F">
        <w:rPr>
          <w:rFonts w:ascii="Garamond" w:hAnsi="Garamond"/>
          <w:sz w:val="32"/>
          <w:szCs w:val="32"/>
        </w:rPr>
        <w:t>«</w:t>
      </w:r>
      <w:r w:rsidRPr="003932A6">
        <w:rPr>
          <w:rFonts w:ascii="Garamond" w:hAnsi="Garamond"/>
          <w:sz w:val="32"/>
          <w:szCs w:val="32"/>
        </w:rPr>
        <w:t>si tratta di una circostanza non coerente con le esigenze di stabilità, certezza e semplificazione della legislazione, anche ove si consideri che il decreto contiene, tra l’altro, disposizioni in materia penale»</w:t>
      </w:r>
      <w:r>
        <w:rPr>
          <w:rFonts w:ascii="Garamond" w:hAnsi="Garamond"/>
          <w:sz w:val="32"/>
          <w:szCs w:val="32"/>
        </w:rPr>
        <w:t xml:space="preserve"> (</w:t>
      </w:r>
      <w:hyperlink r:id="rId32" w:anchor="S01a05" w:history="1">
        <w:r w:rsidRPr="00551F78">
          <w:rPr>
            <w:rStyle w:val="Collegamentoipertestuale"/>
            <w:rFonts w:ascii="Garamond" w:hAnsi="Garamond"/>
            <w:sz w:val="32"/>
            <w:szCs w:val="32"/>
          </w:rPr>
          <w:t>Scheda 1, punto 5</w:t>
        </w:r>
      </w:hyperlink>
      <w:r w:rsidRPr="00551F78">
        <w:rPr>
          <w:rFonts w:ascii="Garamond" w:hAnsi="Garamond"/>
          <w:sz w:val="32"/>
          <w:szCs w:val="32"/>
        </w:rPr>
        <w:t xml:space="preserve"> e </w:t>
      </w:r>
      <w:hyperlink r:id="rId33" w:anchor="S24a05" w:history="1">
        <w:r w:rsidRPr="00551F78">
          <w:rPr>
            <w:rStyle w:val="Collegamentoipertestuale"/>
            <w:rFonts w:ascii="Garamond" w:hAnsi="Garamond"/>
            <w:sz w:val="32"/>
            <w:szCs w:val="32"/>
          </w:rPr>
          <w:t>Scheda 24, punto 5</w:t>
        </w:r>
      </w:hyperlink>
      <w:r w:rsidRPr="00551F78">
        <w:rPr>
          <w:rFonts w:ascii="Garamond" w:hAnsi="Garamond"/>
          <w:sz w:val="32"/>
          <w:szCs w:val="32"/>
        </w:rPr>
        <w:t>)</w:t>
      </w:r>
      <w:r w:rsidR="00457B43">
        <w:rPr>
          <w:rFonts w:ascii="Garamond" w:hAnsi="Garamond"/>
          <w:sz w:val="32"/>
          <w:szCs w:val="32"/>
        </w:rPr>
        <w:t>.</w:t>
      </w:r>
    </w:p>
    <w:p w:rsidR="003932A6" w:rsidRDefault="003932A6" w:rsidP="00A60FE2">
      <w:pPr>
        <w:rPr>
          <w:rFonts w:ascii="Garamond" w:hAnsi="Garamond"/>
          <w:sz w:val="32"/>
          <w:szCs w:val="32"/>
        </w:rPr>
      </w:pPr>
      <w:r>
        <w:rPr>
          <w:rFonts w:ascii="Garamond" w:hAnsi="Garamond"/>
          <w:sz w:val="32"/>
          <w:szCs w:val="32"/>
        </w:rPr>
        <w:t>Dal circostanziato quadro tracciato nelle premesse conseguono in entrambi i casi le seguenti raccomandazioni:</w:t>
      </w:r>
    </w:p>
    <w:p w:rsidR="003932A6" w:rsidRPr="003932A6" w:rsidRDefault="003932A6" w:rsidP="003932A6">
      <w:pPr>
        <w:rPr>
          <w:rFonts w:ascii="Garamond" w:hAnsi="Garamond"/>
          <w:sz w:val="32"/>
          <w:szCs w:val="32"/>
        </w:rPr>
      </w:pPr>
      <w:r w:rsidRPr="001E1B1F">
        <w:rPr>
          <w:rFonts w:ascii="Garamond" w:hAnsi="Garamond"/>
          <w:sz w:val="32"/>
          <w:szCs w:val="32"/>
        </w:rPr>
        <w:t>«</w:t>
      </w:r>
      <w:r>
        <w:rPr>
          <w:rFonts w:ascii="Garamond" w:hAnsi="Garamond"/>
          <w:sz w:val="32"/>
          <w:szCs w:val="32"/>
        </w:rPr>
        <w:t xml:space="preserve"> </w:t>
      </w:r>
      <w:r w:rsidRPr="003932A6">
        <w:rPr>
          <w:rFonts w:ascii="Garamond" w:hAnsi="Garamond"/>
          <w:sz w:val="32"/>
          <w:szCs w:val="32"/>
        </w:rPr>
        <w:t>1)</w:t>
      </w:r>
      <w:r w:rsidRPr="003932A6">
        <w:rPr>
          <w:rFonts w:ascii="Garamond" w:hAnsi="Garamond"/>
          <w:sz w:val="32"/>
          <w:szCs w:val="32"/>
        </w:rPr>
        <w:tab/>
        <w:t xml:space="preserve">richiamando quanto più volte rilevato in occasione dell’esame dei decreti-legge che regolano la partecipazione italiana alle missioni internazionali, rileva la necessità che, ove si voglia confermare la vigenza delle suddette missioni, si provveda alla loro proroga ed al loro finanziamento in tempi compatibili con la loro scadenza, evitando così di dare copertura normativa all’impegno dell’Italia nelle suddette missioni in via retroattiva, anche tenuto conto della presenza, nei suddetti decreti-legge, di disposizioni in materia penale; </w:t>
      </w:r>
    </w:p>
    <w:p w:rsidR="003932A6" w:rsidRPr="003932A6" w:rsidRDefault="003932A6" w:rsidP="003932A6">
      <w:pPr>
        <w:rPr>
          <w:rFonts w:ascii="Garamond" w:hAnsi="Garamond"/>
          <w:sz w:val="32"/>
          <w:szCs w:val="32"/>
        </w:rPr>
      </w:pPr>
      <w:r w:rsidRPr="003932A6">
        <w:rPr>
          <w:rFonts w:ascii="Garamond" w:hAnsi="Garamond"/>
          <w:sz w:val="32"/>
          <w:szCs w:val="32"/>
        </w:rPr>
        <w:t>2)</w:t>
      </w:r>
      <w:r w:rsidRPr="003932A6">
        <w:rPr>
          <w:rFonts w:ascii="Garamond" w:hAnsi="Garamond"/>
          <w:sz w:val="32"/>
          <w:szCs w:val="32"/>
        </w:rPr>
        <w:tab/>
        <w:t>in presenza di norme dirette a sostituire, modificare, abrogare o derogare norme vigenti, abbia cura il legislatore, in ottemperanza a quanto stabilito dall’articolo 13-</w:t>
      </w:r>
      <w:r w:rsidRPr="000A33AE">
        <w:rPr>
          <w:rFonts w:ascii="Garamond" w:hAnsi="Garamond"/>
          <w:i/>
          <w:sz w:val="32"/>
          <w:szCs w:val="32"/>
        </w:rPr>
        <w:t>bis</w:t>
      </w:r>
      <w:r w:rsidRPr="003932A6">
        <w:rPr>
          <w:rFonts w:ascii="Garamond" w:hAnsi="Garamond"/>
          <w:sz w:val="32"/>
          <w:szCs w:val="32"/>
        </w:rPr>
        <w:t xml:space="preserve"> della legge n. 400 del 1988, di indicare espressamente le norme sostituite, modificate, abrogate o derogate». </w:t>
      </w:r>
    </w:p>
    <w:p w:rsidR="003932A6" w:rsidRDefault="00AF2177" w:rsidP="003932A6">
      <w:pPr>
        <w:rPr>
          <w:rFonts w:ascii="Garamond" w:hAnsi="Garamond"/>
          <w:sz w:val="32"/>
          <w:szCs w:val="32"/>
        </w:rPr>
      </w:pPr>
      <w:r w:rsidRPr="00AF2177">
        <w:rPr>
          <w:rFonts w:ascii="Garamond" w:hAnsi="Garamond"/>
          <w:sz w:val="32"/>
          <w:szCs w:val="32"/>
        </w:rPr>
        <w:t>Occorre segnalare che l’</w:t>
      </w:r>
      <w:r>
        <w:rPr>
          <w:rFonts w:ascii="Garamond" w:hAnsi="Garamond"/>
          <w:sz w:val="32"/>
          <w:szCs w:val="32"/>
        </w:rPr>
        <w:t>auspicata co</w:t>
      </w:r>
      <w:r w:rsidRPr="00AF2177">
        <w:rPr>
          <w:rFonts w:ascii="Garamond" w:hAnsi="Garamond"/>
          <w:sz w:val="32"/>
          <w:szCs w:val="32"/>
        </w:rPr>
        <w:t xml:space="preserve">rnice normativa di carattere generale più volte invocata dal Comitato è stata finalmente approvata: </w:t>
      </w:r>
      <w:r w:rsidR="003932A6" w:rsidRPr="00AF2177">
        <w:rPr>
          <w:rFonts w:ascii="Garamond" w:hAnsi="Garamond"/>
          <w:sz w:val="32"/>
          <w:szCs w:val="32"/>
        </w:rPr>
        <w:t xml:space="preserve"> la legge </w:t>
      </w:r>
      <w:r w:rsidRPr="00AF2177">
        <w:rPr>
          <w:rFonts w:ascii="Garamond" w:hAnsi="Garamond"/>
          <w:sz w:val="32"/>
          <w:szCs w:val="32"/>
        </w:rPr>
        <w:t>21 luglio</w:t>
      </w:r>
      <w:r w:rsidR="003932A6" w:rsidRPr="00AF2177">
        <w:rPr>
          <w:rFonts w:ascii="Garamond" w:hAnsi="Garamond"/>
          <w:sz w:val="32"/>
          <w:szCs w:val="32"/>
        </w:rPr>
        <w:t xml:space="preserve"> 2016</w:t>
      </w:r>
      <w:r w:rsidRPr="00AF2177">
        <w:rPr>
          <w:rFonts w:ascii="Garamond" w:hAnsi="Garamond"/>
          <w:sz w:val="32"/>
          <w:szCs w:val="32"/>
        </w:rPr>
        <w:t>, n. 145 reca infatti disposizioni concernenti la partecipazione dell'Italia alle missioni internazionali</w:t>
      </w:r>
      <w:r w:rsidR="003932A6" w:rsidRPr="00AF2177">
        <w:rPr>
          <w:rFonts w:ascii="Garamond" w:hAnsi="Garamond"/>
          <w:sz w:val="32"/>
          <w:szCs w:val="32"/>
        </w:rPr>
        <w:t>.</w:t>
      </w:r>
    </w:p>
    <w:p w:rsidR="003932A6" w:rsidRDefault="003932A6" w:rsidP="00A60FE2">
      <w:pPr>
        <w:rPr>
          <w:rFonts w:ascii="Garamond" w:hAnsi="Garamond"/>
          <w:sz w:val="32"/>
          <w:szCs w:val="32"/>
        </w:rPr>
      </w:pPr>
    </w:p>
    <w:p w:rsidR="00B72067" w:rsidRDefault="000A33AE" w:rsidP="00A3238E">
      <w:pPr>
        <w:rPr>
          <w:rFonts w:ascii="Garamond" w:hAnsi="Garamond"/>
          <w:sz w:val="32"/>
          <w:szCs w:val="32"/>
        </w:rPr>
      </w:pPr>
      <w:r>
        <w:rPr>
          <w:rFonts w:ascii="Garamond" w:hAnsi="Garamond"/>
          <w:sz w:val="32"/>
          <w:szCs w:val="32"/>
        </w:rPr>
        <w:t xml:space="preserve">L’altra tipologia di decreto che, insieme a quella riguardante la partecipazione italiana alle missioni internazionali, offre </w:t>
      </w:r>
      <w:r>
        <w:rPr>
          <w:rFonts w:ascii="Garamond" w:hAnsi="Garamond"/>
          <w:sz w:val="32"/>
          <w:szCs w:val="32"/>
        </w:rPr>
        <w:lastRenderedPageBreak/>
        <w:t>numerosi spunti in materia è quella dei decreti volti alla proroga di termini (cosiddetti “milleproroghe”): n</w:t>
      </w:r>
      <w:r w:rsidR="00B72067">
        <w:rPr>
          <w:rFonts w:ascii="Garamond" w:hAnsi="Garamond"/>
          <w:sz w:val="32"/>
          <w:szCs w:val="32"/>
        </w:rPr>
        <w:t>e</w:t>
      </w:r>
      <w:r w:rsidR="00426CE5" w:rsidRPr="003505A6">
        <w:rPr>
          <w:rFonts w:ascii="Garamond" w:hAnsi="Garamond"/>
          <w:sz w:val="32"/>
          <w:szCs w:val="32"/>
        </w:rPr>
        <w:t>l</w:t>
      </w:r>
      <w:r>
        <w:rPr>
          <w:rFonts w:ascii="Garamond" w:hAnsi="Garamond"/>
          <w:sz w:val="32"/>
          <w:szCs w:val="32"/>
        </w:rPr>
        <w:t>le premesse del</w:t>
      </w:r>
      <w:r w:rsidR="00426CE5" w:rsidRPr="003505A6">
        <w:rPr>
          <w:rFonts w:ascii="Garamond" w:hAnsi="Garamond"/>
          <w:sz w:val="32"/>
          <w:szCs w:val="32"/>
        </w:rPr>
        <w:t xml:space="preserve"> parere sul </w:t>
      </w:r>
      <w:r w:rsidR="00426CE5" w:rsidRPr="00457B43">
        <w:rPr>
          <w:rFonts w:ascii="Garamond" w:hAnsi="Garamond"/>
          <w:sz w:val="32"/>
          <w:szCs w:val="32"/>
        </w:rPr>
        <w:t xml:space="preserve">decreto-legge n. </w:t>
      </w:r>
      <w:r w:rsidR="00A3238E" w:rsidRPr="00457B43">
        <w:rPr>
          <w:rFonts w:ascii="Garamond" w:hAnsi="Garamond"/>
          <w:sz w:val="32"/>
          <w:szCs w:val="32"/>
        </w:rPr>
        <w:t>210</w:t>
      </w:r>
      <w:r w:rsidR="00426CE5" w:rsidRPr="00457B43">
        <w:rPr>
          <w:rFonts w:ascii="Garamond" w:hAnsi="Garamond"/>
          <w:sz w:val="32"/>
          <w:szCs w:val="32"/>
        </w:rPr>
        <w:t xml:space="preserve"> del 2015</w:t>
      </w:r>
      <w:r w:rsidR="00426CE5" w:rsidRPr="003505A6">
        <w:rPr>
          <w:rFonts w:ascii="Garamond" w:hAnsi="Garamond"/>
          <w:sz w:val="32"/>
          <w:szCs w:val="32"/>
        </w:rPr>
        <w:t xml:space="preserve"> (C. </w:t>
      </w:r>
      <w:r w:rsidR="00A3238E">
        <w:rPr>
          <w:rFonts w:ascii="Garamond" w:hAnsi="Garamond"/>
          <w:sz w:val="32"/>
          <w:szCs w:val="32"/>
        </w:rPr>
        <w:t>3513</w:t>
      </w:r>
      <w:r w:rsidR="00426CE5" w:rsidRPr="003505A6">
        <w:rPr>
          <w:rFonts w:ascii="Garamond" w:hAnsi="Garamond"/>
          <w:sz w:val="32"/>
          <w:szCs w:val="32"/>
        </w:rPr>
        <w:t xml:space="preserve">) </w:t>
      </w:r>
      <w:r w:rsidR="00B72067">
        <w:rPr>
          <w:rFonts w:ascii="Garamond" w:hAnsi="Garamond"/>
          <w:sz w:val="32"/>
          <w:szCs w:val="32"/>
        </w:rPr>
        <w:t xml:space="preserve">il Comitato constata, con il richiamo di numerosi esempi, l’esistenza di </w:t>
      </w:r>
      <w:r w:rsidR="008E709E">
        <w:rPr>
          <w:rFonts w:ascii="Garamond" w:hAnsi="Garamond"/>
          <w:sz w:val="32"/>
          <w:szCs w:val="32"/>
        </w:rPr>
        <w:t>quattro</w:t>
      </w:r>
      <w:r w:rsidR="00B72067">
        <w:rPr>
          <w:rFonts w:ascii="Garamond" w:hAnsi="Garamond"/>
          <w:sz w:val="32"/>
          <w:szCs w:val="32"/>
        </w:rPr>
        <w:t xml:space="preserve"> fenomeni in parte convergenti e in parte </w:t>
      </w:r>
      <w:r>
        <w:rPr>
          <w:rFonts w:ascii="Garamond" w:hAnsi="Garamond"/>
          <w:sz w:val="32"/>
          <w:szCs w:val="32"/>
        </w:rPr>
        <w:t>specular</w:t>
      </w:r>
      <w:r w:rsidR="00B72067">
        <w:rPr>
          <w:rFonts w:ascii="Garamond" w:hAnsi="Garamond"/>
          <w:sz w:val="32"/>
          <w:szCs w:val="32"/>
        </w:rPr>
        <w:t>i:</w:t>
      </w:r>
    </w:p>
    <w:p w:rsidR="00B72067" w:rsidRDefault="00A3238E" w:rsidP="00A3238E">
      <w:pPr>
        <w:rPr>
          <w:rFonts w:ascii="Garamond" w:hAnsi="Garamond"/>
          <w:sz w:val="32"/>
          <w:szCs w:val="32"/>
        </w:rPr>
      </w:pPr>
      <w:r w:rsidRPr="00A3238E">
        <w:rPr>
          <w:rFonts w:ascii="Garamond" w:hAnsi="Garamond"/>
          <w:sz w:val="32"/>
          <w:szCs w:val="32"/>
        </w:rPr>
        <w:t>«il decreto-legge reca disposizioni di carattere temporaneo delle quali, quanto meno in alcuni casi, andrebbe valutata la trasformazione a regime, poiché, a seguito di successive proroghe, si applicano ininterrottamente da numerosi anni</w:t>
      </w:r>
      <w:r w:rsidR="00B72067" w:rsidRPr="003932A6">
        <w:rPr>
          <w:rFonts w:ascii="Garamond" w:hAnsi="Garamond"/>
          <w:sz w:val="32"/>
          <w:szCs w:val="32"/>
        </w:rPr>
        <w:t>»</w:t>
      </w:r>
      <w:r w:rsidRPr="00A3238E">
        <w:rPr>
          <w:rFonts w:ascii="Garamond" w:hAnsi="Garamond"/>
          <w:sz w:val="32"/>
          <w:szCs w:val="32"/>
        </w:rPr>
        <w:t xml:space="preserve">. </w:t>
      </w:r>
      <w:r w:rsidR="008A214F" w:rsidRPr="003505A6">
        <w:rPr>
          <w:rFonts w:ascii="Garamond" w:hAnsi="Garamond"/>
          <w:sz w:val="32"/>
          <w:szCs w:val="32"/>
        </w:rPr>
        <w:t>(</w:t>
      </w:r>
      <w:hyperlink r:id="rId34" w:anchor="S06a04" w:history="1">
        <w:r w:rsidR="008A214F" w:rsidRPr="00A3238E">
          <w:rPr>
            <w:rStyle w:val="Collegamentoipertestuale"/>
            <w:rFonts w:ascii="Garamond" w:hAnsi="Garamond"/>
            <w:sz w:val="32"/>
            <w:szCs w:val="32"/>
          </w:rPr>
          <w:t xml:space="preserve">Scheda </w:t>
        </w:r>
        <w:r w:rsidRPr="00A3238E">
          <w:rPr>
            <w:rStyle w:val="Collegamentoipertestuale"/>
            <w:rFonts w:ascii="Garamond" w:hAnsi="Garamond"/>
            <w:sz w:val="32"/>
            <w:szCs w:val="32"/>
          </w:rPr>
          <w:t>6</w:t>
        </w:r>
        <w:r w:rsidR="008A214F" w:rsidRPr="00A3238E">
          <w:rPr>
            <w:rStyle w:val="Collegamentoipertestuale"/>
            <w:rFonts w:ascii="Garamond" w:hAnsi="Garamond"/>
            <w:sz w:val="32"/>
            <w:szCs w:val="32"/>
          </w:rPr>
          <w:t xml:space="preserve">, </w:t>
        </w:r>
        <w:r w:rsidRPr="00A3238E">
          <w:rPr>
            <w:rStyle w:val="Collegamentoipertestuale"/>
            <w:rFonts w:ascii="Garamond" w:hAnsi="Garamond"/>
            <w:sz w:val="32"/>
            <w:szCs w:val="32"/>
          </w:rPr>
          <w:t>punto 4</w:t>
        </w:r>
      </w:hyperlink>
      <w:r w:rsidR="008A214F" w:rsidRPr="003505A6">
        <w:rPr>
          <w:rFonts w:ascii="Garamond" w:hAnsi="Garamond"/>
          <w:sz w:val="32"/>
          <w:szCs w:val="32"/>
        </w:rPr>
        <w:t>)</w:t>
      </w:r>
      <w:r>
        <w:rPr>
          <w:rFonts w:ascii="Garamond" w:hAnsi="Garamond"/>
          <w:sz w:val="32"/>
          <w:szCs w:val="32"/>
        </w:rPr>
        <w:t>;</w:t>
      </w:r>
    </w:p>
    <w:p w:rsidR="00B72067" w:rsidRDefault="00B72067" w:rsidP="00A3238E">
      <w:pPr>
        <w:rPr>
          <w:rFonts w:ascii="Garamond" w:hAnsi="Garamond"/>
          <w:sz w:val="32"/>
          <w:szCs w:val="32"/>
        </w:rPr>
      </w:pPr>
      <w:r w:rsidRPr="00B72067">
        <w:rPr>
          <w:rFonts w:ascii="Garamond" w:hAnsi="Garamond"/>
          <w:sz w:val="32"/>
          <w:szCs w:val="32"/>
        </w:rPr>
        <w:t>«il decreto-legge proroga inoltre in più punti il termine iniziale di entrata in vigore di discipline a regime che avrebbero dovuto trovare applicazione già da alcuni anni</w:t>
      </w:r>
      <w:r w:rsidRPr="003932A6">
        <w:rPr>
          <w:rFonts w:ascii="Garamond" w:hAnsi="Garamond"/>
          <w:sz w:val="32"/>
          <w:szCs w:val="32"/>
        </w:rPr>
        <w:t>»</w:t>
      </w:r>
      <w:r>
        <w:rPr>
          <w:rFonts w:ascii="Garamond" w:hAnsi="Garamond"/>
          <w:sz w:val="32"/>
          <w:szCs w:val="32"/>
        </w:rPr>
        <w:t>; (</w:t>
      </w:r>
      <w:hyperlink r:id="rId35" w:anchor="S06a05" w:history="1">
        <w:r w:rsidRPr="009F024A">
          <w:rPr>
            <w:rStyle w:val="Collegamentoipertestuale"/>
            <w:rFonts w:ascii="Garamond" w:hAnsi="Garamond"/>
            <w:sz w:val="32"/>
            <w:szCs w:val="32"/>
          </w:rPr>
          <w:t>Scheda 6, punto 5</w:t>
        </w:r>
      </w:hyperlink>
      <w:r w:rsidRPr="009F024A">
        <w:rPr>
          <w:rFonts w:ascii="Garamond" w:hAnsi="Garamond"/>
          <w:sz w:val="32"/>
          <w:szCs w:val="32"/>
        </w:rPr>
        <w:t>);</w:t>
      </w:r>
    </w:p>
    <w:p w:rsidR="00B72067" w:rsidRDefault="00B72067" w:rsidP="00A3238E">
      <w:pPr>
        <w:rPr>
          <w:rFonts w:ascii="Garamond" w:hAnsi="Garamond"/>
          <w:sz w:val="32"/>
          <w:szCs w:val="32"/>
        </w:rPr>
      </w:pPr>
      <w:r w:rsidRPr="00B72067">
        <w:rPr>
          <w:rFonts w:ascii="Garamond" w:hAnsi="Garamond"/>
          <w:sz w:val="32"/>
          <w:szCs w:val="32"/>
        </w:rPr>
        <w:t>«altre disposizioni intervengono poi a prorogare il termine per l'adozione di provvedimenti applicativi di norme preesistenti che, conseguentemente, pur vigendo da tempo, non hanno mai trovato attuazione»</w:t>
      </w:r>
      <w:r>
        <w:rPr>
          <w:rFonts w:ascii="Garamond" w:hAnsi="Garamond"/>
          <w:sz w:val="32"/>
          <w:szCs w:val="32"/>
        </w:rPr>
        <w:t xml:space="preserve"> (</w:t>
      </w:r>
      <w:hyperlink r:id="rId36" w:anchor="S06a06" w:history="1">
        <w:r w:rsidRPr="009F024A">
          <w:rPr>
            <w:rStyle w:val="Collegamentoipertestuale"/>
            <w:rFonts w:ascii="Garamond" w:hAnsi="Garamond"/>
            <w:sz w:val="32"/>
            <w:szCs w:val="32"/>
          </w:rPr>
          <w:t>Scheda 6, punto 6</w:t>
        </w:r>
      </w:hyperlink>
      <w:r w:rsidRPr="009F024A">
        <w:rPr>
          <w:rFonts w:ascii="Garamond" w:hAnsi="Garamond"/>
          <w:sz w:val="32"/>
          <w:szCs w:val="32"/>
        </w:rPr>
        <w:t>)</w:t>
      </w:r>
      <w:r w:rsidR="008E709E" w:rsidRPr="009F024A">
        <w:rPr>
          <w:rFonts w:ascii="Garamond" w:hAnsi="Garamond"/>
          <w:sz w:val="32"/>
          <w:szCs w:val="32"/>
        </w:rPr>
        <w:t>;</w:t>
      </w:r>
    </w:p>
    <w:p w:rsidR="008E709E" w:rsidRPr="008E709E" w:rsidRDefault="008E709E" w:rsidP="00A3238E">
      <w:pPr>
        <w:rPr>
          <w:rFonts w:ascii="Garamond" w:hAnsi="Garamond"/>
          <w:sz w:val="32"/>
          <w:szCs w:val="32"/>
        </w:rPr>
      </w:pPr>
      <w:r w:rsidRPr="008E709E">
        <w:rPr>
          <w:rFonts w:ascii="Garamond" w:hAnsi="Garamond"/>
          <w:sz w:val="32"/>
          <w:szCs w:val="32"/>
        </w:rPr>
        <w:t>«alcune disposizioni intervengono infine a prorogare disposizioni aventi carattere derogatorio</w:t>
      </w:r>
      <w:r w:rsidRPr="00B72067">
        <w:rPr>
          <w:rFonts w:ascii="Garamond" w:hAnsi="Garamond"/>
          <w:sz w:val="32"/>
          <w:szCs w:val="32"/>
        </w:rPr>
        <w:t>»</w:t>
      </w:r>
      <w:r>
        <w:rPr>
          <w:rFonts w:ascii="Garamond" w:hAnsi="Garamond"/>
          <w:sz w:val="32"/>
          <w:szCs w:val="32"/>
        </w:rPr>
        <w:t xml:space="preserve"> (</w:t>
      </w:r>
      <w:hyperlink r:id="rId37" w:anchor="S06a07" w:history="1">
        <w:r w:rsidRPr="009F024A">
          <w:rPr>
            <w:rStyle w:val="Collegamentoipertestuale"/>
            <w:rFonts w:ascii="Garamond" w:hAnsi="Garamond"/>
            <w:sz w:val="32"/>
            <w:szCs w:val="32"/>
          </w:rPr>
          <w:t>Scheda 6, punto 7</w:t>
        </w:r>
      </w:hyperlink>
      <w:r>
        <w:rPr>
          <w:rFonts w:ascii="Garamond" w:hAnsi="Garamond"/>
          <w:sz w:val="32"/>
          <w:szCs w:val="32"/>
        </w:rPr>
        <w:t>).</w:t>
      </w:r>
    </w:p>
    <w:p w:rsidR="000A57EC" w:rsidRPr="003505A6" w:rsidRDefault="008E709E" w:rsidP="00A3238E">
      <w:pPr>
        <w:rPr>
          <w:rFonts w:ascii="Garamond" w:hAnsi="Garamond"/>
          <w:sz w:val="32"/>
          <w:szCs w:val="32"/>
        </w:rPr>
      </w:pPr>
      <w:r>
        <w:rPr>
          <w:rFonts w:ascii="Garamond" w:hAnsi="Garamond"/>
          <w:sz w:val="32"/>
          <w:szCs w:val="32"/>
        </w:rPr>
        <w:t xml:space="preserve">Dalla rilevazione conseguono un’osservazione volta a verificare se talune disposizioni citate nelle premesse </w:t>
      </w:r>
      <w:r w:rsidRPr="00B72067">
        <w:rPr>
          <w:rFonts w:ascii="Garamond" w:hAnsi="Garamond"/>
          <w:sz w:val="32"/>
          <w:szCs w:val="32"/>
        </w:rPr>
        <w:t>«</w:t>
      </w:r>
      <w:r w:rsidR="00A3238E" w:rsidRPr="00A3238E">
        <w:rPr>
          <w:rFonts w:ascii="Garamond" w:hAnsi="Garamond"/>
          <w:sz w:val="32"/>
          <w:szCs w:val="32"/>
        </w:rPr>
        <w:t>debbano mantenere natura temporanea, con l'eventualità di essere soggette a successive proroghe, ovvero possano essere trasformate in previsioni a regime»</w:t>
      </w:r>
      <w:r>
        <w:rPr>
          <w:rFonts w:ascii="Garamond" w:hAnsi="Garamond"/>
          <w:sz w:val="32"/>
          <w:szCs w:val="32"/>
        </w:rPr>
        <w:t xml:space="preserve"> e la seguente raccomandazione</w:t>
      </w:r>
      <w:r w:rsidR="00C36EA0">
        <w:rPr>
          <w:rFonts w:ascii="Garamond" w:hAnsi="Garamond"/>
          <w:sz w:val="32"/>
          <w:szCs w:val="32"/>
        </w:rPr>
        <w:t xml:space="preserve">: </w:t>
      </w:r>
      <w:r w:rsidR="00C36EA0" w:rsidRPr="00A3238E">
        <w:rPr>
          <w:rFonts w:ascii="Garamond" w:hAnsi="Garamond"/>
          <w:sz w:val="32"/>
          <w:szCs w:val="32"/>
        </w:rPr>
        <w:t>«</w:t>
      </w:r>
      <w:r w:rsidR="00C36EA0" w:rsidRPr="00C36EA0">
        <w:rPr>
          <w:rFonts w:ascii="Garamond" w:hAnsi="Garamond"/>
          <w:sz w:val="32"/>
          <w:szCs w:val="32"/>
        </w:rPr>
        <w:t>come più volte ribadito dal Comitato per la legislazione, abbia cura il legislatore di introdurre interventi stabili e a regime, evitando il ricorso sistematico a una legislazione provvisoria, temporanea, sperimentale o fatta di mere proroghe, che, nell'incorporare già all'origine la previsione di successivi interventi integrativi, correttivi, o, comunque, a regime, confligge con le esigenze di stabilità, certezza e semplificazione della legislazione</w:t>
      </w:r>
      <w:r w:rsidR="00C36EA0" w:rsidRPr="00A3238E">
        <w:rPr>
          <w:rFonts w:ascii="Garamond" w:hAnsi="Garamond"/>
          <w:sz w:val="32"/>
          <w:szCs w:val="32"/>
        </w:rPr>
        <w:t>»</w:t>
      </w:r>
      <w:r w:rsidR="008A214F" w:rsidRPr="003505A6">
        <w:rPr>
          <w:rFonts w:ascii="Garamond" w:hAnsi="Garamond"/>
          <w:sz w:val="32"/>
          <w:szCs w:val="32"/>
        </w:rPr>
        <w:t>.</w:t>
      </w:r>
    </w:p>
    <w:p w:rsidR="007932BC" w:rsidRPr="003505A6" w:rsidRDefault="007932BC" w:rsidP="00BB539E">
      <w:pPr>
        <w:rPr>
          <w:rFonts w:ascii="Garamond" w:hAnsi="Garamond"/>
          <w:sz w:val="32"/>
          <w:szCs w:val="32"/>
        </w:rPr>
      </w:pPr>
    </w:p>
    <w:p w:rsidR="00B64AA2" w:rsidRPr="003505A6" w:rsidRDefault="00B64AA2" w:rsidP="00BB539E">
      <w:pPr>
        <w:rPr>
          <w:rFonts w:ascii="Garamond" w:hAnsi="Garamond"/>
          <w:sz w:val="32"/>
          <w:szCs w:val="32"/>
        </w:rPr>
      </w:pPr>
    </w:p>
    <w:p w:rsidR="00B64AA2" w:rsidRPr="003505A6" w:rsidRDefault="00B64AA2" w:rsidP="00BB539E">
      <w:pPr>
        <w:rPr>
          <w:rFonts w:ascii="Garamond" w:hAnsi="Garamond"/>
          <w:sz w:val="32"/>
          <w:szCs w:val="32"/>
        </w:rPr>
      </w:pPr>
    </w:p>
    <w:p w:rsidR="007932BC" w:rsidRPr="003505A6" w:rsidRDefault="00F038C0" w:rsidP="00F00BA0">
      <w:pPr>
        <w:pStyle w:val="Titolo2"/>
        <w:rPr>
          <w:rFonts w:ascii="Garamond" w:hAnsi="Garamond"/>
          <w:i/>
          <w:color w:val="0000FF"/>
          <w:sz w:val="28"/>
          <w:szCs w:val="28"/>
        </w:rPr>
      </w:pPr>
      <w:bookmarkStart w:id="38" w:name="_Toc458677970"/>
      <w:r w:rsidRPr="00E81728">
        <w:rPr>
          <w:rFonts w:ascii="Garamond" w:hAnsi="Garamond"/>
          <w:i/>
          <w:color w:val="0000FF"/>
          <w:sz w:val="28"/>
          <w:szCs w:val="28"/>
        </w:rPr>
        <w:lastRenderedPageBreak/>
        <w:t>4.4.4</w:t>
      </w:r>
      <w:r w:rsidR="00976D09" w:rsidRPr="00E81728">
        <w:rPr>
          <w:rFonts w:ascii="Garamond" w:hAnsi="Garamond"/>
          <w:i/>
          <w:color w:val="0000FF"/>
          <w:sz w:val="28"/>
          <w:szCs w:val="28"/>
        </w:rPr>
        <w:t>.</w:t>
      </w:r>
      <w:r w:rsidR="00CA7AB6" w:rsidRPr="00E81728">
        <w:rPr>
          <w:rFonts w:ascii="Garamond" w:hAnsi="Garamond"/>
          <w:i/>
          <w:color w:val="0000FF"/>
          <w:sz w:val="28"/>
          <w:szCs w:val="28"/>
        </w:rPr>
        <w:t xml:space="preserve"> </w:t>
      </w:r>
      <w:r w:rsidR="00F1747C" w:rsidRPr="00E81728">
        <w:rPr>
          <w:rFonts w:ascii="Garamond" w:hAnsi="Garamond"/>
          <w:i/>
          <w:color w:val="0000FF"/>
          <w:sz w:val="28"/>
          <w:szCs w:val="28"/>
        </w:rPr>
        <w:t>Parti descrittive, ricognitive, programmatiche o di principio</w:t>
      </w:r>
      <w:bookmarkEnd w:id="38"/>
    </w:p>
    <w:p w:rsidR="00E765B0" w:rsidRPr="003505A6" w:rsidRDefault="00E765B0" w:rsidP="00BB539E">
      <w:pPr>
        <w:rPr>
          <w:rFonts w:ascii="Garamond" w:hAnsi="Garamond" w:cs="Arial"/>
          <w:sz w:val="32"/>
          <w:szCs w:val="32"/>
        </w:rPr>
      </w:pPr>
      <w:r w:rsidRPr="003505A6">
        <w:rPr>
          <w:rFonts w:ascii="Garamond" w:hAnsi="Garamond" w:cs="Arial"/>
          <w:sz w:val="32"/>
          <w:szCs w:val="32"/>
        </w:rPr>
        <w:t>Il ricorso a preamboli esplicativi e a periodi privi di contenuto immediatamente precettivo, in quanto si limitano a dare indicazioni di contesto, descrittive, ricognitive, di principio o programmatiche, ha trovato notevole diffusione a partire dal decreto-legge n. 70/</w:t>
      </w:r>
      <w:r w:rsidR="00D504E4" w:rsidRPr="003505A6">
        <w:rPr>
          <w:rFonts w:ascii="Garamond" w:hAnsi="Garamond" w:cs="Arial"/>
          <w:sz w:val="32"/>
          <w:szCs w:val="32"/>
        </w:rPr>
        <w:t>2011, nella scorsa legislatura.</w:t>
      </w:r>
    </w:p>
    <w:p w:rsidR="009D789D" w:rsidRDefault="00E765B0" w:rsidP="00436C73">
      <w:pPr>
        <w:rPr>
          <w:rFonts w:ascii="Garamond" w:hAnsi="Garamond" w:cs="Arial"/>
          <w:sz w:val="32"/>
          <w:szCs w:val="32"/>
        </w:rPr>
      </w:pPr>
      <w:r w:rsidRPr="003505A6">
        <w:rPr>
          <w:rFonts w:ascii="Garamond" w:hAnsi="Garamond" w:cs="Arial"/>
          <w:sz w:val="32"/>
          <w:szCs w:val="32"/>
        </w:rPr>
        <w:t xml:space="preserve"> </w:t>
      </w:r>
      <w:r w:rsidR="00637844" w:rsidRPr="003505A6">
        <w:rPr>
          <w:rFonts w:ascii="Garamond" w:hAnsi="Garamond" w:cs="Arial"/>
          <w:sz w:val="32"/>
          <w:szCs w:val="32"/>
        </w:rPr>
        <w:t>Nel periodo di riferimento del presente rapporto,</w:t>
      </w:r>
      <w:r w:rsidR="00FE34EB" w:rsidRPr="003505A6">
        <w:rPr>
          <w:rFonts w:ascii="Garamond" w:hAnsi="Garamond" w:cs="Arial"/>
          <w:sz w:val="32"/>
          <w:szCs w:val="32"/>
        </w:rPr>
        <w:t xml:space="preserve"> </w:t>
      </w:r>
      <w:r w:rsidR="00CF054D" w:rsidRPr="003505A6">
        <w:rPr>
          <w:rFonts w:ascii="Garamond" w:hAnsi="Garamond" w:cs="Arial"/>
          <w:sz w:val="32"/>
          <w:szCs w:val="32"/>
        </w:rPr>
        <w:t xml:space="preserve">si </w:t>
      </w:r>
      <w:r w:rsidR="00CF054D" w:rsidRPr="009D789D">
        <w:rPr>
          <w:rFonts w:ascii="Garamond" w:hAnsi="Garamond" w:cs="Arial"/>
          <w:sz w:val="32"/>
          <w:szCs w:val="32"/>
        </w:rPr>
        <w:t>segnala</w:t>
      </w:r>
      <w:r w:rsidR="00436C73" w:rsidRPr="009D789D">
        <w:rPr>
          <w:rFonts w:ascii="Garamond" w:hAnsi="Garamond" w:cs="Arial"/>
          <w:sz w:val="32"/>
          <w:szCs w:val="32"/>
        </w:rPr>
        <w:t>no</w:t>
      </w:r>
      <w:r w:rsidR="00CF054D" w:rsidRPr="009D789D">
        <w:rPr>
          <w:rFonts w:ascii="Garamond" w:hAnsi="Garamond" w:cs="Arial"/>
          <w:sz w:val="32"/>
          <w:szCs w:val="32"/>
        </w:rPr>
        <w:t>, tra gli altri, i</w:t>
      </w:r>
      <w:r w:rsidR="00436C73" w:rsidRPr="009D789D">
        <w:rPr>
          <w:rFonts w:ascii="Garamond" w:hAnsi="Garamond" w:cs="Arial"/>
          <w:sz w:val="32"/>
          <w:szCs w:val="32"/>
        </w:rPr>
        <w:t xml:space="preserve"> pareri</w:t>
      </w:r>
      <w:r w:rsidR="00CF054D" w:rsidRPr="009D789D">
        <w:rPr>
          <w:rFonts w:ascii="Garamond" w:hAnsi="Garamond" w:cs="Arial"/>
          <w:sz w:val="32"/>
          <w:szCs w:val="32"/>
        </w:rPr>
        <w:t xml:space="preserve"> </w:t>
      </w:r>
      <w:r w:rsidR="00A97B28" w:rsidRPr="009D789D">
        <w:rPr>
          <w:rFonts w:ascii="Garamond" w:hAnsi="Garamond" w:cs="Arial"/>
          <w:sz w:val="32"/>
          <w:szCs w:val="32"/>
        </w:rPr>
        <w:t>sui</w:t>
      </w:r>
      <w:r w:rsidR="00CF054D" w:rsidRPr="009D789D">
        <w:rPr>
          <w:rFonts w:ascii="Garamond" w:hAnsi="Garamond" w:cs="Arial"/>
          <w:sz w:val="32"/>
          <w:szCs w:val="32"/>
        </w:rPr>
        <w:t xml:space="preserve"> decret</w:t>
      </w:r>
      <w:r w:rsidR="00436C73" w:rsidRPr="009D789D">
        <w:rPr>
          <w:rFonts w:ascii="Garamond" w:hAnsi="Garamond" w:cs="Arial"/>
          <w:sz w:val="32"/>
          <w:szCs w:val="32"/>
        </w:rPr>
        <w:t>i</w:t>
      </w:r>
      <w:r w:rsidR="00CF054D" w:rsidRPr="009D789D">
        <w:rPr>
          <w:rFonts w:ascii="Garamond" w:hAnsi="Garamond" w:cs="Arial"/>
          <w:sz w:val="32"/>
          <w:szCs w:val="32"/>
        </w:rPr>
        <w:t>-legge</w:t>
      </w:r>
      <w:r w:rsidR="00436C73" w:rsidRPr="009D789D">
        <w:rPr>
          <w:rFonts w:ascii="Garamond" w:hAnsi="Garamond" w:cs="Arial"/>
          <w:sz w:val="32"/>
          <w:szCs w:val="32"/>
        </w:rPr>
        <w:t xml:space="preserve"> n. </w:t>
      </w:r>
      <w:r w:rsidR="009D789D" w:rsidRPr="009D789D">
        <w:rPr>
          <w:rFonts w:ascii="Garamond" w:hAnsi="Garamond" w:cs="Arial"/>
          <w:sz w:val="32"/>
          <w:szCs w:val="32"/>
        </w:rPr>
        <w:t>191/2015</w:t>
      </w:r>
      <w:r w:rsidR="00436C73" w:rsidRPr="009D789D">
        <w:rPr>
          <w:rFonts w:ascii="Garamond" w:hAnsi="Garamond" w:cs="Arial"/>
          <w:sz w:val="32"/>
          <w:szCs w:val="32"/>
        </w:rPr>
        <w:t xml:space="preserve"> (C. </w:t>
      </w:r>
      <w:r w:rsidR="009D789D" w:rsidRPr="009D789D">
        <w:rPr>
          <w:rFonts w:ascii="Garamond" w:hAnsi="Garamond" w:cs="Arial"/>
          <w:sz w:val="32"/>
          <w:szCs w:val="32"/>
        </w:rPr>
        <w:t>3481</w:t>
      </w:r>
      <w:r w:rsidR="00436C73" w:rsidRPr="009D789D">
        <w:rPr>
          <w:rFonts w:ascii="Garamond" w:hAnsi="Garamond" w:cs="Arial"/>
          <w:sz w:val="32"/>
          <w:szCs w:val="32"/>
        </w:rPr>
        <w:t xml:space="preserve"> –</w:t>
      </w:r>
      <w:r w:rsidR="00A97B28" w:rsidRPr="009D789D">
        <w:rPr>
          <w:rFonts w:ascii="Garamond" w:hAnsi="Garamond" w:cs="Arial"/>
          <w:sz w:val="32"/>
          <w:szCs w:val="32"/>
        </w:rPr>
        <w:t xml:space="preserve"> </w:t>
      </w:r>
      <w:r w:rsidR="009D789D" w:rsidRPr="009D789D">
        <w:rPr>
          <w:rFonts w:ascii="Garamond" w:hAnsi="Garamond" w:cs="Arial"/>
          <w:sz w:val="32"/>
          <w:szCs w:val="32"/>
        </w:rPr>
        <w:t>cessione ILVA</w:t>
      </w:r>
      <w:r w:rsidR="00A97B28" w:rsidRPr="009D789D">
        <w:rPr>
          <w:rFonts w:ascii="Garamond" w:hAnsi="Garamond" w:cs="Arial"/>
          <w:sz w:val="32"/>
          <w:szCs w:val="32"/>
        </w:rPr>
        <w:t xml:space="preserve">) e n. </w:t>
      </w:r>
      <w:r w:rsidR="009D789D" w:rsidRPr="009D789D">
        <w:rPr>
          <w:rFonts w:ascii="Garamond" w:hAnsi="Garamond" w:cs="Arial"/>
          <w:sz w:val="32"/>
          <w:szCs w:val="32"/>
        </w:rPr>
        <w:t xml:space="preserve">113/2016 </w:t>
      </w:r>
      <w:r w:rsidR="00A97B28" w:rsidRPr="009D789D">
        <w:rPr>
          <w:rFonts w:ascii="Garamond" w:hAnsi="Garamond" w:cs="Arial"/>
          <w:sz w:val="32"/>
          <w:szCs w:val="32"/>
        </w:rPr>
        <w:t xml:space="preserve">(C. </w:t>
      </w:r>
      <w:r w:rsidR="009D789D" w:rsidRPr="009D789D">
        <w:rPr>
          <w:rFonts w:ascii="Garamond" w:hAnsi="Garamond" w:cs="Arial"/>
          <w:sz w:val="32"/>
          <w:szCs w:val="32"/>
        </w:rPr>
        <w:t>3926</w:t>
      </w:r>
      <w:r w:rsidR="00A97B28" w:rsidRPr="009D789D">
        <w:rPr>
          <w:rFonts w:ascii="Garamond" w:hAnsi="Garamond" w:cs="Arial"/>
          <w:sz w:val="32"/>
          <w:szCs w:val="32"/>
        </w:rPr>
        <w:t xml:space="preserve"> – </w:t>
      </w:r>
      <w:r w:rsidR="009D789D" w:rsidRPr="009D789D">
        <w:rPr>
          <w:rFonts w:ascii="Garamond" w:hAnsi="Garamond" w:cs="Arial"/>
          <w:sz w:val="32"/>
          <w:szCs w:val="32"/>
        </w:rPr>
        <w:t>enti territoriali e territorio</w:t>
      </w:r>
      <w:r w:rsidR="00A97B28" w:rsidRPr="009D789D">
        <w:rPr>
          <w:rFonts w:ascii="Garamond" w:hAnsi="Garamond" w:cs="Arial"/>
          <w:sz w:val="32"/>
          <w:szCs w:val="32"/>
        </w:rPr>
        <w:t>)</w:t>
      </w:r>
      <w:r w:rsidR="00436C73" w:rsidRPr="009D789D">
        <w:rPr>
          <w:rFonts w:ascii="Garamond" w:hAnsi="Garamond" w:cs="Arial"/>
          <w:sz w:val="32"/>
          <w:szCs w:val="32"/>
        </w:rPr>
        <w:t xml:space="preserve"> e </w:t>
      </w:r>
      <w:r w:rsidR="009D789D" w:rsidRPr="009D789D">
        <w:rPr>
          <w:rFonts w:ascii="Garamond" w:hAnsi="Garamond" w:cs="Arial"/>
          <w:sz w:val="32"/>
          <w:szCs w:val="32"/>
        </w:rPr>
        <w:t xml:space="preserve">su due </w:t>
      </w:r>
      <w:r w:rsidR="00375201">
        <w:rPr>
          <w:rFonts w:ascii="Garamond" w:hAnsi="Garamond" w:cs="Arial"/>
          <w:sz w:val="32"/>
          <w:szCs w:val="32"/>
        </w:rPr>
        <w:t>proposte</w:t>
      </w:r>
      <w:r w:rsidR="009D789D" w:rsidRPr="009D789D">
        <w:rPr>
          <w:rFonts w:ascii="Garamond" w:hAnsi="Garamond" w:cs="Arial"/>
          <w:sz w:val="32"/>
          <w:szCs w:val="32"/>
        </w:rPr>
        <w:t xml:space="preserve"> di legge, </w:t>
      </w:r>
      <w:r w:rsidR="00A97B28" w:rsidRPr="009D789D">
        <w:rPr>
          <w:rFonts w:ascii="Garamond" w:hAnsi="Garamond" w:cs="Arial"/>
          <w:sz w:val="32"/>
          <w:szCs w:val="32"/>
        </w:rPr>
        <w:t>C. 2</w:t>
      </w:r>
      <w:r w:rsidR="009D789D" w:rsidRPr="009D789D">
        <w:rPr>
          <w:rFonts w:ascii="Garamond" w:hAnsi="Garamond" w:cs="Arial"/>
          <w:sz w:val="32"/>
          <w:szCs w:val="32"/>
        </w:rPr>
        <w:t>212</w:t>
      </w:r>
      <w:r w:rsidR="00A97B28" w:rsidRPr="009D789D">
        <w:rPr>
          <w:rFonts w:ascii="Garamond" w:hAnsi="Garamond" w:cs="Arial"/>
          <w:sz w:val="32"/>
          <w:szCs w:val="32"/>
        </w:rPr>
        <w:t xml:space="preserve"> (</w:t>
      </w:r>
      <w:r w:rsidR="009D789D" w:rsidRPr="009D789D">
        <w:rPr>
          <w:rFonts w:ascii="Garamond" w:hAnsi="Garamond" w:cs="Arial"/>
          <w:sz w:val="32"/>
          <w:szCs w:val="32"/>
        </w:rPr>
        <w:t>gestione acque pubbliche e servizio idrico</w:t>
      </w:r>
      <w:r w:rsidR="00A97B28" w:rsidRPr="009D789D">
        <w:rPr>
          <w:rFonts w:ascii="Garamond" w:hAnsi="Garamond" w:cs="Arial"/>
          <w:sz w:val="32"/>
          <w:szCs w:val="32"/>
        </w:rPr>
        <w:t>)</w:t>
      </w:r>
      <w:r w:rsidR="009D789D" w:rsidRPr="009D789D">
        <w:rPr>
          <w:rFonts w:ascii="Garamond" w:hAnsi="Garamond" w:cs="Arial"/>
          <w:sz w:val="32"/>
          <w:szCs w:val="32"/>
        </w:rPr>
        <w:t xml:space="preserve"> e C. 3634 (unioni civili e convivenze).</w:t>
      </w:r>
    </w:p>
    <w:p w:rsidR="007A199E" w:rsidRDefault="002643A4" w:rsidP="002643A4">
      <w:pPr>
        <w:rPr>
          <w:rFonts w:ascii="Garamond" w:hAnsi="Garamond" w:cs="Arial"/>
          <w:sz w:val="32"/>
          <w:szCs w:val="32"/>
        </w:rPr>
      </w:pPr>
      <w:r>
        <w:rPr>
          <w:rFonts w:ascii="Garamond" w:hAnsi="Garamond" w:cs="Arial"/>
          <w:sz w:val="32"/>
          <w:szCs w:val="32"/>
        </w:rPr>
        <w:t>Il più interessante è i</w:t>
      </w:r>
      <w:r w:rsidR="00180FC5" w:rsidRPr="00180FC5">
        <w:rPr>
          <w:rFonts w:ascii="Garamond" w:hAnsi="Garamond" w:cs="Arial"/>
          <w:sz w:val="32"/>
          <w:szCs w:val="32"/>
        </w:rPr>
        <w:t>l parere s</w:t>
      </w:r>
      <w:r>
        <w:rPr>
          <w:rFonts w:ascii="Garamond" w:hAnsi="Garamond" w:cs="Arial"/>
          <w:sz w:val="32"/>
          <w:szCs w:val="32"/>
        </w:rPr>
        <w:t xml:space="preserve">ulla proposta di legge </w:t>
      </w:r>
      <w:r w:rsidR="00180FC5" w:rsidRPr="00180FC5">
        <w:rPr>
          <w:rFonts w:ascii="Garamond" w:hAnsi="Garamond" w:cs="Arial"/>
          <w:sz w:val="32"/>
          <w:szCs w:val="32"/>
        </w:rPr>
        <w:t xml:space="preserve"> </w:t>
      </w:r>
      <w:r w:rsidR="00180FC5" w:rsidRPr="00180FC5">
        <w:rPr>
          <w:rFonts w:ascii="Garamond" w:hAnsi="Garamond" w:cs="Arial"/>
          <w:sz w:val="32"/>
          <w:szCs w:val="32"/>
          <w:u w:val="single"/>
        </w:rPr>
        <w:t>C. 2212</w:t>
      </w:r>
      <w:r>
        <w:rPr>
          <w:rFonts w:ascii="Garamond" w:hAnsi="Garamond" w:cs="Arial"/>
          <w:sz w:val="32"/>
          <w:szCs w:val="32"/>
        </w:rPr>
        <w:t>, le cui premesse</w:t>
      </w:r>
      <w:r w:rsidR="00180FC5" w:rsidRPr="00180FC5">
        <w:rPr>
          <w:rFonts w:ascii="Garamond" w:hAnsi="Garamond" w:cs="Arial"/>
          <w:sz w:val="32"/>
          <w:szCs w:val="32"/>
        </w:rPr>
        <w:t xml:space="preserve"> </w:t>
      </w:r>
      <w:r>
        <w:rPr>
          <w:rFonts w:ascii="Garamond" w:hAnsi="Garamond" w:cs="Arial"/>
          <w:sz w:val="32"/>
          <w:szCs w:val="32"/>
        </w:rPr>
        <w:t xml:space="preserve"> offrono </w:t>
      </w:r>
      <w:r w:rsidRPr="009D789D">
        <w:rPr>
          <w:rFonts w:ascii="Garamond" w:hAnsi="Garamond" w:cs="Arial"/>
          <w:sz w:val="32"/>
          <w:szCs w:val="32"/>
        </w:rPr>
        <w:t>un ampio campionario di disposizioni di dubbia portata normativa</w:t>
      </w:r>
      <w:r>
        <w:rPr>
          <w:rFonts w:ascii="Garamond" w:hAnsi="Garamond" w:cs="Arial"/>
          <w:sz w:val="32"/>
          <w:szCs w:val="32"/>
        </w:rPr>
        <w:t>:</w:t>
      </w:r>
      <w:r w:rsidRPr="00180FC5">
        <w:rPr>
          <w:rFonts w:ascii="Garamond" w:hAnsi="Garamond" w:cs="Arial"/>
          <w:sz w:val="32"/>
          <w:szCs w:val="32"/>
        </w:rPr>
        <w:t xml:space="preserve"> </w:t>
      </w:r>
      <w:r w:rsidR="00180FC5" w:rsidRPr="00180FC5">
        <w:rPr>
          <w:rFonts w:ascii="Garamond" w:hAnsi="Garamond" w:cs="Arial"/>
          <w:sz w:val="32"/>
          <w:szCs w:val="32"/>
        </w:rPr>
        <w:t>«talune disposizioni presentano un contenuto descrittivo o ricognitivo, soprattutto là dove, all’articolo 2, si soffermano sulla definizione dell’acqua. A titolo esemplificativo, il comma 1, al primo periodo, definisce l’acqua “un bene naturale e un diritto umano universale”; al secondo periodo definisce a sua volta il “diritto all’acqua potabile di qualità nonché ai servizi igienico-sanitari” come “un diritto umano essenziale al pieno godimento della vita e di tutti i diritti umani”; al terzo periodo afferma che “la responsabilità primaria dello Stato di garantire la piena realizzazione di tutti i diritti umani resta ferma anche in caso di delega della fornitura di acqua potabile o di servizi igienico-sanitari a enti di diritto pubblico”; meramente descrittive sono anche le norme contenute al comma 2, primo e quarto periodo, così come contenuto ricognitivo hanno anche le previsioni presenti all’articolo 5, commi 2 e 3, in ordine alle competenze del Ministero dell’ambiente e delle regioni »</w:t>
      </w:r>
      <w:r w:rsidR="00370D88">
        <w:rPr>
          <w:rFonts w:ascii="Garamond" w:hAnsi="Garamond" w:cs="Arial"/>
          <w:sz w:val="32"/>
          <w:szCs w:val="32"/>
        </w:rPr>
        <w:t xml:space="preserve"> (</w:t>
      </w:r>
      <w:hyperlink r:id="rId38" w:anchor="S12a03" w:history="1">
        <w:r w:rsidR="00370D88" w:rsidRPr="00E56E85">
          <w:rPr>
            <w:rStyle w:val="Collegamentoipertestuale"/>
            <w:rFonts w:ascii="Garamond" w:hAnsi="Garamond" w:cs="Arial"/>
            <w:sz w:val="32"/>
            <w:szCs w:val="32"/>
          </w:rPr>
          <w:t>Scheda 12, punto 3</w:t>
        </w:r>
      </w:hyperlink>
      <w:r w:rsidR="00370D88">
        <w:rPr>
          <w:rFonts w:ascii="Garamond" w:hAnsi="Garamond" w:cs="Arial"/>
          <w:sz w:val="32"/>
          <w:szCs w:val="32"/>
        </w:rPr>
        <w:t>)</w:t>
      </w:r>
      <w:r w:rsidR="00C24037">
        <w:rPr>
          <w:rFonts w:ascii="Garamond" w:hAnsi="Garamond" w:cs="Arial"/>
          <w:sz w:val="32"/>
          <w:szCs w:val="32"/>
        </w:rPr>
        <w:t>.</w:t>
      </w:r>
    </w:p>
    <w:p w:rsidR="007A199E" w:rsidRPr="007A199E" w:rsidRDefault="007A199E" w:rsidP="00436C73">
      <w:pPr>
        <w:rPr>
          <w:rFonts w:ascii="Garamond" w:hAnsi="Garamond" w:cs="Arial"/>
          <w:sz w:val="32"/>
          <w:szCs w:val="32"/>
        </w:rPr>
      </w:pPr>
    </w:p>
    <w:p w:rsidR="008446C9" w:rsidRPr="003505A6" w:rsidRDefault="006D669D" w:rsidP="00D504E4">
      <w:pPr>
        <w:spacing w:line="240" w:lineRule="auto"/>
        <w:rPr>
          <w:rFonts w:ascii="Garamond" w:hAnsi="Garamond"/>
          <w:sz w:val="32"/>
          <w:szCs w:val="32"/>
        </w:rPr>
      </w:pPr>
      <w:r w:rsidRPr="003505A6">
        <w:rPr>
          <w:rFonts w:ascii="Garamond" w:hAnsi="Garamond" w:cs="Arial"/>
          <w:sz w:val="32"/>
          <w:szCs w:val="32"/>
        </w:rPr>
        <w:br w:type="page"/>
      </w:r>
    </w:p>
    <w:p w:rsidR="004C7B32" w:rsidRPr="003505A6" w:rsidRDefault="004C7B32" w:rsidP="00D504E4">
      <w:pPr>
        <w:pStyle w:val="Titolo2"/>
        <w:spacing w:before="0"/>
        <w:ind w:left="0" w:firstLine="0"/>
        <w:rPr>
          <w:rFonts w:ascii="Garamond" w:hAnsi="Garamond"/>
          <w:i/>
          <w:color w:val="0000FF"/>
          <w:sz w:val="40"/>
          <w:szCs w:val="40"/>
        </w:rPr>
      </w:pPr>
      <w:bookmarkStart w:id="39" w:name="_Toc458677971"/>
      <w:r w:rsidRPr="003505A6">
        <w:rPr>
          <w:rFonts w:ascii="Garamond" w:hAnsi="Garamond"/>
          <w:i/>
          <w:color w:val="0000FF"/>
          <w:sz w:val="40"/>
          <w:szCs w:val="40"/>
        </w:rPr>
        <w:lastRenderedPageBreak/>
        <w:t>4.</w:t>
      </w:r>
      <w:r w:rsidR="004B31C5" w:rsidRPr="003505A6">
        <w:rPr>
          <w:rFonts w:ascii="Garamond" w:hAnsi="Garamond"/>
          <w:i/>
          <w:color w:val="0000FF"/>
          <w:sz w:val="40"/>
          <w:szCs w:val="40"/>
        </w:rPr>
        <w:t>5</w:t>
      </w:r>
      <w:r w:rsidRPr="003505A6">
        <w:rPr>
          <w:rFonts w:ascii="Garamond" w:hAnsi="Garamond"/>
          <w:i/>
          <w:color w:val="0000FF"/>
          <w:sz w:val="40"/>
          <w:szCs w:val="40"/>
        </w:rPr>
        <w:t>. Sistema delle fonti</w:t>
      </w:r>
      <w:bookmarkEnd w:id="39"/>
      <w:r w:rsidRPr="003505A6">
        <w:rPr>
          <w:rFonts w:ascii="Garamond" w:hAnsi="Garamond"/>
          <w:i/>
          <w:color w:val="0000FF"/>
          <w:sz w:val="40"/>
          <w:szCs w:val="40"/>
        </w:rPr>
        <w:t xml:space="preserve"> </w:t>
      </w:r>
    </w:p>
    <w:p w:rsidR="00D95B76" w:rsidRPr="003505A6" w:rsidRDefault="00707041" w:rsidP="00707041">
      <w:pPr>
        <w:rPr>
          <w:rFonts w:ascii="Garamond" w:hAnsi="Garamond"/>
          <w:sz w:val="32"/>
          <w:szCs w:val="32"/>
        </w:rPr>
      </w:pPr>
      <w:r w:rsidRPr="003505A6">
        <w:rPr>
          <w:rFonts w:ascii="Garamond" w:hAnsi="Garamond"/>
          <w:sz w:val="32"/>
          <w:szCs w:val="32"/>
        </w:rPr>
        <w:t xml:space="preserve">Il Comitato ha sempre dedicato una grande attenzione nei suoi pareri agli aspetti critici legati al sistema delle fonti, </w:t>
      </w:r>
      <w:r w:rsidR="00D95B76" w:rsidRPr="003505A6">
        <w:rPr>
          <w:rFonts w:ascii="Garamond" w:hAnsi="Garamond"/>
          <w:sz w:val="32"/>
          <w:szCs w:val="32"/>
        </w:rPr>
        <w:t>analizzando:</w:t>
      </w:r>
    </w:p>
    <w:p w:rsidR="00D95B76" w:rsidRPr="003505A6" w:rsidRDefault="00D95B76" w:rsidP="00707041">
      <w:pPr>
        <w:rPr>
          <w:rFonts w:ascii="Garamond" w:hAnsi="Garamond"/>
          <w:sz w:val="32"/>
          <w:szCs w:val="32"/>
        </w:rPr>
      </w:pPr>
      <w:r w:rsidRPr="003505A6">
        <w:rPr>
          <w:rFonts w:ascii="Garamond" w:hAnsi="Garamond" w:cs="Arial"/>
          <w:sz w:val="32"/>
          <w:szCs w:val="32"/>
        </w:rPr>
        <w:t>♦</w:t>
      </w:r>
      <w:r w:rsidRPr="003505A6">
        <w:rPr>
          <w:rFonts w:ascii="Garamond" w:hAnsi="Garamond"/>
          <w:sz w:val="32"/>
          <w:szCs w:val="32"/>
        </w:rPr>
        <w:t xml:space="preserve"> </w:t>
      </w:r>
      <w:r w:rsidR="00707041" w:rsidRPr="003505A6">
        <w:rPr>
          <w:rFonts w:ascii="Garamond" w:hAnsi="Garamond"/>
          <w:sz w:val="32"/>
          <w:szCs w:val="32"/>
        </w:rPr>
        <w:t>i rapporti tra le fonti del diritto</w:t>
      </w:r>
      <w:r w:rsidRPr="003505A6">
        <w:rPr>
          <w:rFonts w:ascii="Garamond" w:hAnsi="Garamond"/>
          <w:sz w:val="32"/>
          <w:szCs w:val="32"/>
        </w:rPr>
        <w:t>;</w:t>
      </w:r>
    </w:p>
    <w:p w:rsidR="008F5F88" w:rsidRPr="003505A6" w:rsidRDefault="00D95B76" w:rsidP="00707041">
      <w:pPr>
        <w:rPr>
          <w:rFonts w:ascii="Garamond" w:hAnsi="Garamond"/>
          <w:sz w:val="32"/>
          <w:szCs w:val="32"/>
        </w:rPr>
      </w:pPr>
      <w:r w:rsidRPr="003505A6">
        <w:rPr>
          <w:rFonts w:ascii="Garamond" w:hAnsi="Garamond" w:cs="Arial"/>
          <w:sz w:val="32"/>
          <w:szCs w:val="32"/>
        </w:rPr>
        <w:t>♦</w:t>
      </w:r>
      <w:r w:rsidR="00707041" w:rsidRPr="003505A6">
        <w:rPr>
          <w:rFonts w:ascii="Garamond" w:hAnsi="Garamond"/>
          <w:sz w:val="32"/>
          <w:szCs w:val="32"/>
        </w:rPr>
        <w:t xml:space="preserve"> </w:t>
      </w:r>
      <w:r w:rsidRPr="003505A6">
        <w:rPr>
          <w:rFonts w:ascii="Garamond" w:hAnsi="Garamond"/>
          <w:sz w:val="32"/>
          <w:szCs w:val="32"/>
        </w:rPr>
        <w:t>i</w:t>
      </w:r>
      <w:r w:rsidR="00707041" w:rsidRPr="003505A6">
        <w:rPr>
          <w:rFonts w:ascii="Garamond" w:hAnsi="Garamond"/>
          <w:sz w:val="32"/>
          <w:szCs w:val="32"/>
        </w:rPr>
        <w:t>l</w:t>
      </w:r>
      <w:r w:rsidR="008F5F88" w:rsidRPr="003505A6">
        <w:rPr>
          <w:rFonts w:ascii="Garamond" w:hAnsi="Garamond"/>
          <w:sz w:val="32"/>
          <w:szCs w:val="32"/>
        </w:rPr>
        <w:t xml:space="preserve"> coerente utilizzo delle fonti;</w:t>
      </w:r>
    </w:p>
    <w:p w:rsidR="008F5F88" w:rsidRPr="003505A6" w:rsidRDefault="008F5F88" w:rsidP="00707041">
      <w:pPr>
        <w:rPr>
          <w:rFonts w:ascii="Garamond" w:hAnsi="Garamond"/>
          <w:sz w:val="32"/>
          <w:szCs w:val="32"/>
        </w:rPr>
      </w:pPr>
      <w:r w:rsidRPr="003505A6">
        <w:rPr>
          <w:rFonts w:ascii="Garamond" w:hAnsi="Garamond" w:cs="Arial"/>
          <w:sz w:val="32"/>
          <w:szCs w:val="32"/>
        </w:rPr>
        <w:t xml:space="preserve">♦ </w:t>
      </w:r>
      <w:r w:rsidR="00707041" w:rsidRPr="003505A6">
        <w:rPr>
          <w:rFonts w:ascii="Garamond" w:hAnsi="Garamond"/>
          <w:sz w:val="32"/>
          <w:szCs w:val="32"/>
        </w:rPr>
        <w:t>la sovrapposizione</w:t>
      </w:r>
      <w:r w:rsidRPr="003505A6">
        <w:rPr>
          <w:rFonts w:ascii="Garamond" w:hAnsi="Garamond"/>
          <w:sz w:val="32"/>
          <w:szCs w:val="32"/>
        </w:rPr>
        <w:t xml:space="preserve"> di fonti;</w:t>
      </w:r>
    </w:p>
    <w:p w:rsidR="008F5F88" w:rsidRPr="003505A6" w:rsidRDefault="008F5F88" w:rsidP="00707041">
      <w:pPr>
        <w:rPr>
          <w:rFonts w:ascii="Garamond" w:hAnsi="Garamond"/>
          <w:sz w:val="32"/>
          <w:szCs w:val="32"/>
        </w:rPr>
      </w:pPr>
      <w:r w:rsidRPr="003505A6">
        <w:rPr>
          <w:rFonts w:ascii="Garamond" w:hAnsi="Garamond" w:cs="Arial"/>
          <w:sz w:val="32"/>
          <w:szCs w:val="32"/>
        </w:rPr>
        <w:t xml:space="preserve">♦ </w:t>
      </w:r>
      <w:r w:rsidR="00C73F95" w:rsidRPr="003505A6">
        <w:rPr>
          <w:rFonts w:ascii="Garamond" w:hAnsi="Garamond"/>
          <w:sz w:val="32"/>
          <w:szCs w:val="32"/>
        </w:rPr>
        <w:t>la previsione di adempimenti particolari</w:t>
      </w:r>
      <w:r w:rsidRPr="003505A6">
        <w:rPr>
          <w:rFonts w:ascii="Garamond" w:hAnsi="Garamond"/>
          <w:sz w:val="32"/>
          <w:szCs w:val="32"/>
        </w:rPr>
        <w:t>;</w:t>
      </w:r>
    </w:p>
    <w:p w:rsidR="00707041" w:rsidRPr="003505A6" w:rsidRDefault="008F5F88" w:rsidP="00707041">
      <w:pPr>
        <w:rPr>
          <w:rFonts w:ascii="Garamond" w:hAnsi="Garamond"/>
          <w:sz w:val="32"/>
          <w:szCs w:val="32"/>
        </w:rPr>
      </w:pPr>
      <w:r w:rsidRPr="003505A6">
        <w:rPr>
          <w:rFonts w:ascii="Garamond" w:hAnsi="Garamond" w:cs="Arial"/>
          <w:sz w:val="32"/>
          <w:szCs w:val="32"/>
        </w:rPr>
        <w:t>♦</w:t>
      </w:r>
      <w:r w:rsidR="00C73F95" w:rsidRPr="003505A6">
        <w:rPr>
          <w:rFonts w:ascii="Garamond" w:hAnsi="Garamond"/>
          <w:sz w:val="32"/>
          <w:szCs w:val="32"/>
        </w:rPr>
        <w:t xml:space="preserve"> gli intrecci con altri atti, in particolare con altri decreti-legge in corso di conversione.</w:t>
      </w:r>
    </w:p>
    <w:p w:rsidR="00075C01" w:rsidRPr="003505A6" w:rsidRDefault="00075C01" w:rsidP="00707041">
      <w:pPr>
        <w:rPr>
          <w:rFonts w:ascii="Garamond" w:hAnsi="Garamond"/>
          <w:sz w:val="32"/>
          <w:szCs w:val="32"/>
        </w:rPr>
      </w:pPr>
    </w:p>
    <w:p w:rsidR="00075C01" w:rsidRPr="003505A6" w:rsidRDefault="00075C01" w:rsidP="00707041">
      <w:pPr>
        <w:rPr>
          <w:rFonts w:ascii="Garamond" w:hAnsi="Garamond"/>
          <w:sz w:val="32"/>
          <w:szCs w:val="32"/>
        </w:rPr>
      </w:pPr>
    </w:p>
    <w:p w:rsidR="00C73F95" w:rsidRPr="003505A6" w:rsidRDefault="00B107C3" w:rsidP="00707041">
      <w:pPr>
        <w:rPr>
          <w:rFonts w:ascii="Garamond" w:hAnsi="Garamond"/>
          <w:sz w:val="32"/>
          <w:szCs w:val="32"/>
        </w:rPr>
      </w:pPr>
      <w:r w:rsidRPr="003505A6">
        <w:rPr>
          <w:rFonts w:ascii="Garamond" w:hAnsi="Garamond"/>
          <w:sz w:val="32"/>
          <w:szCs w:val="32"/>
        </w:rPr>
        <w:t>L</w:t>
      </w:r>
      <w:r w:rsidR="0039748A" w:rsidRPr="003505A6">
        <w:rPr>
          <w:rFonts w:ascii="Garamond" w:hAnsi="Garamond"/>
          <w:sz w:val="32"/>
          <w:szCs w:val="32"/>
        </w:rPr>
        <w:t xml:space="preserve">a tabella </w:t>
      </w:r>
      <w:r w:rsidR="00075C01" w:rsidRPr="003505A6">
        <w:rPr>
          <w:rFonts w:ascii="Garamond" w:hAnsi="Garamond"/>
          <w:sz w:val="32"/>
          <w:szCs w:val="32"/>
        </w:rPr>
        <w:t xml:space="preserve">che </w:t>
      </w:r>
      <w:r w:rsidR="0039748A" w:rsidRPr="003505A6">
        <w:rPr>
          <w:rFonts w:ascii="Garamond" w:hAnsi="Garamond"/>
          <w:sz w:val="32"/>
          <w:szCs w:val="32"/>
        </w:rPr>
        <w:t xml:space="preserve">segue </w:t>
      </w:r>
      <w:r w:rsidRPr="003505A6">
        <w:rPr>
          <w:rFonts w:ascii="Garamond" w:hAnsi="Garamond"/>
          <w:sz w:val="32"/>
          <w:szCs w:val="32"/>
        </w:rPr>
        <w:t xml:space="preserve">mostra in maniera eloquente </w:t>
      </w:r>
      <w:r w:rsidR="0039748A" w:rsidRPr="003505A6">
        <w:rPr>
          <w:rFonts w:ascii="Garamond" w:hAnsi="Garamond"/>
          <w:sz w:val="32"/>
          <w:szCs w:val="32"/>
        </w:rPr>
        <w:t xml:space="preserve">la frequenza con la quale </w:t>
      </w:r>
      <w:r w:rsidRPr="003505A6">
        <w:rPr>
          <w:rFonts w:ascii="Garamond" w:hAnsi="Garamond"/>
          <w:sz w:val="32"/>
          <w:szCs w:val="32"/>
        </w:rPr>
        <w:t xml:space="preserve">il Comitato si è soffermato su tali </w:t>
      </w:r>
      <w:r w:rsidR="0039748A" w:rsidRPr="003505A6">
        <w:rPr>
          <w:rFonts w:ascii="Garamond" w:hAnsi="Garamond"/>
          <w:sz w:val="32"/>
          <w:szCs w:val="32"/>
        </w:rPr>
        <w:t>problematiche</w:t>
      </w:r>
      <w:r w:rsidR="008879C6" w:rsidRPr="003505A6">
        <w:rPr>
          <w:rFonts w:ascii="Garamond" w:hAnsi="Garamond"/>
          <w:sz w:val="32"/>
          <w:szCs w:val="32"/>
        </w:rPr>
        <w:t xml:space="preserve">, </w:t>
      </w:r>
      <w:r w:rsidR="008879C6" w:rsidRPr="006359F9">
        <w:rPr>
          <w:rFonts w:ascii="Garamond" w:hAnsi="Garamond"/>
          <w:sz w:val="32"/>
          <w:szCs w:val="32"/>
        </w:rPr>
        <w:t xml:space="preserve">trattate in </w:t>
      </w:r>
      <w:r w:rsidR="008879C6" w:rsidRPr="006359F9">
        <w:rPr>
          <w:rFonts w:ascii="Garamond" w:hAnsi="Garamond"/>
          <w:b/>
          <w:color w:val="0000FF"/>
          <w:sz w:val="32"/>
          <w:szCs w:val="32"/>
        </w:rPr>
        <w:t>2</w:t>
      </w:r>
      <w:r w:rsidR="00A0700E" w:rsidRPr="006359F9">
        <w:rPr>
          <w:rFonts w:ascii="Garamond" w:hAnsi="Garamond"/>
          <w:b/>
          <w:color w:val="0000FF"/>
          <w:sz w:val="32"/>
          <w:szCs w:val="32"/>
        </w:rPr>
        <w:t>1</w:t>
      </w:r>
      <w:r w:rsidR="008879C6" w:rsidRPr="006359F9">
        <w:rPr>
          <w:rFonts w:ascii="Garamond" w:hAnsi="Garamond"/>
          <w:sz w:val="32"/>
          <w:szCs w:val="32"/>
        </w:rPr>
        <w:t xml:space="preserve"> dei </w:t>
      </w:r>
      <w:r w:rsidR="008879C6" w:rsidRPr="006359F9">
        <w:rPr>
          <w:rFonts w:ascii="Garamond" w:hAnsi="Garamond"/>
          <w:b/>
          <w:color w:val="0000FF"/>
          <w:sz w:val="32"/>
          <w:szCs w:val="32"/>
        </w:rPr>
        <w:t>2</w:t>
      </w:r>
      <w:r w:rsidR="00A0700E" w:rsidRPr="006359F9">
        <w:rPr>
          <w:rFonts w:ascii="Garamond" w:hAnsi="Garamond"/>
          <w:b/>
          <w:color w:val="0000FF"/>
          <w:sz w:val="32"/>
          <w:szCs w:val="32"/>
        </w:rPr>
        <w:t>6</w:t>
      </w:r>
      <w:r w:rsidR="008879C6" w:rsidRPr="006359F9">
        <w:rPr>
          <w:rFonts w:ascii="Garamond" w:hAnsi="Garamond"/>
          <w:sz w:val="32"/>
          <w:szCs w:val="32"/>
        </w:rPr>
        <w:t xml:space="preserve"> pareri espressi.</w:t>
      </w:r>
    </w:p>
    <w:p w:rsidR="004A5B05" w:rsidRPr="003505A6" w:rsidRDefault="004A5B05" w:rsidP="00707041">
      <w:pPr>
        <w:rPr>
          <w:rFonts w:ascii="Garamond" w:hAnsi="Garamond"/>
          <w:sz w:val="32"/>
          <w:szCs w:val="32"/>
        </w:rPr>
      </w:pPr>
    </w:p>
    <w:tbl>
      <w:tblPr>
        <w:tblW w:w="5000" w:type="pct"/>
        <w:jc w:val="center"/>
        <w:tblCellMar>
          <w:left w:w="70" w:type="dxa"/>
          <w:right w:w="70" w:type="dxa"/>
        </w:tblCellMar>
        <w:tblLook w:val="0000" w:firstRow="0" w:lastRow="0" w:firstColumn="0" w:lastColumn="0" w:noHBand="0" w:noVBand="0"/>
      </w:tblPr>
      <w:tblGrid>
        <w:gridCol w:w="5375"/>
        <w:gridCol w:w="2701"/>
      </w:tblGrid>
      <w:tr w:rsidR="00A17797" w:rsidRPr="003505A6" w:rsidTr="00B107C3">
        <w:trPr>
          <w:trHeight w:val="799"/>
          <w:jc w:val="center"/>
        </w:trPr>
        <w:tc>
          <w:tcPr>
            <w:tcW w:w="5000" w:type="pct"/>
            <w:gridSpan w:val="2"/>
            <w:tcBorders>
              <w:top w:val="single" w:sz="8" w:space="0" w:color="auto"/>
              <w:left w:val="single" w:sz="8" w:space="0" w:color="auto"/>
              <w:bottom w:val="single" w:sz="8" w:space="0" w:color="auto"/>
              <w:right w:val="single" w:sz="8" w:space="0" w:color="000000"/>
            </w:tcBorders>
            <w:shd w:val="clear" w:color="auto" w:fill="FFFF99"/>
            <w:vAlign w:val="center"/>
          </w:tcPr>
          <w:p w:rsidR="00A17797" w:rsidRPr="003505A6" w:rsidRDefault="00A17797" w:rsidP="00A17797">
            <w:pPr>
              <w:keepNext/>
              <w:spacing w:line="240" w:lineRule="auto"/>
              <w:ind w:firstLine="0"/>
              <w:jc w:val="center"/>
              <w:rPr>
                <w:rFonts w:ascii="Garamond" w:hAnsi="Garamond" w:cs="Arial"/>
                <w:b/>
                <w:bCs/>
                <w:color w:val="0000FF"/>
                <w:sz w:val="28"/>
                <w:szCs w:val="28"/>
              </w:rPr>
            </w:pPr>
            <w:r w:rsidRPr="003505A6">
              <w:rPr>
                <w:rFonts w:ascii="Garamond" w:hAnsi="Garamond" w:cs="Arial"/>
                <w:b/>
                <w:bCs/>
                <w:color w:val="0000FF"/>
                <w:sz w:val="28"/>
                <w:szCs w:val="28"/>
              </w:rPr>
              <w:lastRenderedPageBreak/>
              <w:t>Sistema delle fonti: pareri con notazioni rispetto al totale</w:t>
            </w:r>
          </w:p>
        </w:tc>
      </w:tr>
      <w:tr w:rsidR="00EE2CD5" w:rsidRPr="003505A6" w:rsidTr="00EE2CD5">
        <w:trPr>
          <w:trHeight w:val="799"/>
          <w:jc w:val="center"/>
        </w:trPr>
        <w:tc>
          <w:tcPr>
            <w:tcW w:w="3328" w:type="pct"/>
            <w:tcBorders>
              <w:top w:val="nil"/>
              <w:left w:val="single" w:sz="8" w:space="0" w:color="auto"/>
              <w:bottom w:val="single" w:sz="4" w:space="0" w:color="auto"/>
              <w:right w:val="single" w:sz="8" w:space="0" w:color="auto"/>
            </w:tcBorders>
            <w:shd w:val="clear" w:color="auto" w:fill="auto"/>
            <w:vAlign w:val="center"/>
          </w:tcPr>
          <w:p w:rsidR="00EE2CD5" w:rsidRPr="003505A6" w:rsidRDefault="00EE2CD5" w:rsidP="00637844">
            <w:pPr>
              <w:keepNext/>
              <w:spacing w:line="240" w:lineRule="auto"/>
              <w:ind w:firstLine="0"/>
              <w:jc w:val="left"/>
              <w:rPr>
                <w:rFonts w:ascii="Garamond" w:hAnsi="Garamond" w:cs="Arial"/>
                <w:sz w:val="28"/>
                <w:szCs w:val="28"/>
              </w:rPr>
            </w:pPr>
            <w:r w:rsidRPr="003505A6">
              <w:rPr>
                <w:rFonts w:ascii="Garamond" w:hAnsi="Garamond" w:cs="Arial"/>
                <w:sz w:val="28"/>
                <w:szCs w:val="28"/>
              </w:rPr>
              <w:t>Coordinamento con vigenti fonti normative</w:t>
            </w:r>
          </w:p>
        </w:tc>
        <w:tc>
          <w:tcPr>
            <w:tcW w:w="1672" w:type="pct"/>
            <w:tcBorders>
              <w:top w:val="nil"/>
              <w:left w:val="nil"/>
              <w:bottom w:val="single" w:sz="4" w:space="0" w:color="auto"/>
              <w:right w:val="single" w:sz="8" w:space="0" w:color="auto"/>
            </w:tcBorders>
            <w:shd w:val="clear" w:color="auto" w:fill="auto"/>
            <w:vAlign w:val="center"/>
          </w:tcPr>
          <w:p w:rsidR="00EE2CD5" w:rsidRPr="003505A6" w:rsidRDefault="00EE2CD5" w:rsidP="00A0700E">
            <w:pPr>
              <w:keepNext/>
              <w:spacing w:line="240" w:lineRule="auto"/>
              <w:ind w:firstLine="0"/>
              <w:jc w:val="center"/>
              <w:rPr>
                <w:rFonts w:ascii="Garamond" w:hAnsi="Garamond" w:cs="Arial"/>
                <w:b/>
                <w:bCs/>
                <w:i/>
                <w:sz w:val="28"/>
                <w:szCs w:val="28"/>
              </w:rPr>
            </w:pPr>
            <w:r w:rsidRPr="003505A6">
              <w:rPr>
                <w:rFonts w:ascii="Garamond" w:hAnsi="Garamond" w:cs="Arial"/>
                <w:b/>
                <w:bCs/>
                <w:sz w:val="28"/>
                <w:szCs w:val="28"/>
              </w:rPr>
              <w:t>1</w:t>
            </w:r>
            <w:r w:rsidR="00A0700E">
              <w:rPr>
                <w:rFonts w:ascii="Garamond" w:hAnsi="Garamond" w:cs="Arial"/>
                <w:b/>
                <w:bCs/>
                <w:sz w:val="28"/>
                <w:szCs w:val="28"/>
              </w:rPr>
              <w:t>8</w:t>
            </w:r>
          </w:p>
        </w:tc>
      </w:tr>
      <w:tr w:rsidR="00EE2CD5" w:rsidRPr="003505A6" w:rsidTr="00EE2CD5">
        <w:trPr>
          <w:trHeight w:val="799"/>
          <w:jc w:val="center"/>
        </w:trPr>
        <w:tc>
          <w:tcPr>
            <w:tcW w:w="3328" w:type="pct"/>
            <w:tcBorders>
              <w:top w:val="single" w:sz="4" w:space="0" w:color="auto"/>
              <w:left w:val="single" w:sz="8" w:space="0" w:color="auto"/>
              <w:bottom w:val="single" w:sz="4" w:space="0" w:color="auto"/>
              <w:right w:val="single" w:sz="8" w:space="0" w:color="auto"/>
            </w:tcBorders>
            <w:shd w:val="clear" w:color="auto" w:fill="auto"/>
            <w:vAlign w:val="center"/>
          </w:tcPr>
          <w:p w:rsidR="00EE2CD5" w:rsidRPr="003505A6" w:rsidRDefault="00EE2CD5" w:rsidP="00C23867">
            <w:pPr>
              <w:keepNext/>
              <w:spacing w:line="240" w:lineRule="auto"/>
              <w:ind w:firstLine="0"/>
              <w:jc w:val="left"/>
              <w:rPr>
                <w:rFonts w:ascii="Garamond" w:hAnsi="Garamond" w:cs="Arial"/>
                <w:sz w:val="28"/>
                <w:szCs w:val="28"/>
              </w:rPr>
            </w:pPr>
            <w:r w:rsidRPr="003505A6">
              <w:rPr>
                <w:rFonts w:ascii="Garamond" w:hAnsi="Garamond" w:cs="Arial"/>
                <w:sz w:val="28"/>
                <w:szCs w:val="28"/>
              </w:rPr>
              <w:t>Sovrapposizione di fonti normative</w:t>
            </w:r>
          </w:p>
        </w:tc>
        <w:tc>
          <w:tcPr>
            <w:tcW w:w="1672" w:type="pct"/>
            <w:tcBorders>
              <w:top w:val="single" w:sz="4" w:space="0" w:color="auto"/>
              <w:left w:val="nil"/>
              <w:bottom w:val="single" w:sz="4" w:space="0" w:color="auto"/>
              <w:right w:val="single" w:sz="8" w:space="0" w:color="auto"/>
            </w:tcBorders>
            <w:shd w:val="clear" w:color="auto" w:fill="auto"/>
            <w:vAlign w:val="center"/>
          </w:tcPr>
          <w:p w:rsidR="00EE2CD5" w:rsidRPr="003505A6" w:rsidRDefault="00A0700E" w:rsidP="00EE2CD5">
            <w:pPr>
              <w:keepNext/>
              <w:spacing w:line="240" w:lineRule="auto"/>
              <w:ind w:firstLine="0"/>
              <w:jc w:val="center"/>
              <w:rPr>
                <w:rFonts w:ascii="Garamond" w:hAnsi="Garamond" w:cs="Arial"/>
                <w:b/>
                <w:bCs/>
                <w:i/>
                <w:sz w:val="28"/>
                <w:szCs w:val="28"/>
              </w:rPr>
            </w:pPr>
            <w:r>
              <w:rPr>
                <w:rFonts w:ascii="Garamond" w:hAnsi="Garamond" w:cs="Arial"/>
                <w:b/>
                <w:bCs/>
                <w:sz w:val="28"/>
                <w:szCs w:val="28"/>
              </w:rPr>
              <w:t>3</w:t>
            </w:r>
          </w:p>
        </w:tc>
      </w:tr>
      <w:tr w:rsidR="00EE2CD5" w:rsidRPr="003505A6" w:rsidTr="00EE2CD5">
        <w:trPr>
          <w:trHeight w:val="799"/>
          <w:jc w:val="center"/>
        </w:trPr>
        <w:tc>
          <w:tcPr>
            <w:tcW w:w="3328" w:type="pct"/>
            <w:tcBorders>
              <w:top w:val="single" w:sz="4" w:space="0" w:color="auto"/>
              <w:left w:val="single" w:sz="8" w:space="0" w:color="auto"/>
              <w:bottom w:val="single" w:sz="4" w:space="0" w:color="auto"/>
              <w:right w:val="single" w:sz="8" w:space="0" w:color="auto"/>
            </w:tcBorders>
            <w:shd w:val="clear" w:color="auto" w:fill="auto"/>
            <w:vAlign w:val="center"/>
          </w:tcPr>
          <w:p w:rsidR="00EE2CD5" w:rsidRPr="003505A6" w:rsidRDefault="00EE2CD5" w:rsidP="00C23867">
            <w:pPr>
              <w:keepNext/>
              <w:spacing w:line="240" w:lineRule="auto"/>
              <w:ind w:firstLine="0"/>
              <w:jc w:val="left"/>
              <w:rPr>
                <w:rFonts w:ascii="Garamond" w:hAnsi="Garamond" w:cs="Arial"/>
                <w:sz w:val="28"/>
                <w:szCs w:val="28"/>
              </w:rPr>
            </w:pPr>
            <w:r w:rsidRPr="003505A6">
              <w:rPr>
                <w:rFonts w:ascii="Garamond" w:hAnsi="Garamond" w:cs="Arial"/>
                <w:sz w:val="28"/>
                <w:szCs w:val="28"/>
              </w:rPr>
              <w:t>Coerente utilizzo delle fonti normative</w:t>
            </w:r>
          </w:p>
        </w:tc>
        <w:tc>
          <w:tcPr>
            <w:tcW w:w="1672" w:type="pct"/>
            <w:tcBorders>
              <w:top w:val="single" w:sz="4" w:space="0" w:color="auto"/>
              <w:left w:val="nil"/>
              <w:bottom w:val="single" w:sz="4" w:space="0" w:color="auto"/>
              <w:right w:val="single" w:sz="8" w:space="0" w:color="auto"/>
            </w:tcBorders>
            <w:shd w:val="clear" w:color="auto" w:fill="auto"/>
            <w:vAlign w:val="center"/>
          </w:tcPr>
          <w:p w:rsidR="00EE2CD5" w:rsidRPr="003505A6" w:rsidRDefault="00A0700E" w:rsidP="00EE2CD5">
            <w:pPr>
              <w:keepNext/>
              <w:spacing w:line="240" w:lineRule="auto"/>
              <w:ind w:firstLine="0"/>
              <w:jc w:val="center"/>
              <w:rPr>
                <w:rFonts w:ascii="Garamond" w:hAnsi="Garamond" w:cs="Arial"/>
                <w:b/>
                <w:bCs/>
                <w:i/>
                <w:sz w:val="28"/>
                <w:szCs w:val="28"/>
              </w:rPr>
            </w:pPr>
            <w:r>
              <w:rPr>
                <w:rFonts w:ascii="Garamond" w:hAnsi="Garamond" w:cs="Arial"/>
                <w:b/>
                <w:bCs/>
                <w:sz w:val="28"/>
                <w:szCs w:val="28"/>
              </w:rPr>
              <w:t>10</w:t>
            </w:r>
          </w:p>
        </w:tc>
      </w:tr>
      <w:tr w:rsidR="00EE2CD5" w:rsidRPr="003505A6" w:rsidTr="00EE2CD5">
        <w:trPr>
          <w:trHeight w:val="799"/>
          <w:jc w:val="center"/>
        </w:trPr>
        <w:tc>
          <w:tcPr>
            <w:tcW w:w="3328" w:type="pct"/>
            <w:tcBorders>
              <w:top w:val="nil"/>
              <w:left w:val="single" w:sz="8" w:space="0" w:color="auto"/>
              <w:bottom w:val="single" w:sz="4" w:space="0" w:color="auto"/>
              <w:right w:val="single" w:sz="8" w:space="0" w:color="auto"/>
            </w:tcBorders>
            <w:shd w:val="clear" w:color="auto" w:fill="auto"/>
            <w:vAlign w:val="center"/>
          </w:tcPr>
          <w:p w:rsidR="00EE2CD5" w:rsidRPr="003505A6" w:rsidRDefault="00EE2CD5" w:rsidP="00637844">
            <w:pPr>
              <w:keepNext/>
              <w:spacing w:line="240" w:lineRule="auto"/>
              <w:ind w:firstLine="0"/>
              <w:jc w:val="left"/>
              <w:rPr>
                <w:rFonts w:ascii="Garamond" w:hAnsi="Garamond" w:cs="Arial"/>
                <w:sz w:val="28"/>
                <w:szCs w:val="28"/>
              </w:rPr>
            </w:pPr>
            <w:r w:rsidRPr="003505A6">
              <w:rPr>
                <w:rFonts w:ascii="Garamond" w:hAnsi="Garamond" w:cs="Arial"/>
                <w:sz w:val="28"/>
                <w:szCs w:val="28"/>
              </w:rPr>
              <w:t>Rapporti con fonti subordinate</w:t>
            </w:r>
          </w:p>
        </w:tc>
        <w:tc>
          <w:tcPr>
            <w:tcW w:w="1672" w:type="pct"/>
            <w:tcBorders>
              <w:top w:val="nil"/>
              <w:left w:val="nil"/>
              <w:bottom w:val="single" w:sz="4" w:space="0" w:color="auto"/>
              <w:right w:val="single" w:sz="8" w:space="0" w:color="auto"/>
            </w:tcBorders>
            <w:shd w:val="clear" w:color="auto" w:fill="auto"/>
            <w:vAlign w:val="center"/>
          </w:tcPr>
          <w:p w:rsidR="00EE2CD5" w:rsidRPr="003505A6" w:rsidRDefault="00A0700E" w:rsidP="00EE2CD5">
            <w:pPr>
              <w:keepNext/>
              <w:spacing w:line="240" w:lineRule="auto"/>
              <w:ind w:firstLine="0"/>
              <w:jc w:val="center"/>
              <w:rPr>
                <w:rFonts w:ascii="Garamond" w:hAnsi="Garamond" w:cs="Arial"/>
                <w:b/>
                <w:bCs/>
                <w:i/>
                <w:sz w:val="28"/>
                <w:szCs w:val="28"/>
              </w:rPr>
            </w:pPr>
            <w:r>
              <w:rPr>
                <w:rFonts w:ascii="Garamond" w:hAnsi="Garamond" w:cs="Arial"/>
                <w:b/>
                <w:bCs/>
                <w:sz w:val="28"/>
                <w:szCs w:val="28"/>
              </w:rPr>
              <w:t>5</w:t>
            </w:r>
          </w:p>
        </w:tc>
      </w:tr>
      <w:tr w:rsidR="00EE2CD5" w:rsidRPr="003505A6" w:rsidTr="00EE2CD5">
        <w:trPr>
          <w:trHeight w:val="799"/>
          <w:jc w:val="center"/>
        </w:trPr>
        <w:tc>
          <w:tcPr>
            <w:tcW w:w="3328" w:type="pct"/>
            <w:tcBorders>
              <w:top w:val="single" w:sz="4" w:space="0" w:color="auto"/>
              <w:left w:val="single" w:sz="8" w:space="0" w:color="auto"/>
              <w:bottom w:val="single" w:sz="4" w:space="0" w:color="auto"/>
              <w:right w:val="single" w:sz="8" w:space="0" w:color="auto"/>
            </w:tcBorders>
            <w:shd w:val="clear" w:color="auto" w:fill="auto"/>
            <w:vAlign w:val="center"/>
          </w:tcPr>
          <w:p w:rsidR="00EE2CD5" w:rsidRPr="003505A6" w:rsidRDefault="00EE2CD5" w:rsidP="00A17797">
            <w:pPr>
              <w:keepNext/>
              <w:spacing w:line="240" w:lineRule="auto"/>
              <w:ind w:firstLine="0"/>
              <w:jc w:val="left"/>
              <w:rPr>
                <w:rFonts w:ascii="Garamond" w:hAnsi="Garamond" w:cs="Arial"/>
                <w:sz w:val="28"/>
                <w:szCs w:val="28"/>
              </w:rPr>
            </w:pPr>
            <w:r w:rsidRPr="003505A6">
              <w:rPr>
                <w:rFonts w:ascii="Garamond" w:hAnsi="Garamond" w:cs="Arial"/>
                <w:sz w:val="28"/>
                <w:szCs w:val="28"/>
              </w:rPr>
              <w:t>Delegificazione spuria</w:t>
            </w:r>
          </w:p>
        </w:tc>
        <w:tc>
          <w:tcPr>
            <w:tcW w:w="1672" w:type="pct"/>
            <w:tcBorders>
              <w:top w:val="single" w:sz="4" w:space="0" w:color="auto"/>
              <w:left w:val="nil"/>
              <w:bottom w:val="single" w:sz="4" w:space="0" w:color="auto"/>
              <w:right w:val="single" w:sz="8" w:space="0" w:color="auto"/>
            </w:tcBorders>
            <w:shd w:val="clear" w:color="auto" w:fill="auto"/>
            <w:vAlign w:val="center"/>
          </w:tcPr>
          <w:p w:rsidR="00EE2CD5" w:rsidRPr="003505A6" w:rsidRDefault="004B527E" w:rsidP="00EE2CD5">
            <w:pPr>
              <w:keepNext/>
              <w:spacing w:line="240" w:lineRule="auto"/>
              <w:ind w:firstLine="0"/>
              <w:jc w:val="center"/>
              <w:rPr>
                <w:rFonts w:ascii="Garamond" w:hAnsi="Garamond" w:cs="Arial"/>
                <w:b/>
                <w:bCs/>
                <w:i/>
                <w:sz w:val="28"/>
                <w:szCs w:val="28"/>
              </w:rPr>
            </w:pPr>
            <w:r>
              <w:rPr>
                <w:rFonts w:ascii="Garamond" w:hAnsi="Garamond" w:cs="Arial"/>
                <w:b/>
                <w:bCs/>
                <w:sz w:val="28"/>
                <w:szCs w:val="28"/>
              </w:rPr>
              <w:t>3</w:t>
            </w:r>
          </w:p>
        </w:tc>
      </w:tr>
      <w:tr w:rsidR="00EE2CD5" w:rsidRPr="003505A6" w:rsidTr="00EE2CD5">
        <w:trPr>
          <w:trHeight w:val="799"/>
          <w:jc w:val="center"/>
        </w:trPr>
        <w:tc>
          <w:tcPr>
            <w:tcW w:w="3328" w:type="pct"/>
            <w:tcBorders>
              <w:top w:val="single" w:sz="4" w:space="0" w:color="auto"/>
              <w:left w:val="single" w:sz="8" w:space="0" w:color="auto"/>
              <w:bottom w:val="single" w:sz="4" w:space="0" w:color="auto"/>
              <w:right w:val="single" w:sz="8" w:space="0" w:color="auto"/>
            </w:tcBorders>
            <w:shd w:val="clear" w:color="auto" w:fill="auto"/>
            <w:vAlign w:val="center"/>
          </w:tcPr>
          <w:p w:rsidR="00EE2CD5" w:rsidRPr="003505A6" w:rsidRDefault="00EE2CD5" w:rsidP="00A17797">
            <w:pPr>
              <w:keepNext/>
              <w:spacing w:line="240" w:lineRule="auto"/>
              <w:ind w:firstLine="0"/>
              <w:jc w:val="left"/>
              <w:rPr>
                <w:rFonts w:ascii="Garamond" w:hAnsi="Garamond" w:cs="Arial"/>
                <w:sz w:val="28"/>
                <w:szCs w:val="28"/>
              </w:rPr>
            </w:pPr>
            <w:r w:rsidRPr="003505A6">
              <w:rPr>
                <w:rFonts w:ascii="Garamond" w:hAnsi="Garamond" w:cs="Arial"/>
                <w:sz w:val="28"/>
                <w:szCs w:val="28"/>
              </w:rPr>
              <w:t>DPCM con contenuto normativo</w:t>
            </w:r>
          </w:p>
        </w:tc>
        <w:tc>
          <w:tcPr>
            <w:tcW w:w="1672" w:type="pct"/>
            <w:tcBorders>
              <w:top w:val="single" w:sz="4" w:space="0" w:color="auto"/>
              <w:left w:val="nil"/>
              <w:bottom w:val="single" w:sz="4" w:space="0" w:color="auto"/>
              <w:right w:val="single" w:sz="8" w:space="0" w:color="auto"/>
            </w:tcBorders>
            <w:shd w:val="clear" w:color="auto" w:fill="auto"/>
            <w:vAlign w:val="center"/>
          </w:tcPr>
          <w:p w:rsidR="00EE2CD5" w:rsidRPr="003505A6" w:rsidRDefault="00A0700E" w:rsidP="00EE2CD5">
            <w:pPr>
              <w:keepNext/>
              <w:spacing w:line="240" w:lineRule="auto"/>
              <w:ind w:firstLine="0"/>
              <w:jc w:val="center"/>
              <w:rPr>
                <w:rFonts w:ascii="Garamond" w:hAnsi="Garamond" w:cs="Arial"/>
                <w:b/>
                <w:bCs/>
                <w:i/>
                <w:sz w:val="28"/>
                <w:szCs w:val="28"/>
              </w:rPr>
            </w:pPr>
            <w:r>
              <w:rPr>
                <w:rFonts w:ascii="Garamond" w:hAnsi="Garamond" w:cs="Arial"/>
                <w:b/>
                <w:bCs/>
                <w:sz w:val="28"/>
                <w:szCs w:val="28"/>
              </w:rPr>
              <w:t>6</w:t>
            </w:r>
          </w:p>
        </w:tc>
      </w:tr>
      <w:tr w:rsidR="00EE2CD5" w:rsidRPr="003505A6" w:rsidTr="00EE2CD5">
        <w:trPr>
          <w:trHeight w:val="799"/>
          <w:jc w:val="center"/>
        </w:trPr>
        <w:tc>
          <w:tcPr>
            <w:tcW w:w="3328" w:type="pct"/>
            <w:tcBorders>
              <w:top w:val="single" w:sz="4" w:space="0" w:color="auto"/>
              <w:left w:val="single" w:sz="8" w:space="0" w:color="auto"/>
              <w:bottom w:val="single" w:sz="4" w:space="0" w:color="auto"/>
              <w:right w:val="single" w:sz="8" w:space="0" w:color="auto"/>
            </w:tcBorders>
            <w:shd w:val="clear" w:color="auto" w:fill="auto"/>
            <w:vAlign w:val="center"/>
          </w:tcPr>
          <w:p w:rsidR="00EE2CD5" w:rsidRPr="003505A6" w:rsidRDefault="00EE2CD5" w:rsidP="00A17797">
            <w:pPr>
              <w:keepNext/>
              <w:spacing w:line="240" w:lineRule="auto"/>
              <w:ind w:firstLine="0"/>
              <w:jc w:val="left"/>
              <w:rPr>
                <w:rFonts w:ascii="Garamond" w:hAnsi="Garamond" w:cs="Arial"/>
                <w:sz w:val="28"/>
                <w:szCs w:val="28"/>
              </w:rPr>
            </w:pPr>
            <w:r w:rsidRPr="003505A6">
              <w:rPr>
                <w:rFonts w:ascii="Garamond" w:hAnsi="Garamond" w:cs="Arial"/>
                <w:sz w:val="28"/>
                <w:szCs w:val="28"/>
              </w:rPr>
              <w:t>Adempimenti</w:t>
            </w:r>
          </w:p>
        </w:tc>
        <w:tc>
          <w:tcPr>
            <w:tcW w:w="1672" w:type="pct"/>
            <w:tcBorders>
              <w:top w:val="single" w:sz="4" w:space="0" w:color="auto"/>
              <w:left w:val="nil"/>
              <w:bottom w:val="single" w:sz="4" w:space="0" w:color="auto"/>
              <w:right w:val="single" w:sz="8" w:space="0" w:color="auto"/>
            </w:tcBorders>
            <w:shd w:val="clear" w:color="auto" w:fill="auto"/>
            <w:vAlign w:val="center"/>
          </w:tcPr>
          <w:p w:rsidR="00EE2CD5" w:rsidRPr="003505A6" w:rsidRDefault="00A0700E" w:rsidP="00EE2CD5">
            <w:pPr>
              <w:keepNext/>
              <w:spacing w:line="240" w:lineRule="auto"/>
              <w:ind w:firstLine="0"/>
              <w:jc w:val="center"/>
              <w:rPr>
                <w:rFonts w:ascii="Garamond" w:hAnsi="Garamond" w:cs="Arial"/>
                <w:b/>
                <w:bCs/>
                <w:i/>
                <w:sz w:val="28"/>
                <w:szCs w:val="28"/>
              </w:rPr>
            </w:pPr>
            <w:r>
              <w:rPr>
                <w:rFonts w:ascii="Garamond" w:hAnsi="Garamond" w:cs="Arial"/>
                <w:b/>
                <w:bCs/>
                <w:sz w:val="28"/>
                <w:szCs w:val="28"/>
              </w:rPr>
              <w:t>9</w:t>
            </w:r>
          </w:p>
        </w:tc>
      </w:tr>
      <w:tr w:rsidR="00EE2CD5" w:rsidRPr="003505A6" w:rsidTr="00EE2CD5">
        <w:trPr>
          <w:trHeight w:val="799"/>
          <w:jc w:val="center"/>
        </w:trPr>
        <w:tc>
          <w:tcPr>
            <w:tcW w:w="3328" w:type="pct"/>
            <w:tcBorders>
              <w:top w:val="single" w:sz="4" w:space="0" w:color="auto"/>
              <w:left w:val="single" w:sz="8" w:space="0" w:color="auto"/>
              <w:bottom w:val="single" w:sz="4" w:space="0" w:color="auto"/>
              <w:right w:val="single" w:sz="8" w:space="0" w:color="auto"/>
            </w:tcBorders>
            <w:shd w:val="clear" w:color="auto" w:fill="auto"/>
            <w:vAlign w:val="center"/>
          </w:tcPr>
          <w:p w:rsidR="00EE2CD5" w:rsidRPr="003505A6" w:rsidRDefault="00EE2CD5" w:rsidP="00A17797">
            <w:pPr>
              <w:keepNext/>
              <w:spacing w:line="240" w:lineRule="auto"/>
              <w:ind w:firstLine="0"/>
              <w:jc w:val="left"/>
              <w:rPr>
                <w:rFonts w:ascii="Garamond" w:hAnsi="Garamond" w:cs="Arial"/>
                <w:sz w:val="28"/>
                <w:szCs w:val="28"/>
              </w:rPr>
            </w:pPr>
            <w:r w:rsidRPr="003505A6">
              <w:rPr>
                <w:rFonts w:ascii="Garamond" w:hAnsi="Garamond" w:cs="Arial"/>
                <w:sz w:val="28"/>
                <w:szCs w:val="28"/>
              </w:rPr>
              <w:t>Efficacia temporale</w:t>
            </w:r>
          </w:p>
        </w:tc>
        <w:tc>
          <w:tcPr>
            <w:tcW w:w="1672" w:type="pct"/>
            <w:tcBorders>
              <w:top w:val="single" w:sz="4" w:space="0" w:color="auto"/>
              <w:left w:val="nil"/>
              <w:bottom w:val="single" w:sz="4" w:space="0" w:color="auto"/>
              <w:right w:val="single" w:sz="8" w:space="0" w:color="auto"/>
            </w:tcBorders>
            <w:shd w:val="clear" w:color="auto" w:fill="auto"/>
            <w:vAlign w:val="center"/>
          </w:tcPr>
          <w:p w:rsidR="00EE2CD5" w:rsidRPr="003505A6" w:rsidRDefault="00A0700E" w:rsidP="00EE2CD5">
            <w:pPr>
              <w:keepNext/>
              <w:spacing w:line="240" w:lineRule="auto"/>
              <w:ind w:firstLine="0"/>
              <w:jc w:val="center"/>
              <w:rPr>
                <w:rFonts w:ascii="Garamond" w:hAnsi="Garamond" w:cs="Arial"/>
                <w:b/>
                <w:bCs/>
                <w:i/>
                <w:sz w:val="28"/>
                <w:szCs w:val="28"/>
              </w:rPr>
            </w:pPr>
            <w:r>
              <w:rPr>
                <w:rFonts w:ascii="Garamond" w:hAnsi="Garamond" w:cs="Arial"/>
                <w:b/>
                <w:bCs/>
                <w:sz w:val="28"/>
                <w:szCs w:val="28"/>
              </w:rPr>
              <w:t>5</w:t>
            </w:r>
          </w:p>
        </w:tc>
      </w:tr>
      <w:tr w:rsidR="00A0700E" w:rsidRPr="003505A6" w:rsidTr="00EE2CD5">
        <w:trPr>
          <w:trHeight w:val="799"/>
          <w:jc w:val="center"/>
        </w:trPr>
        <w:tc>
          <w:tcPr>
            <w:tcW w:w="3328" w:type="pct"/>
            <w:tcBorders>
              <w:top w:val="single" w:sz="4" w:space="0" w:color="auto"/>
              <w:left w:val="single" w:sz="8" w:space="0" w:color="auto"/>
              <w:bottom w:val="single" w:sz="4" w:space="0" w:color="auto"/>
              <w:right w:val="single" w:sz="8" w:space="0" w:color="auto"/>
            </w:tcBorders>
            <w:shd w:val="clear" w:color="auto" w:fill="auto"/>
            <w:vAlign w:val="center"/>
          </w:tcPr>
          <w:p w:rsidR="00A0700E" w:rsidRPr="003505A6" w:rsidRDefault="00A0700E" w:rsidP="00A17797">
            <w:pPr>
              <w:keepNext/>
              <w:spacing w:line="240" w:lineRule="auto"/>
              <w:ind w:firstLine="0"/>
              <w:jc w:val="left"/>
              <w:rPr>
                <w:rFonts w:ascii="Garamond" w:hAnsi="Garamond" w:cs="Arial"/>
                <w:sz w:val="28"/>
                <w:szCs w:val="28"/>
              </w:rPr>
            </w:pPr>
            <w:r>
              <w:rPr>
                <w:rFonts w:ascii="Garamond" w:hAnsi="Garamond" w:cs="Arial"/>
                <w:sz w:val="28"/>
                <w:szCs w:val="28"/>
              </w:rPr>
              <w:t>Decreti ministeriali “non regolamentari”</w:t>
            </w:r>
          </w:p>
        </w:tc>
        <w:tc>
          <w:tcPr>
            <w:tcW w:w="1672" w:type="pct"/>
            <w:tcBorders>
              <w:top w:val="single" w:sz="4" w:space="0" w:color="auto"/>
              <w:left w:val="nil"/>
              <w:bottom w:val="single" w:sz="4" w:space="0" w:color="auto"/>
              <w:right w:val="single" w:sz="8" w:space="0" w:color="auto"/>
            </w:tcBorders>
            <w:shd w:val="clear" w:color="auto" w:fill="auto"/>
            <w:vAlign w:val="center"/>
          </w:tcPr>
          <w:p w:rsidR="00A0700E" w:rsidRDefault="00A0700E" w:rsidP="00EE2CD5">
            <w:pPr>
              <w:keepNext/>
              <w:spacing w:line="240" w:lineRule="auto"/>
              <w:ind w:firstLine="0"/>
              <w:jc w:val="center"/>
              <w:rPr>
                <w:rFonts w:ascii="Garamond" w:hAnsi="Garamond" w:cs="Arial"/>
                <w:b/>
                <w:bCs/>
                <w:sz w:val="28"/>
                <w:szCs w:val="28"/>
              </w:rPr>
            </w:pPr>
            <w:r>
              <w:rPr>
                <w:rFonts w:ascii="Garamond" w:hAnsi="Garamond" w:cs="Arial"/>
                <w:b/>
                <w:bCs/>
                <w:sz w:val="28"/>
                <w:szCs w:val="28"/>
              </w:rPr>
              <w:t>3</w:t>
            </w:r>
          </w:p>
        </w:tc>
      </w:tr>
    </w:tbl>
    <w:p w:rsidR="0039748A" w:rsidRPr="003505A6" w:rsidRDefault="0039748A" w:rsidP="00707041">
      <w:pPr>
        <w:rPr>
          <w:rFonts w:ascii="Garamond" w:hAnsi="Garamond"/>
          <w:sz w:val="32"/>
          <w:szCs w:val="32"/>
        </w:rPr>
      </w:pPr>
    </w:p>
    <w:p w:rsidR="00D504E4" w:rsidRPr="003505A6" w:rsidRDefault="00D504E4" w:rsidP="00707041">
      <w:pPr>
        <w:rPr>
          <w:rFonts w:ascii="Garamond" w:hAnsi="Garamond"/>
          <w:sz w:val="32"/>
          <w:szCs w:val="32"/>
        </w:rPr>
      </w:pPr>
    </w:p>
    <w:p w:rsidR="002D4953" w:rsidRPr="003505A6" w:rsidRDefault="006D669D" w:rsidP="00707041">
      <w:pPr>
        <w:rPr>
          <w:rFonts w:ascii="Garamond" w:hAnsi="Garamond"/>
          <w:sz w:val="32"/>
          <w:szCs w:val="32"/>
        </w:rPr>
      </w:pPr>
      <w:r w:rsidRPr="006359F9">
        <w:rPr>
          <w:rFonts w:ascii="Garamond" w:hAnsi="Garamond"/>
          <w:sz w:val="32"/>
          <w:szCs w:val="32"/>
        </w:rPr>
        <w:t xml:space="preserve">La </w:t>
      </w:r>
      <w:hyperlink r:id="rId39" w:anchor="TABELLA04" w:history="1">
        <w:r w:rsidRPr="006359F9">
          <w:rPr>
            <w:rStyle w:val="Collegamentoipertestuale"/>
            <w:rFonts w:ascii="Garamond" w:hAnsi="Garamond"/>
            <w:sz w:val="32"/>
            <w:szCs w:val="32"/>
          </w:rPr>
          <w:t>tabella 4</w:t>
        </w:r>
      </w:hyperlink>
      <w:r w:rsidRPr="006359F9">
        <w:rPr>
          <w:rFonts w:ascii="Garamond" w:hAnsi="Garamond"/>
          <w:sz w:val="32"/>
          <w:szCs w:val="32"/>
        </w:rPr>
        <w:t xml:space="preserve"> illustra nel dettaglio i pareri espressi dal Comitato</w:t>
      </w:r>
      <w:r w:rsidRPr="003505A6">
        <w:rPr>
          <w:rFonts w:ascii="Garamond" w:hAnsi="Garamond"/>
          <w:sz w:val="32"/>
          <w:szCs w:val="32"/>
        </w:rPr>
        <w:t xml:space="preserve"> sugli specifici aspetti.</w:t>
      </w:r>
    </w:p>
    <w:p w:rsidR="002D4953" w:rsidRPr="003505A6" w:rsidRDefault="002D4953" w:rsidP="00707041">
      <w:pPr>
        <w:rPr>
          <w:rFonts w:ascii="Garamond" w:hAnsi="Garamond"/>
          <w:sz w:val="32"/>
          <w:szCs w:val="32"/>
        </w:rPr>
      </w:pPr>
    </w:p>
    <w:p w:rsidR="008F59FD" w:rsidRDefault="008F59FD" w:rsidP="00707041">
      <w:pPr>
        <w:rPr>
          <w:rFonts w:ascii="Garamond" w:hAnsi="Garamond"/>
          <w:sz w:val="32"/>
          <w:szCs w:val="32"/>
        </w:rPr>
      </w:pPr>
      <w:r>
        <w:rPr>
          <w:rFonts w:ascii="Garamond" w:hAnsi="Garamond"/>
          <w:sz w:val="32"/>
          <w:szCs w:val="32"/>
        </w:rPr>
        <w:t>I pareri più interessanti investono per lo più progetti di legge co</w:t>
      </w:r>
      <w:r w:rsidR="00FC3882">
        <w:rPr>
          <w:rFonts w:ascii="Garamond" w:hAnsi="Garamond"/>
          <w:sz w:val="32"/>
          <w:szCs w:val="32"/>
        </w:rPr>
        <w:t>ntenenti disposizioni di delega.</w:t>
      </w:r>
      <w:r>
        <w:rPr>
          <w:rFonts w:ascii="Garamond" w:hAnsi="Garamond"/>
          <w:sz w:val="32"/>
          <w:szCs w:val="32"/>
        </w:rPr>
        <w:t xml:space="preserve"> Tra tutti, si citano </w:t>
      </w:r>
      <w:r w:rsidR="00DA133F">
        <w:rPr>
          <w:rFonts w:ascii="Garamond" w:hAnsi="Garamond"/>
          <w:sz w:val="32"/>
          <w:szCs w:val="32"/>
        </w:rPr>
        <w:t>7</w:t>
      </w:r>
      <w:r>
        <w:rPr>
          <w:rFonts w:ascii="Garamond" w:hAnsi="Garamond"/>
          <w:sz w:val="32"/>
          <w:szCs w:val="32"/>
        </w:rPr>
        <w:t xml:space="preserve"> pareri</w:t>
      </w:r>
      <w:r w:rsidR="00FC3882">
        <w:rPr>
          <w:rFonts w:ascii="Garamond" w:hAnsi="Garamond"/>
          <w:sz w:val="32"/>
          <w:szCs w:val="32"/>
        </w:rPr>
        <w:t>, il primo dei quali riguardante un disegno di legge di conversione</w:t>
      </w:r>
      <w:r>
        <w:rPr>
          <w:rFonts w:ascii="Garamond" w:hAnsi="Garamond"/>
          <w:sz w:val="32"/>
          <w:szCs w:val="32"/>
        </w:rPr>
        <w:t>:</w:t>
      </w:r>
    </w:p>
    <w:p w:rsidR="008F59FD" w:rsidRDefault="00DA133F" w:rsidP="00707041">
      <w:pPr>
        <w:rPr>
          <w:rFonts w:ascii="Garamond" w:hAnsi="Garamond"/>
          <w:sz w:val="32"/>
          <w:szCs w:val="32"/>
        </w:rPr>
      </w:pPr>
      <w:r>
        <w:rPr>
          <w:rFonts w:ascii="Garamond" w:hAnsi="Garamond"/>
          <w:sz w:val="32"/>
          <w:szCs w:val="32"/>
        </w:rPr>
        <w:t xml:space="preserve">♦ </w:t>
      </w:r>
      <w:r w:rsidR="008F59FD">
        <w:rPr>
          <w:rFonts w:ascii="Garamond" w:hAnsi="Garamond"/>
          <w:sz w:val="32"/>
          <w:szCs w:val="32"/>
        </w:rPr>
        <w:t xml:space="preserve">nelle premesse del parere sul decreto-legge </w:t>
      </w:r>
      <w:r>
        <w:rPr>
          <w:rFonts w:ascii="Garamond" w:hAnsi="Garamond"/>
          <w:sz w:val="32"/>
          <w:szCs w:val="32"/>
        </w:rPr>
        <w:t xml:space="preserve">n. </w:t>
      </w:r>
      <w:r w:rsidR="008F59FD">
        <w:rPr>
          <w:rFonts w:ascii="Garamond" w:hAnsi="Garamond"/>
          <w:sz w:val="32"/>
          <w:szCs w:val="32"/>
        </w:rPr>
        <w:t xml:space="preserve">191/2015 (ILVA) si segnala che </w:t>
      </w:r>
      <w:r w:rsidR="008F59FD" w:rsidRPr="008F59FD">
        <w:rPr>
          <w:rFonts w:ascii="Garamond" w:hAnsi="Garamond"/>
          <w:sz w:val="32"/>
          <w:szCs w:val="32"/>
        </w:rPr>
        <w:t xml:space="preserve">«il decreto-legge, all'articolo 1, comma 8, perpetua la catena di </w:t>
      </w:r>
      <w:r w:rsidR="008F59FD" w:rsidRPr="00FC3882">
        <w:rPr>
          <w:rFonts w:ascii="Garamond" w:hAnsi="Garamond"/>
          <w:sz w:val="32"/>
          <w:szCs w:val="32"/>
          <w:u w:val="single"/>
        </w:rPr>
        <w:t>decreti del Presidente del Consiglio dei ministri</w:t>
      </w:r>
      <w:r w:rsidR="008F59FD" w:rsidRPr="008F59FD">
        <w:rPr>
          <w:rFonts w:ascii="Garamond" w:hAnsi="Garamond"/>
          <w:sz w:val="32"/>
          <w:szCs w:val="32"/>
        </w:rPr>
        <w:t xml:space="preserve"> su proposta dei Ministri di settore prevista con riguardo alla vicenda ILVA, prevedendo, in particolare, che eventuali </w:t>
      </w:r>
      <w:r w:rsidR="008F59FD" w:rsidRPr="008F59FD">
        <w:rPr>
          <w:rFonts w:ascii="Garamond" w:hAnsi="Garamond"/>
          <w:sz w:val="32"/>
          <w:szCs w:val="32"/>
        </w:rPr>
        <w:lastRenderedPageBreak/>
        <w:t xml:space="preserve">modifiche e integrazioni al Piano delle misure e delle attività di tutela ambientale e sanitaria debbano essere approvate con la stessa procedura prevista per l'adozione del Piano: decreto del Presidente del Consiglio dei ministri su proposta dei Ministri di settore, previa deliberazione del Consiglio dei ministri. In tal modo, si deroga implicitamente alla </w:t>
      </w:r>
      <w:r w:rsidR="008F59FD" w:rsidRPr="00315D11">
        <w:rPr>
          <w:rFonts w:ascii="Garamond" w:hAnsi="Garamond"/>
          <w:sz w:val="32"/>
          <w:szCs w:val="32"/>
        </w:rPr>
        <w:t xml:space="preserve">legge n. 400 del 1988 (che non prevede in via generale l'adozione di DPCM su proposta di ministri) e all'articolo 1, comma 1, lettera </w:t>
      </w:r>
      <w:r w:rsidR="008F59FD" w:rsidRPr="00315D11">
        <w:rPr>
          <w:rFonts w:ascii="Garamond" w:hAnsi="Garamond"/>
          <w:i/>
          <w:sz w:val="32"/>
          <w:szCs w:val="32"/>
        </w:rPr>
        <w:t>ii</w:t>
      </w:r>
      <w:r w:rsidR="008F59FD" w:rsidRPr="00315D11">
        <w:rPr>
          <w:rFonts w:ascii="Garamond" w:hAnsi="Garamond"/>
          <w:sz w:val="32"/>
          <w:szCs w:val="32"/>
        </w:rPr>
        <w:t>) della legge 12 gennaio 1991, n. 13, in base alla quale sono adottati con decreto del Presidente della Repubb</w:t>
      </w:r>
      <w:r w:rsidR="008F59FD" w:rsidRPr="008F59FD">
        <w:rPr>
          <w:rFonts w:ascii="Garamond" w:hAnsi="Garamond"/>
          <w:sz w:val="32"/>
          <w:szCs w:val="32"/>
        </w:rPr>
        <w:t xml:space="preserve">lica “tutti gli atti per i quali è </w:t>
      </w:r>
      <w:r w:rsidR="008F59FD" w:rsidRPr="006359F9">
        <w:rPr>
          <w:rFonts w:ascii="Garamond" w:hAnsi="Garamond"/>
          <w:sz w:val="32"/>
          <w:szCs w:val="32"/>
        </w:rPr>
        <w:t>intervenuta la deliberazione del Consiglio dei Ministri”» (</w:t>
      </w:r>
      <w:hyperlink r:id="rId40" w:anchor="S03a03" w:history="1">
        <w:r w:rsidR="008F59FD" w:rsidRPr="006359F9">
          <w:rPr>
            <w:rStyle w:val="Collegamentoipertestuale"/>
            <w:rFonts w:ascii="Garamond" w:hAnsi="Garamond"/>
            <w:sz w:val="32"/>
            <w:szCs w:val="32"/>
          </w:rPr>
          <w:t>Scheda 3, punto 3</w:t>
        </w:r>
      </w:hyperlink>
      <w:r w:rsidR="008F59FD" w:rsidRPr="006359F9">
        <w:rPr>
          <w:rFonts w:ascii="Garamond" w:hAnsi="Garamond"/>
          <w:sz w:val="32"/>
          <w:szCs w:val="32"/>
        </w:rPr>
        <w:t>). Ne consegue la seguente raccomandazione:</w:t>
      </w:r>
    </w:p>
    <w:p w:rsidR="00FB7A6A" w:rsidRDefault="008F59FD" w:rsidP="00707041">
      <w:pPr>
        <w:rPr>
          <w:rFonts w:ascii="Garamond" w:hAnsi="Garamond"/>
          <w:sz w:val="32"/>
          <w:szCs w:val="32"/>
        </w:rPr>
      </w:pPr>
      <w:r>
        <w:rPr>
          <w:rFonts w:ascii="Garamond" w:hAnsi="Garamond"/>
          <w:sz w:val="32"/>
          <w:szCs w:val="32"/>
        </w:rPr>
        <w:t>«</w:t>
      </w:r>
      <w:r w:rsidRPr="008F59FD">
        <w:rPr>
          <w:rFonts w:ascii="Garamond" w:hAnsi="Garamond"/>
          <w:sz w:val="32"/>
          <w:szCs w:val="32"/>
        </w:rPr>
        <w:t xml:space="preserve">ribadendo il rilievo già più volte formulato sulla necessità che sia assicurata la coerenza degli strumenti normativi impiegati con particolare riguardo all'esigenza di garantire che ciascuno di essi sia utilizzato in modo coerente rispetto alle proprie caratteristiche e sia adottato sulla base della procedura per esso prevista, abbia in particolare cura il legislatore di attenersi al procedimento delineato dall'articolo 1, comma 1, lettera </w:t>
      </w:r>
      <w:r w:rsidRPr="008F59FD">
        <w:rPr>
          <w:rFonts w:ascii="Garamond" w:hAnsi="Garamond"/>
          <w:i/>
          <w:sz w:val="32"/>
          <w:szCs w:val="32"/>
        </w:rPr>
        <w:t>ii)</w:t>
      </w:r>
      <w:r w:rsidRPr="008F59FD">
        <w:rPr>
          <w:rFonts w:ascii="Garamond" w:hAnsi="Garamond"/>
          <w:sz w:val="32"/>
          <w:szCs w:val="32"/>
        </w:rPr>
        <w:t xml:space="preserve"> della legge 12 gennaio 1991, n. 13, in base alla quale «tutti gli atti per i quali è intervenuta la deliberazione del Consiglio dei Ministri» sono adottati con decreto del Presidente della Repubblica, astenendosi conseguentemente dal prevedere l'adozione di decreti del Presidente del Consiglio previa delibera </w:t>
      </w:r>
      <w:r w:rsidRPr="006359F9">
        <w:rPr>
          <w:rFonts w:ascii="Garamond" w:hAnsi="Garamond"/>
          <w:sz w:val="32"/>
          <w:szCs w:val="32"/>
        </w:rPr>
        <w:t>del Consiglio dei ministri» (</w:t>
      </w:r>
      <w:hyperlink r:id="rId41" w:anchor="S03r01" w:history="1">
        <w:r w:rsidRPr="006359F9">
          <w:rPr>
            <w:rStyle w:val="Collegamentoipertestuale"/>
            <w:rFonts w:ascii="Garamond" w:hAnsi="Garamond"/>
            <w:sz w:val="32"/>
            <w:szCs w:val="32"/>
          </w:rPr>
          <w:t>Scheda 3, raccomandazione 1</w:t>
        </w:r>
      </w:hyperlink>
      <w:r w:rsidRPr="006359F9">
        <w:rPr>
          <w:rFonts w:ascii="Garamond" w:hAnsi="Garamond"/>
          <w:sz w:val="32"/>
          <w:szCs w:val="32"/>
        </w:rPr>
        <w:t>);</w:t>
      </w:r>
    </w:p>
    <w:p w:rsidR="008B1324" w:rsidRDefault="00DA133F" w:rsidP="00707041">
      <w:pPr>
        <w:rPr>
          <w:rFonts w:ascii="Garamond" w:hAnsi="Garamond"/>
          <w:sz w:val="32"/>
          <w:szCs w:val="32"/>
        </w:rPr>
      </w:pPr>
      <w:r>
        <w:rPr>
          <w:rFonts w:ascii="Garamond" w:hAnsi="Garamond"/>
          <w:sz w:val="32"/>
          <w:szCs w:val="32"/>
        </w:rPr>
        <w:t xml:space="preserve">♦ </w:t>
      </w:r>
      <w:r w:rsidR="008B1324">
        <w:rPr>
          <w:rFonts w:ascii="Garamond" w:hAnsi="Garamond"/>
          <w:sz w:val="32"/>
          <w:szCs w:val="32"/>
        </w:rPr>
        <w:t>nel</w:t>
      </w:r>
      <w:r w:rsidR="008F59FD">
        <w:rPr>
          <w:rFonts w:ascii="Garamond" w:hAnsi="Garamond"/>
          <w:sz w:val="32"/>
          <w:szCs w:val="32"/>
        </w:rPr>
        <w:t xml:space="preserve">le premesse del parere sul disegno di legge C. 2039 (consumo del suolo) </w:t>
      </w:r>
      <w:r w:rsidR="008B1324">
        <w:rPr>
          <w:rFonts w:ascii="Garamond" w:hAnsi="Garamond"/>
          <w:sz w:val="32"/>
          <w:szCs w:val="32"/>
        </w:rPr>
        <w:t xml:space="preserve">il Comitato rileva che </w:t>
      </w:r>
      <w:r w:rsidR="008B1324" w:rsidRPr="008B1324">
        <w:rPr>
          <w:rFonts w:ascii="Garamond" w:hAnsi="Garamond"/>
          <w:sz w:val="32"/>
          <w:szCs w:val="32"/>
        </w:rPr>
        <w:t xml:space="preserve">«il disegno di legge, allo scopo di conseguire l'obiettivo della progressiva riduzione del consumo del suolo a livello nazionale e di ripartire a livello regionale i quantitativi di consumo del suolo disponibili, delinea una </w:t>
      </w:r>
      <w:r w:rsidR="008B1324" w:rsidRPr="00FC3882">
        <w:rPr>
          <w:rFonts w:ascii="Garamond" w:hAnsi="Garamond"/>
          <w:sz w:val="32"/>
          <w:szCs w:val="32"/>
          <w:u w:val="single"/>
        </w:rPr>
        <w:t>complessa procedura</w:t>
      </w:r>
      <w:r w:rsidR="008B1324" w:rsidRPr="008B1324">
        <w:rPr>
          <w:rFonts w:ascii="Garamond" w:hAnsi="Garamond"/>
          <w:sz w:val="32"/>
          <w:szCs w:val="32"/>
        </w:rPr>
        <w:t xml:space="preserve"> che prevede l'adozione di </w:t>
      </w:r>
      <w:r w:rsidR="008B1324" w:rsidRPr="00FC3882">
        <w:rPr>
          <w:rFonts w:ascii="Garamond" w:hAnsi="Garamond"/>
          <w:sz w:val="32"/>
          <w:szCs w:val="32"/>
          <w:u w:val="single"/>
        </w:rPr>
        <w:t>numerosi atti attuativi</w:t>
      </w:r>
      <w:r w:rsidR="008B1324" w:rsidRPr="008B1324">
        <w:rPr>
          <w:rFonts w:ascii="Garamond" w:hAnsi="Garamond"/>
          <w:sz w:val="32"/>
          <w:szCs w:val="32"/>
        </w:rPr>
        <w:t xml:space="preserve"> dell'Esecutivo nazionale, di deliberazioni della Conferenza unificata e di disposizioni regionali attuative, disciplinando l'esercizio del potere sostitutivo dello Stato nel caso di inerzia a provvedere della Conferenza unificata o degli </w:t>
      </w:r>
      <w:r w:rsidR="008B1324" w:rsidRPr="008B1324">
        <w:rPr>
          <w:rFonts w:ascii="Garamond" w:hAnsi="Garamond"/>
          <w:sz w:val="32"/>
          <w:szCs w:val="32"/>
        </w:rPr>
        <w:lastRenderedPageBreak/>
        <w:t xml:space="preserve">enti territoriali; tale procedura contempla, tra l'altro, il ricorso a strumenti atipici ai quali viene assegnata una funzione di natura normativa; in particolare, il testo prevede l'adozione di direttive del Ministro di settore alle quali si assegna il compito di definire, tra l'altro, le modalità e criteri per l'attuazione della legge (articolo 3, comma 7). In relazione al ricorso a tali strumenti (dei quali, peraltro, non è neppure obbligatoria la pubblicazione in </w:t>
      </w:r>
      <w:r w:rsidR="008B1324" w:rsidRPr="008B1324">
        <w:rPr>
          <w:rFonts w:ascii="Garamond" w:hAnsi="Garamond"/>
          <w:i/>
          <w:iCs/>
          <w:sz w:val="32"/>
          <w:szCs w:val="32"/>
        </w:rPr>
        <w:t>Gazzetta Ufficiale</w:t>
      </w:r>
      <w:r w:rsidR="008B1324" w:rsidRPr="008B1324">
        <w:rPr>
          <w:rFonts w:ascii="Garamond" w:hAnsi="Garamond"/>
          <w:sz w:val="32"/>
          <w:szCs w:val="32"/>
        </w:rPr>
        <w:t xml:space="preserve">) in luogo di regolamenti adottati ai sensi dell'articolo 17, comma 3, della legge n. 400 del 1988, come più volte segnalato dal Comitato, si ricorda che l'Adunanza Plenaria del Consiglio di Stato, con sentenza 4 maggio 2012, n. 9, sulla natura giuridica dell'articolo 4 del decreto ministeriale 6 febbraio 2006, ha osservato che: </w:t>
      </w:r>
      <w:r w:rsidR="008B1324" w:rsidRPr="008B1324">
        <w:rPr>
          <w:rFonts w:ascii="Garamond" w:hAnsi="Garamond"/>
          <w:i/>
          <w:iCs/>
          <w:sz w:val="32"/>
          <w:szCs w:val="32"/>
        </w:rPr>
        <w:t xml:space="preserve">“deve rilevarsi che, nonostante la crescente diffusione di quel fenomeno efficacemente descritto in termini di ’fuga dal regolamento‘ (che si manifesta, talvolta anche in base ad esplicite indicazioni legislative, tramite l'adozione di atti normativi secondari che si autoqualificano in termini non regolamentari) deve, in linea di principio, escludersi che il potere normativo dei Ministri e, più in generale, del Governo possa esercitarsi medianti atti ’atipici‘, di natura non </w:t>
      </w:r>
      <w:r w:rsidR="008B1324" w:rsidRPr="006359F9">
        <w:rPr>
          <w:rFonts w:ascii="Garamond" w:hAnsi="Garamond"/>
          <w:i/>
          <w:iCs/>
          <w:sz w:val="32"/>
          <w:szCs w:val="32"/>
        </w:rPr>
        <w:t>regolamentare</w:t>
      </w:r>
      <w:r w:rsidR="008B1324" w:rsidRPr="006359F9">
        <w:rPr>
          <w:rFonts w:ascii="Garamond" w:hAnsi="Garamond"/>
          <w:sz w:val="32"/>
          <w:szCs w:val="32"/>
        </w:rPr>
        <w:t>”» (</w:t>
      </w:r>
      <w:hyperlink r:id="rId42" w:anchor="S10a04" w:history="1">
        <w:r w:rsidR="008B1324" w:rsidRPr="006359F9">
          <w:rPr>
            <w:rStyle w:val="Collegamentoipertestuale"/>
            <w:rFonts w:ascii="Garamond" w:hAnsi="Garamond"/>
            <w:sz w:val="32"/>
            <w:szCs w:val="32"/>
          </w:rPr>
          <w:t>Scheda 10, punto 4</w:t>
        </w:r>
      </w:hyperlink>
      <w:r w:rsidR="008B1324" w:rsidRPr="006359F9">
        <w:rPr>
          <w:rFonts w:ascii="Garamond" w:hAnsi="Garamond"/>
          <w:sz w:val="32"/>
          <w:szCs w:val="32"/>
        </w:rPr>
        <w:t>);</w:t>
      </w:r>
    </w:p>
    <w:p w:rsidR="008B1324" w:rsidRDefault="00DA133F" w:rsidP="008B1324">
      <w:pPr>
        <w:rPr>
          <w:rFonts w:ascii="Garamond" w:hAnsi="Garamond"/>
          <w:sz w:val="32"/>
          <w:szCs w:val="32"/>
        </w:rPr>
      </w:pPr>
      <w:r>
        <w:rPr>
          <w:rFonts w:ascii="Garamond" w:hAnsi="Garamond"/>
          <w:sz w:val="32"/>
          <w:szCs w:val="32"/>
        </w:rPr>
        <w:t xml:space="preserve">♦ </w:t>
      </w:r>
      <w:r w:rsidR="008B1324">
        <w:rPr>
          <w:rFonts w:ascii="Garamond" w:hAnsi="Garamond"/>
          <w:sz w:val="32"/>
          <w:szCs w:val="32"/>
        </w:rPr>
        <w:t>nelle premesse del parere sulla proposta di legge 2212 (gestione acque pubbliche e servizio idrico)</w:t>
      </w:r>
      <w:r w:rsidR="008B1324" w:rsidRPr="008B1324">
        <w:rPr>
          <w:rFonts w:ascii="Garamond" w:hAnsi="Garamond"/>
          <w:sz w:val="32"/>
          <w:szCs w:val="32"/>
        </w:rPr>
        <w:t xml:space="preserve"> </w:t>
      </w:r>
      <w:r w:rsidR="008B1324">
        <w:rPr>
          <w:rFonts w:ascii="Garamond" w:hAnsi="Garamond"/>
          <w:sz w:val="32"/>
          <w:szCs w:val="32"/>
        </w:rPr>
        <w:t xml:space="preserve">il Comitato si sofferma sulle previsioni che, nel demandare al Governo compiti attuativi, gli lasciano ampia discrezionalità: </w:t>
      </w:r>
      <w:r w:rsidR="008B1324" w:rsidRPr="008B1324">
        <w:rPr>
          <w:rFonts w:ascii="Garamond" w:hAnsi="Garamond"/>
          <w:sz w:val="32"/>
          <w:szCs w:val="32"/>
        </w:rPr>
        <w:t xml:space="preserve">«la proposta di legge, in alcuni casi, </w:t>
      </w:r>
      <w:r w:rsidR="008B1324" w:rsidRPr="00FC3882">
        <w:rPr>
          <w:rFonts w:ascii="Garamond" w:hAnsi="Garamond"/>
          <w:sz w:val="32"/>
          <w:szCs w:val="32"/>
          <w:u w:val="single"/>
        </w:rPr>
        <w:t>conferisce compiti al Governo senza circoscriverne adeguatamente la discrezionalità nella relativa esecuzione</w:t>
      </w:r>
      <w:r w:rsidR="008B1324" w:rsidRPr="008B1324">
        <w:rPr>
          <w:rFonts w:ascii="Garamond" w:hAnsi="Garamond"/>
          <w:sz w:val="32"/>
          <w:szCs w:val="32"/>
        </w:rPr>
        <w:t xml:space="preserve">, o senza adeguatamente specificare a quali soggetti i suddetti compiti sono conferiti. In particolare, all’articolo 5, il comma 1, ultimo periodo prevede l’istituzione di un Comitato interministeriale cui sono attribuite le competenze relative alla programmazione delle grandi opere infrastrutturali a livello di reti idrauliche nonché all’acqua per l’uso umano, senza che siano indicati i Ministri componenti del medesimo; il comma 5 demanda l’istituzione di un’Autorità nazionale di vigilanza sulle risorse idriche ad un decreto del Ministro dell’ambiente e della </w:t>
      </w:r>
      <w:r w:rsidR="008B1324" w:rsidRPr="008B1324">
        <w:rPr>
          <w:rFonts w:ascii="Garamond" w:hAnsi="Garamond"/>
          <w:sz w:val="32"/>
          <w:szCs w:val="32"/>
        </w:rPr>
        <w:lastRenderedPageBreak/>
        <w:t xml:space="preserve">tutela del territorio e del mare, senza specificarne poteri, composizione, funzioni, risorse finanziarie, strumentali e di personale e sede, ma limitandosi ad un generico rinvio alla legge; il comma 6 prevede che l’Autorità si avvalga di un Osservatorio sui settori di propria competenza, in ordine al quale, analogamente, non sono fornite indicazioni in ordine alla struttura, all’organizzazione e al personale, né all’atto di istituzione; all’articolo 6, il comma 9 prevede genericamente che “in caso di mancata osservanza di quanto stabilito dal presente articolo” il Governo eserciti i poteri sostitutivi stabiliti dalla legge, senza specificare a quali organi il Governo si vada a sostituire e sulla base di quale procedura; al comma 10 del medesimo articolo 6 prevede poi l’adozione di un decreto dei Ministri competenti, senza precisare quali essi siano; all’articolo 10, comma 4, stabilisce che il Governo definisca la Carta nazionale del servizio idrico integrato, senza precisare con quale strumento (presumibilmente un regolamento) debba </w:t>
      </w:r>
      <w:r w:rsidR="008B1324" w:rsidRPr="006359F9">
        <w:rPr>
          <w:rFonts w:ascii="Garamond" w:hAnsi="Garamond"/>
          <w:sz w:val="32"/>
          <w:szCs w:val="32"/>
        </w:rPr>
        <w:t>provvedervi» (</w:t>
      </w:r>
      <w:hyperlink r:id="rId43" w:anchor="S12a04" w:history="1">
        <w:r w:rsidR="008B1324" w:rsidRPr="006359F9">
          <w:rPr>
            <w:rStyle w:val="Collegamentoipertestuale"/>
            <w:rFonts w:ascii="Garamond" w:hAnsi="Garamond"/>
            <w:sz w:val="32"/>
            <w:szCs w:val="32"/>
          </w:rPr>
          <w:t>Scheda 12, punto 4</w:t>
        </w:r>
      </w:hyperlink>
      <w:r w:rsidR="008B1324" w:rsidRPr="006359F9">
        <w:rPr>
          <w:rFonts w:ascii="Garamond" w:hAnsi="Garamond"/>
          <w:sz w:val="32"/>
          <w:szCs w:val="32"/>
        </w:rPr>
        <w:t>). Ne conseguono cinque</w:t>
      </w:r>
      <w:r w:rsidR="008B1324">
        <w:rPr>
          <w:rFonts w:ascii="Garamond" w:hAnsi="Garamond"/>
          <w:sz w:val="32"/>
          <w:szCs w:val="32"/>
        </w:rPr>
        <w:t xml:space="preserve"> condizioni: una per</w:t>
      </w:r>
      <w:r w:rsidR="00FC3882">
        <w:rPr>
          <w:rFonts w:ascii="Garamond" w:hAnsi="Garamond"/>
          <w:sz w:val="32"/>
          <w:szCs w:val="32"/>
        </w:rPr>
        <w:t xml:space="preserve"> ciascuno dei punti evidenziati;</w:t>
      </w:r>
    </w:p>
    <w:p w:rsidR="00DA133F" w:rsidRDefault="00DA133F" w:rsidP="00707041">
      <w:pPr>
        <w:rPr>
          <w:rFonts w:ascii="Garamond" w:hAnsi="Garamond"/>
          <w:sz w:val="32"/>
          <w:szCs w:val="32"/>
        </w:rPr>
      </w:pPr>
      <w:r>
        <w:rPr>
          <w:rFonts w:ascii="Garamond" w:hAnsi="Garamond"/>
          <w:sz w:val="32"/>
          <w:szCs w:val="32"/>
        </w:rPr>
        <w:t xml:space="preserve">♦ </w:t>
      </w:r>
      <w:r w:rsidR="00FC3882">
        <w:rPr>
          <w:rFonts w:ascii="Garamond" w:hAnsi="Garamond"/>
          <w:sz w:val="32"/>
          <w:szCs w:val="32"/>
        </w:rPr>
        <w:t>in due casi</w:t>
      </w:r>
      <w:r w:rsidR="000641BE">
        <w:rPr>
          <w:rFonts w:ascii="Garamond" w:hAnsi="Garamond"/>
          <w:sz w:val="32"/>
          <w:szCs w:val="32"/>
        </w:rPr>
        <w:t>, il Comitato registra l’intreccio</w:t>
      </w:r>
      <w:r w:rsidR="00FC3882">
        <w:rPr>
          <w:rFonts w:ascii="Garamond" w:hAnsi="Garamond"/>
          <w:sz w:val="32"/>
          <w:szCs w:val="32"/>
        </w:rPr>
        <w:t xml:space="preserve"> </w:t>
      </w:r>
      <w:r w:rsidR="000641BE">
        <w:rPr>
          <w:rFonts w:ascii="Garamond" w:hAnsi="Garamond"/>
          <w:sz w:val="32"/>
          <w:szCs w:val="32"/>
        </w:rPr>
        <w:t>tra</w:t>
      </w:r>
      <w:r w:rsidR="00FC3882">
        <w:rPr>
          <w:rFonts w:ascii="Garamond" w:hAnsi="Garamond"/>
          <w:sz w:val="32"/>
          <w:szCs w:val="32"/>
        </w:rPr>
        <w:t xml:space="preserve"> previsioni di delegificazione spuria </w:t>
      </w:r>
      <w:r w:rsidR="000641BE">
        <w:rPr>
          <w:rFonts w:ascii="Garamond" w:hAnsi="Garamond"/>
          <w:sz w:val="32"/>
          <w:szCs w:val="32"/>
        </w:rPr>
        <w:t>e disposizioni di</w:t>
      </w:r>
      <w:r w:rsidR="00FC3882">
        <w:rPr>
          <w:rFonts w:ascii="Garamond" w:hAnsi="Garamond"/>
          <w:sz w:val="32"/>
          <w:szCs w:val="32"/>
        </w:rPr>
        <w:t xml:space="preserve"> </w:t>
      </w:r>
      <w:r>
        <w:rPr>
          <w:rFonts w:ascii="Garamond" w:hAnsi="Garamond"/>
          <w:sz w:val="32"/>
          <w:szCs w:val="32"/>
        </w:rPr>
        <w:t>delega:</w:t>
      </w:r>
      <w:r w:rsidR="00FC3882">
        <w:rPr>
          <w:rFonts w:ascii="Garamond" w:hAnsi="Garamond"/>
          <w:sz w:val="32"/>
          <w:szCs w:val="32"/>
        </w:rPr>
        <w:t xml:space="preserve"> </w:t>
      </w:r>
    </w:p>
    <w:p w:rsidR="00A60FE2" w:rsidRPr="000641BE" w:rsidRDefault="00DA133F" w:rsidP="00707041">
      <w:pPr>
        <w:rPr>
          <w:rFonts w:ascii="Garamond" w:hAnsi="Garamond"/>
          <w:sz w:val="32"/>
          <w:szCs w:val="32"/>
        </w:rPr>
      </w:pPr>
      <w:r>
        <w:rPr>
          <w:rFonts w:ascii="Garamond" w:hAnsi="Garamond"/>
          <w:sz w:val="32"/>
          <w:szCs w:val="32"/>
        </w:rPr>
        <w:t>- n</w:t>
      </w:r>
      <w:r w:rsidR="00FC3882">
        <w:rPr>
          <w:rFonts w:ascii="Garamond" w:hAnsi="Garamond"/>
          <w:sz w:val="32"/>
          <w:szCs w:val="32"/>
        </w:rPr>
        <w:t xml:space="preserve">elle premesse del parere </w:t>
      </w:r>
      <w:r w:rsidR="00FC3882" w:rsidRPr="00FC3882">
        <w:rPr>
          <w:rFonts w:ascii="Garamond" w:hAnsi="Garamond"/>
          <w:sz w:val="32"/>
          <w:szCs w:val="32"/>
        </w:rPr>
        <w:t>su</w:t>
      </w:r>
      <w:r w:rsidR="007B1E40" w:rsidRPr="00FC3882">
        <w:rPr>
          <w:rFonts w:ascii="Garamond" w:hAnsi="Garamond"/>
          <w:sz w:val="32"/>
          <w:szCs w:val="32"/>
        </w:rPr>
        <w:t>lla proposta di legge C. 3634 (unioni civili e convivenze)</w:t>
      </w:r>
      <w:r w:rsidR="00FC3882" w:rsidRPr="00FC3882">
        <w:rPr>
          <w:rFonts w:ascii="Garamond" w:hAnsi="Garamond"/>
          <w:sz w:val="32"/>
          <w:szCs w:val="32"/>
        </w:rPr>
        <w:t xml:space="preserve"> si regi</w:t>
      </w:r>
      <w:r w:rsidR="008F32E9">
        <w:rPr>
          <w:rFonts w:ascii="Garamond" w:hAnsi="Garamond"/>
          <w:sz w:val="32"/>
          <w:szCs w:val="32"/>
        </w:rPr>
        <w:t>strano due fenomeni tra</w:t>
      </w:r>
      <w:r>
        <w:rPr>
          <w:rFonts w:ascii="Garamond" w:hAnsi="Garamond"/>
          <w:sz w:val="32"/>
          <w:szCs w:val="32"/>
        </w:rPr>
        <w:t xml:space="preserve"> loro</w:t>
      </w:r>
      <w:r w:rsidR="008F32E9">
        <w:rPr>
          <w:rFonts w:ascii="Garamond" w:hAnsi="Garamond"/>
          <w:sz w:val="32"/>
          <w:szCs w:val="32"/>
        </w:rPr>
        <w:t xml:space="preserve"> opposti: una </w:t>
      </w:r>
      <w:r w:rsidR="008F32E9" w:rsidRPr="00564712">
        <w:rPr>
          <w:rFonts w:ascii="Garamond" w:hAnsi="Garamond"/>
          <w:sz w:val="32"/>
          <w:szCs w:val="32"/>
          <w:u w:val="single"/>
        </w:rPr>
        <w:t>legificazione</w:t>
      </w:r>
      <w:r w:rsidR="008F32E9">
        <w:rPr>
          <w:rFonts w:ascii="Garamond" w:hAnsi="Garamond"/>
          <w:sz w:val="32"/>
          <w:szCs w:val="32"/>
        </w:rPr>
        <w:t xml:space="preserve"> di una fonte regolamentare preceduta, in via transitoria, da una sua </w:t>
      </w:r>
      <w:r w:rsidR="008F32E9" w:rsidRPr="00564712">
        <w:rPr>
          <w:rFonts w:ascii="Garamond" w:hAnsi="Garamond"/>
          <w:sz w:val="32"/>
          <w:szCs w:val="32"/>
          <w:u w:val="single"/>
        </w:rPr>
        <w:t>dequalificazione</w:t>
      </w:r>
      <w:r w:rsidR="008F32E9">
        <w:rPr>
          <w:rFonts w:ascii="Garamond" w:hAnsi="Garamond"/>
          <w:sz w:val="32"/>
          <w:szCs w:val="32"/>
        </w:rPr>
        <w:t>. D</w:t>
      </w:r>
      <w:r w:rsidR="00FC3882" w:rsidRPr="00FC3882">
        <w:rPr>
          <w:rFonts w:ascii="Garamond" w:hAnsi="Garamond"/>
          <w:sz w:val="32"/>
          <w:szCs w:val="32"/>
        </w:rPr>
        <w:t xml:space="preserve">a un lato, </w:t>
      </w:r>
      <w:r w:rsidR="008F32E9">
        <w:rPr>
          <w:rFonts w:ascii="Garamond" w:hAnsi="Garamond"/>
          <w:sz w:val="32"/>
          <w:szCs w:val="32"/>
        </w:rPr>
        <w:t xml:space="preserve">infatti, </w:t>
      </w:r>
      <w:r w:rsidR="00FC3882" w:rsidRPr="00FC3882">
        <w:rPr>
          <w:rFonts w:ascii="Garamond" w:hAnsi="Garamond"/>
          <w:sz w:val="32"/>
          <w:szCs w:val="32"/>
        </w:rPr>
        <w:t>il</w:t>
      </w:r>
      <w:r w:rsidR="007B1E40" w:rsidRPr="00FC3882">
        <w:rPr>
          <w:rFonts w:ascii="Garamond" w:hAnsi="Garamond"/>
          <w:sz w:val="32"/>
          <w:szCs w:val="32"/>
        </w:rPr>
        <w:t xml:space="preserve"> comma 28, lettera </w:t>
      </w:r>
      <w:r w:rsidR="007B1E40" w:rsidRPr="00FC3882">
        <w:rPr>
          <w:rFonts w:ascii="Garamond" w:hAnsi="Garamond"/>
          <w:i/>
          <w:iCs/>
          <w:sz w:val="32"/>
          <w:szCs w:val="32"/>
        </w:rPr>
        <w:t>a</w:t>
      </w:r>
      <w:r w:rsidR="007B1E40" w:rsidRPr="00FC3882">
        <w:rPr>
          <w:rFonts w:ascii="Garamond" w:hAnsi="Garamond"/>
          <w:sz w:val="32"/>
          <w:szCs w:val="32"/>
        </w:rPr>
        <w:t>)</w:t>
      </w:r>
      <w:r w:rsidR="00FC3882" w:rsidRPr="00FC3882">
        <w:rPr>
          <w:rFonts w:ascii="Garamond" w:hAnsi="Garamond"/>
          <w:sz w:val="32"/>
          <w:szCs w:val="32"/>
        </w:rPr>
        <w:t xml:space="preserve"> dell’unico articolo</w:t>
      </w:r>
      <w:r w:rsidR="007B1E40" w:rsidRPr="00FC3882">
        <w:rPr>
          <w:rFonts w:ascii="Garamond" w:hAnsi="Garamond"/>
          <w:sz w:val="32"/>
          <w:szCs w:val="32"/>
        </w:rPr>
        <w:t xml:space="preserve"> </w:t>
      </w:r>
      <w:r w:rsidR="00FC3882" w:rsidRPr="00FC3882">
        <w:rPr>
          <w:rFonts w:ascii="Garamond" w:hAnsi="Garamond"/>
          <w:sz w:val="32"/>
          <w:szCs w:val="32"/>
        </w:rPr>
        <w:t>«</w:t>
      </w:r>
      <w:r w:rsidR="007B1E40" w:rsidRPr="00FC3882">
        <w:rPr>
          <w:rFonts w:ascii="Garamond" w:hAnsi="Garamond"/>
          <w:sz w:val="32"/>
          <w:szCs w:val="32"/>
        </w:rPr>
        <w:t xml:space="preserve">annovera tra i principi e i criteri direttivi ai quali il legislatore delegato deve attenersi, quello dell'adeguamento delle disposizioni dell'ordinamento dello stato civile in materia di iscrizioni, trascrizioni e annotazioni alle previsioni della legge all'esame: in proposito, si segnala che le succitate disposizioni sono contenute principalmente in una fonte regolamentare (si tratta del decreto del Presidente della Repubblica n. 396 del 3 novembre del 2000, recante Disciplina dell'archivio civile); conseguentemente, il medesimo articolo, alla lettera </w:t>
      </w:r>
      <w:r w:rsidR="007B1E40" w:rsidRPr="00FC3882">
        <w:rPr>
          <w:rFonts w:ascii="Garamond" w:hAnsi="Garamond"/>
          <w:i/>
          <w:iCs/>
          <w:sz w:val="32"/>
          <w:szCs w:val="32"/>
        </w:rPr>
        <w:t>c</w:t>
      </w:r>
      <w:r w:rsidR="007B1E40" w:rsidRPr="00FC3882">
        <w:rPr>
          <w:rFonts w:ascii="Garamond" w:hAnsi="Garamond"/>
          <w:sz w:val="32"/>
          <w:szCs w:val="32"/>
        </w:rPr>
        <w:t xml:space="preserve">), </w:t>
      </w:r>
      <w:r w:rsidR="007B1E40" w:rsidRPr="00FC3882">
        <w:rPr>
          <w:rFonts w:ascii="Garamond" w:hAnsi="Garamond"/>
          <w:sz w:val="32"/>
          <w:szCs w:val="32"/>
        </w:rPr>
        <w:lastRenderedPageBreak/>
        <w:t xml:space="preserve">annovera, tra i principi e i criteri direttivi ai quali il legislatore delegato deve attenersi, quello del coordinamento con la nuova disciplina delle vigenti disposizioni contenute non solo in fonti di rango primario, ma anche “nei regolamenti e nei decreti”, con la conseguenza che entrambi i principi e criteri direttivi sembrerebbero volti a delegare il Governo a modificare con fonte di rango primario disposizioni di natura regolamentare, integrando una modalità di produzione legislativa che, secondo i costanti indirizzi del Comitato, non appare conforme alle esigenze di coerente utilizzo delle fonti, in quanto può derivarne l'effetto secondo cui atti non aventi forza di legge presentano un diverso grado di resistenza ad interventi modificativi successivi (si veda il punto 3, lettera </w:t>
      </w:r>
      <w:r w:rsidR="007B1E40" w:rsidRPr="00FC3882">
        <w:rPr>
          <w:rFonts w:ascii="Garamond" w:hAnsi="Garamond"/>
          <w:i/>
          <w:iCs/>
          <w:sz w:val="32"/>
          <w:szCs w:val="32"/>
        </w:rPr>
        <w:t>e</w:t>
      </w:r>
      <w:r w:rsidR="007B1E40" w:rsidRPr="00FC3882">
        <w:rPr>
          <w:rFonts w:ascii="Garamond" w:hAnsi="Garamond"/>
          <w:sz w:val="32"/>
          <w:szCs w:val="32"/>
        </w:rPr>
        <w:t>), della circolare congiunta dei Presidenti di Camera e Senato e del Presidente del Consiglio del 20 aprile 2001)»</w:t>
      </w:r>
      <w:r w:rsidR="00E56B84" w:rsidRPr="00FC3882">
        <w:rPr>
          <w:rFonts w:ascii="Garamond" w:hAnsi="Garamond"/>
          <w:sz w:val="32"/>
          <w:szCs w:val="32"/>
        </w:rPr>
        <w:t xml:space="preserve"> (</w:t>
      </w:r>
      <w:hyperlink r:id="rId44" w:anchor="S13a07" w:history="1">
        <w:r w:rsidR="00E56B84" w:rsidRPr="00FC3882">
          <w:rPr>
            <w:rStyle w:val="Collegamentoipertestuale"/>
            <w:rFonts w:ascii="Garamond" w:hAnsi="Garamond"/>
            <w:sz w:val="32"/>
            <w:szCs w:val="32"/>
          </w:rPr>
          <w:t>Scheda 13, punto 7</w:t>
        </w:r>
      </w:hyperlink>
      <w:r w:rsidR="008F32E9">
        <w:rPr>
          <w:rFonts w:ascii="Garamond" w:hAnsi="Garamond"/>
          <w:sz w:val="32"/>
          <w:szCs w:val="32"/>
        </w:rPr>
        <w:t>).</w:t>
      </w:r>
      <w:r w:rsidR="00FC3882" w:rsidRPr="00FC3882">
        <w:rPr>
          <w:rFonts w:ascii="Garamond" w:hAnsi="Garamond"/>
          <w:sz w:val="32"/>
          <w:szCs w:val="32"/>
        </w:rPr>
        <w:t xml:space="preserve"> </w:t>
      </w:r>
      <w:r w:rsidR="008F32E9">
        <w:rPr>
          <w:rFonts w:ascii="Garamond" w:hAnsi="Garamond"/>
          <w:sz w:val="32"/>
          <w:szCs w:val="32"/>
        </w:rPr>
        <w:t>D</w:t>
      </w:r>
      <w:r w:rsidR="00FC3882" w:rsidRPr="00FC3882">
        <w:rPr>
          <w:rFonts w:ascii="Garamond" w:hAnsi="Garamond"/>
          <w:sz w:val="32"/>
          <w:szCs w:val="32"/>
        </w:rPr>
        <w:t>all’altro lato, «il successivo comma 34, nelle more dell'entrata in vigore dei decreti legislativi di cui al comma 28, lettera</w:t>
      </w:r>
      <w:r w:rsidR="00FC3882" w:rsidRPr="00FC3882">
        <w:rPr>
          <w:rFonts w:ascii="Garamond" w:hAnsi="Garamond"/>
          <w:i/>
          <w:iCs/>
          <w:sz w:val="32"/>
          <w:szCs w:val="32"/>
        </w:rPr>
        <w:t xml:space="preserve"> a</w:t>
      </w:r>
      <w:r w:rsidR="00FC3882" w:rsidRPr="00FC3882">
        <w:rPr>
          <w:rFonts w:ascii="Garamond" w:hAnsi="Garamond"/>
          <w:sz w:val="32"/>
          <w:szCs w:val="32"/>
        </w:rPr>
        <w:t>), affida ad un decreto del Presidente del Consiglio dei ministri, su proposta del Ministro dell'interno, da emanare entro trenta giorni dalla data di entrata in vigore della legge, il compito di stabilire “le disposizioni transitorie necessarie per la tenuta dei registri nell'archivio dello stato civile”, delineando così una procedura della quale andrebbe verificata la coerenza con il sistema delle fonti del diritto e che determina, nelle more della legificazione della fonte operata dal comma 28, una transitoria dequalificazione della stessa» (</w:t>
      </w:r>
      <w:hyperlink r:id="rId45" w:anchor="S13a08" w:history="1">
        <w:r w:rsidR="00FC3882" w:rsidRPr="00FC3882">
          <w:rPr>
            <w:rStyle w:val="Collegamentoipertestuale"/>
            <w:rFonts w:ascii="Garamond" w:hAnsi="Garamond"/>
            <w:sz w:val="32"/>
            <w:szCs w:val="32"/>
          </w:rPr>
          <w:t>Scheda 13, punto 8</w:t>
        </w:r>
      </w:hyperlink>
      <w:r w:rsidR="00FC3882" w:rsidRPr="00FC3882">
        <w:rPr>
          <w:rFonts w:ascii="Garamond" w:hAnsi="Garamond"/>
          <w:sz w:val="32"/>
          <w:szCs w:val="32"/>
        </w:rPr>
        <w:t>)</w:t>
      </w:r>
      <w:r w:rsidR="000641BE">
        <w:rPr>
          <w:rFonts w:ascii="Garamond" w:hAnsi="Garamond"/>
          <w:sz w:val="32"/>
          <w:szCs w:val="32"/>
        </w:rPr>
        <w:t xml:space="preserve">. Ne </w:t>
      </w:r>
      <w:r w:rsidR="00E56B84" w:rsidRPr="00FC3882">
        <w:rPr>
          <w:rFonts w:ascii="Garamond" w:hAnsi="Garamond"/>
          <w:sz w:val="32"/>
          <w:szCs w:val="32"/>
        </w:rPr>
        <w:t xml:space="preserve">consegue </w:t>
      </w:r>
      <w:r w:rsidR="000641BE">
        <w:rPr>
          <w:rFonts w:ascii="Garamond" w:hAnsi="Garamond"/>
          <w:sz w:val="32"/>
          <w:szCs w:val="32"/>
        </w:rPr>
        <w:t xml:space="preserve">un’unica </w:t>
      </w:r>
      <w:r w:rsidR="00E56B84" w:rsidRPr="00FC3882">
        <w:rPr>
          <w:rFonts w:ascii="Garamond" w:hAnsi="Garamond"/>
          <w:sz w:val="32"/>
          <w:szCs w:val="32"/>
        </w:rPr>
        <w:t>condizione</w:t>
      </w:r>
      <w:r w:rsidR="000641BE">
        <w:rPr>
          <w:rFonts w:ascii="Garamond" w:hAnsi="Garamond"/>
          <w:sz w:val="32"/>
          <w:szCs w:val="32"/>
        </w:rPr>
        <w:t>, volta a</w:t>
      </w:r>
      <w:r w:rsidR="00E56B84" w:rsidRPr="00FC3882">
        <w:rPr>
          <w:rFonts w:ascii="Garamond" w:hAnsi="Garamond"/>
          <w:sz w:val="32"/>
          <w:szCs w:val="32"/>
        </w:rPr>
        <w:t xml:space="preserve"> verificare </w:t>
      </w:r>
      <w:r w:rsidR="000641BE">
        <w:rPr>
          <w:rFonts w:ascii="Garamond" w:hAnsi="Garamond"/>
          <w:sz w:val="32"/>
          <w:szCs w:val="32"/>
        </w:rPr>
        <w:t>«</w:t>
      </w:r>
      <w:r w:rsidR="000641BE" w:rsidRPr="000641BE">
        <w:rPr>
          <w:rFonts w:ascii="Garamond" w:hAnsi="Garamond"/>
          <w:sz w:val="32"/>
          <w:szCs w:val="32"/>
        </w:rPr>
        <w:t xml:space="preserve">la coerenza del combinato disposto dell'articolo 1, comma 28, lettere a) e c), e comma 34, con le regole che presiedono ad un appropriato </w:t>
      </w:r>
      <w:r w:rsidR="000641BE" w:rsidRPr="006359F9">
        <w:rPr>
          <w:rFonts w:ascii="Garamond" w:hAnsi="Garamond"/>
          <w:sz w:val="32"/>
          <w:szCs w:val="32"/>
        </w:rPr>
        <w:t>impiego delle fonti del diritto» (</w:t>
      </w:r>
      <w:hyperlink r:id="rId46" w:anchor="S13c01" w:history="1">
        <w:r w:rsidR="000641BE" w:rsidRPr="006359F9">
          <w:rPr>
            <w:rStyle w:val="Collegamentoipertestuale"/>
            <w:rFonts w:ascii="Garamond" w:hAnsi="Garamond"/>
            <w:sz w:val="32"/>
            <w:szCs w:val="32"/>
          </w:rPr>
          <w:t>Scheda 13, condizione 1</w:t>
        </w:r>
      </w:hyperlink>
      <w:r w:rsidR="000641BE" w:rsidRPr="006359F9">
        <w:rPr>
          <w:rFonts w:ascii="Garamond" w:hAnsi="Garamond"/>
          <w:sz w:val="32"/>
          <w:szCs w:val="32"/>
        </w:rPr>
        <w:t>);</w:t>
      </w:r>
    </w:p>
    <w:p w:rsidR="00F25844" w:rsidRPr="006359F9" w:rsidRDefault="00DA133F" w:rsidP="000641BE">
      <w:pPr>
        <w:rPr>
          <w:rFonts w:ascii="Garamond" w:hAnsi="Garamond"/>
          <w:sz w:val="32"/>
          <w:szCs w:val="32"/>
        </w:rPr>
      </w:pPr>
      <w:r>
        <w:rPr>
          <w:rFonts w:ascii="Garamond" w:hAnsi="Garamond"/>
          <w:sz w:val="32"/>
          <w:szCs w:val="32"/>
        </w:rPr>
        <w:t xml:space="preserve">- </w:t>
      </w:r>
      <w:r w:rsidR="000641BE" w:rsidRPr="000641BE">
        <w:rPr>
          <w:rFonts w:ascii="Garamond" w:hAnsi="Garamond"/>
          <w:sz w:val="32"/>
          <w:szCs w:val="32"/>
        </w:rPr>
        <w:t xml:space="preserve">nell’ambito del disegno di legge che </w:t>
      </w:r>
      <w:r w:rsidR="00D179A4" w:rsidRPr="000641BE">
        <w:rPr>
          <w:rFonts w:ascii="Garamond" w:hAnsi="Garamond"/>
          <w:sz w:val="32"/>
          <w:szCs w:val="32"/>
        </w:rPr>
        <w:t xml:space="preserve">delega </w:t>
      </w:r>
      <w:r w:rsidR="000641BE" w:rsidRPr="000641BE">
        <w:rPr>
          <w:rFonts w:ascii="Garamond" w:hAnsi="Garamond"/>
          <w:sz w:val="32"/>
          <w:szCs w:val="32"/>
        </w:rPr>
        <w:t>il Governo al riordino del</w:t>
      </w:r>
      <w:r w:rsidR="00D179A4" w:rsidRPr="000641BE">
        <w:rPr>
          <w:rFonts w:ascii="Garamond" w:hAnsi="Garamond"/>
          <w:sz w:val="32"/>
          <w:szCs w:val="32"/>
        </w:rPr>
        <w:t xml:space="preserve"> Terzo settore</w:t>
      </w:r>
      <w:r w:rsidR="000641BE" w:rsidRPr="000641BE">
        <w:rPr>
          <w:rFonts w:ascii="Garamond" w:hAnsi="Garamond"/>
          <w:sz w:val="32"/>
          <w:szCs w:val="32"/>
        </w:rPr>
        <w:t xml:space="preserve">, nel testo modificato dal Senato </w:t>
      </w:r>
      <w:r w:rsidR="00D179A4" w:rsidRPr="000641BE">
        <w:rPr>
          <w:rFonts w:ascii="Garamond" w:hAnsi="Garamond"/>
          <w:sz w:val="32"/>
          <w:szCs w:val="32"/>
        </w:rPr>
        <w:t xml:space="preserve">(C. 2617-B), «l’articolo 4, comma 1, lettera </w:t>
      </w:r>
      <w:r w:rsidR="00D179A4" w:rsidRPr="000641BE">
        <w:rPr>
          <w:rFonts w:ascii="Garamond" w:hAnsi="Garamond"/>
          <w:i/>
          <w:sz w:val="32"/>
          <w:szCs w:val="32"/>
        </w:rPr>
        <w:t>b)</w:t>
      </w:r>
      <w:r w:rsidR="00D179A4" w:rsidRPr="000641BE">
        <w:rPr>
          <w:rFonts w:ascii="Garamond" w:hAnsi="Garamond"/>
          <w:sz w:val="32"/>
          <w:szCs w:val="32"/>
        </w:rPr>
        <w:t xml:space="preserve">, nel mantenere in capo ai decreti legislativi e cioè ad una fonte di rango primario il compito di individuare le attività di interesse generale, affida il </w:t>
      </w:r>
      <w:r w:rsidR="00D179A4" w:rsidRPr="000641BE">
        <w:rPr>
          <w:rFonts w:ascii="Garamond" w:hAnsi="Garamond"/>
          <w:sz w:val="32"/>
          <w:szCs w:val="32"/>
        </w:rPr>
        <w:lastRenderedPageBreak/>
        <w:t xml:space="preserve">periodico aggiornamento di tali attività ad una fonte atipica subordinata alla legge, ed, in particolare, ad un decreto del Presidente del Consiglio dei ministri da adottare su proposta del Ministro del lavoro e delle politiche sociali, acquisito il parere delle Commissioni parlamentari competenti, consentendo così a tale atto di modificare previsioni di rango primario sulla base di una procedura della quale andrebbe verificata la coerenza con il sistema delle fonti del diritto» </w:t>
      </w:r>
      <w:r w:rsidR="00D069F6" w:rsidRPr="000641BE">
        <w:rPr>
          <w:rFonts w:ascii="Garamond" w:hAnsi="Garamond"/>
          <w:sz w:val="32"/>
          <w:szCs w:val="32"/>
        </w:rPr>
        <w:t>(</w:t>
      </w:r>
      <w:hyperlink r:id="rId47" w:anchor="S15a04" w:history="1">
        <w:r w:rsidR="00D069F6" w:rsidRPr="000641BE">
          <w:rPr>
            <w:rStyle w:val="Collegamentoipertestuale"/>
            <w:rFonts w:ascii="Garamond" w:hAnsi="Garamond"/>
            <w:sz w:val="32"/>
            <w:szCs w:val="32"/>
          </w:rPr>
          <w:t>Scheda 1</w:t>
        </w:r>
        <w:r w:rsidR="00D179A4" w:rsidRPr="000641BE">
          <w:rPr>
            <w:rStyle w:val="Collegamentoipertestuale"/>
            <w:rFonts w:ascii="Garamond" w:hAnsi="Garamond"/>
            <w:sz w:val="32"/>
            <w:szCs w:val="32"/>
          </w:rPr>
          <w:t>5</w:t>
        </w:r>
        <w:r w:rsidR="00D069F6" w:rsidRPr="000641BE">
          <w:rPr>
            <w:rStyle w:val="Collegamentoipertestuale"/>
            <w:rFonts w:ascii="Garamond" w:hAnsi="Garamond"/>
            <w:sz w:val="32"/>
            <w:szCs w:val="32"/>
          </w:rPr>
          <w:t xml:space="preserve">, punto </w:t>
        </w:r>
        <w:r w:rsidR="00D179A4" w:rsidRPr="000641BE">
          <w:rPr>
            <w:rStyle w:val="Collegamentoipertestuale"/>
            <w:rFonts w:ascii="Garamond" w:hAnsi="Garamond"/>
            <w:sz w:val="32"/>
            <w:szCs w:val="32"/>
          </w:rPr>
          <w:t>4</w:t>
        </w:r>
      </w:hyperlink>
      <w:r w:rsidR="00D069F6" w:rsidRPr="000641BE">
        <w:rPr>
          <w:rFonts w:ascii="Garamond" w:hAnsi="Garamond"/>
          <w:sz w:val="32"/>
          <w:szCs w:val="32"/>
        </w:rPr>
        <w:t xml:space="preserve">). </w:t>
      </w:r>
      <w:r w:rsidR="000641BE" w:rsidRPr="000641BE">
        <w:rPr>
          <w:rFonts w:ascii="Garamond" w:hAnsi="Garamond"/>
          <w:sz w:val="32"/>
          <w:szCs w:val="32"/>
        </w:rPr>
        <w:t xml:space="preserve">Anche in questo caso segue una </w:t>
      </w:r>
      <w:r w:rsidR="00F25844" w:rsidRPr="000641BE">
        <w:rPr>
          <w:rFonts w:ascii="Garamond" w:hAnsi="Garamond"/>
          <w:sz w:val="32"/>
          <w:szCs w:val="32"/>
        </w:rPr>
        <w:t>condizion</w:t>
      </w:r>
      <w:r w:rsidR="000641BE" w:rsidRPr="000641BE">
        <w:rPr>
          <w:rFonts w:ascii="Garamond" w:hAnsi="Garamond"/>
          <w:sz w:val="32"/>
          <w:szCs w:val="32"/>
        </w:rPr>
        <w:t>e</w:t>
      </w:r>
      <w:r w:rsidR="00F25844" w:rsidRPr="000641BE">
        <w:rPr>
          <w:rFonts w:ascii="Garamond" w:hAnsi="Garamond"/>
          <w:sz w:val="32"/>
          <w:szCs w:val="32"/>
        </w:rPr>
        <w:t xml:space="preserve"> </w:t>
      </w:r>
      <w:r w:rsidR="000641BE" w:rsidRPr="000641BE">
        <w:rPr>
          <w:rFonts w:ascii="Garamond" w:hAnsi="Garamond"/>
          <w:sz w:val="32"/>
          <w:szCs w:val="32"/>
        </w:rPr>
        <w:t>volta a</w:t>
      </w:r>
      <w:r w:rsidR="00F25844" w:rsidRPr="000641BE">
        <w:rPr>
          <w:rFonts w:ascii="Garamond" w:hAnsi="Garamond"/>
          <w:sz w:val="32"/>
          <w:szCs w:val="32"/>
        </w:rPr>
        <w:t xml:space="preserve"> verifica</w:t>
      </w:r>
      <w:r w:rsidR="000641BE" w:rsidRPr="000641BE">
        <w:rPr>
          <w:rFonts w:ascii="Garamond" w:hAnsi="Garamond"/>
          <w:sz w:val="32"/>
          <w:szCs w:val="32"/>
        </w:rPr>
        <w:t>r</w:t>
      </w:r>
      <w:r w:rsidR="00F25844" w:rsidRPr="000641BE">
        <w:rPr>
          <w:rFonts w:ascii="Garamond" w:hAnsi="Garamond"/>
          <w:sz w:val="32"/>
          <w:szCs w:val="32"/>
        </w:rPr>
        <w:t xml:space="preserve">e la coerenza </w:t>
      </w:r>
      <w:r w:rsidR="000641BE" w:rsidRPr="000641BE">
        <w:rPr>
          <w:rFonts w:ascii="Garamond" w:hAnsi="Garamond"/>
          <w:sz w:val="32"/>
          <w:szCs w:val="32"/>
        </w:rPr>
        <w:t xml:space="preserve">della disposizione </w:t>
      </w:r>
      <w:r w:rsidR="00F25844" w:rsidRPr="000641BE">
        <w:rPr>
          <w:rFonts w:ascii="Garamond" w:hAnsi="Garamond"/>
          <w:sz w:val="32"/>
          <w:szCs w:val="32"/>
        </w:rPr>
        <w:t>con il corretto utilizzo delle fonti del diritto</w:t>
      </w:r>
      <w:r w:rsidR="000641BE" w:rsidRPr="000641BE">
        <w:rPr>
          <w:rFonts w:ascii="Garamond" w:hAnsi="Garamond"/>
          <w:sz w:val="32"/>
          <w:szCs w:val="32"/>
        </w:rPr>
        <w:t xml:space="preserve"> </w:t>
      </w:r>
      <w:r w:rsidR="000641BE" w:rsidRPr="006359F9">
        <w:rPr>
          <w:rFonts w:ascii="Garamond" w:hAnsi="Garamond"/>
          <w:sz w:val="32"/>
          <w:szCs w:val="32"/>
        </w:rPr>
        <w:t>(</w:t>
      </w:r>
      <w:hyperlink r:id="rId48" w:anchor="S15c01" w:history="1">
        <w:r w:rsidR="000641BE" w:rsidRPr="006359F9">
          <w:rPr>
            <w:rStyle w:val="Collegamentoipertestuale"/>
            <w:rFonts w:ascii="Garamond" w:hAnsi="Garamond"/>
            <w:sz w:val="32"/>
            <w:szCs w:val="32"/>
          </w:rPr>
          <w:t>Scheda 15, condizione 1</w:t>
        </w:r>
      </w:hyperlink>
      <w:r w:rsidR="000641BE" w:rsidRPr="006359F9">
        <w:rPr>
          <w:rFonts w:ascii="Garamond" w:hAnsi="Garamond"/>
          <w:sz w:val="32"/>
          <w:szCs w:val="32"/>
        </w:rPr>
        <w:t>)</w:t>
      </w:r>
      <w:r w:rsidR="006A4D01" w:rsidRPr="006359F9">
        <w:rPr>
          <w:rFonts w:ascii="Garamond" w:hAnsi="Garamond"/>
          <w:sz w:val="32"/>
          <w:szCs w:val="32"/>
        </w:rPr>
        <w:t>;</w:t>
      </w:r>
      <w:r w:rsidR="00F25844" w:rsidRPr="006359F9">
        <w:rPr>
          <w:rFonts w:ascii="Garamond" w:hAnsi="Garamond"/>
          <w:sz w:val="32"/>
          <w:szCs w:val="32"/>
        </w:rPr>
        <w:t xml:space="preserve"> </w:t>
      </w:r>
    </w:p>
    <w:p w:rsidR="00F25844" w:rsidRDefault="00026EF8" w:rsidP="00707041">
      <w:pPr>
        <w:rPr>
          <w:rFonts w:ascii="Garamond" w:hAnsi="Garamond"/>
          <w:sz w:val="32"/>
          <w:szCs w:val="32"/>
        </w:rPr>
      </w:pPr>
      <w:r>
        <w:rPr>
          <w:rFonts w:ascii="Garamond" w:hAnsi="Garamond"/>
          <w:sz w:val="32"/>
          <w:szCs w:val="32"/>
        </w:rPr>
        <w:t>♦</w:t>
      </w:r>
      <w:r w:rsidR="00C24037">
        <w:rPr>
          <w:rFonts w:ascii="Garamond" w:hAnsi="Garamond"/>
          <w:sz w:val="32"/>
          <w:szCs w:val="32"/>
        </w:rPr>
        <w:t>nel</w:t>
      </w:r>
      <w:r>
        <w:rPr>
          <w:rFonts w:ascii="Garamond" w:hAnsi="Garamond"/>
          <w:sz w:val="32"/>
          <w:szCs w:val="32"/>
        </w:rPr>
        <w:t xml:space="preserve">le premesse del parere sul disegno di legge n. 3821 (legge europea 2015-2016) il Comitato rileva che </w:t>
      </w:r>
      <w:r w:rsidRPr="00026EF8">
        <w:rPr>
          <w:rFonts w:ascii="Garamond" w:hAnsi="Garamond"/>
          <w:sz w:val="32"/>
          <w:szCs w:val="32"/>
        </w:rPr>
        <w:t xml:space="preserve">l’articolo 35, comma 1, lettera </w:t>
      </w:r>
      <w:r w:rsidRPr="00026EF8">
        <w:rPr>
          <w:rFonts w:ascii="Garamond" w:hAnsi="Garamond"/>
          <w:i/>
          <w:sz w:val="32"/>
          <w:szCs w:val="32"/>
        </w:rPr>
        <w:t>b</w:t>
      </w:r>
      <w:r w:rsidRPr="00026EF8">
        <w:rPr>
          <w:rFonts w:ascii="Garamond" w:hAnsi="Garamond"/>
          <w:sz w:val="32"/>
          <w:szCs w:val="32"/>
        </w:rPr>
        <w:t xml:space="preserve">) </w:t>
      </w:r>
      <w:r>
        <w:rPr>
          <w:rFonts w:ascii="Garamond" w:hAnsi="Garamond"/>
          <w:sz w:val="32"/>
          <w:szCs w:val="32"/>
        </w:rPr>
        <w:t>«</w:t>
      </w:r>
      <w:r w:rsidRPr="00026EF8">
        <w:rPr>
          <w:rFonts w:ascii="Garamond" w:hAnsi="Garamond"/>
          <w:sz w:val="32"/>
          <w:szCs w:val="32"/>
        </w:rPr>
        <w:t xml:space="preserve">sostituisce il comma 3 dell’articolo 45 della legge n. 234 del 2012 - che demanda l’attuazione delle disposizioni recate da tale articolo, in materia di comunicazioni in ordine agli aiuti di Stato, ad un regolamento adottato a norma dell’articolo 17, comma 1, della legge n. 400 del 1988 - prevedendo che l’attuazione di tali disposizioni sia invece affidata ad un decreto del Presidente del Consiglio dei ministri, “da adottare di concerto con il Ministro degli affari esteri e della cooperazione internazionale e con il Ministro dello sviluppo economico, sentita la Conferenza permanente per i rapporti tra lo Stato, le regioni e le province autonome di Trento e di Bolzano”; in proposito, si segnala che, per costante indirizzo del Comitato per la legislazione, tale circostanza non appare coerente con le esigenze di un appropriato utilizzo delle fonti normative, in quanto si demanda ad un atto atipico la definizione di una disciplina che dovrebbe essere oggetto di una fonte secondaria del diritto e, segnatamente, di regolamenti emanati a norma </w:t>
      </w:r>
      <w:r w:rsidRPr="006359F9">
        <w:rPr>
          <w:rFonts w:ascii="Garamond" w:hAnsi="Garamond"/>
          <w:sz w:val="32"/>
          <w:szCs w:val="32"/>
        </w:rPr>
        <w:t>dell'articolo 17 della legge 23 agosto 1988, n. 400, come peraltro stabiliva la norma novellata» (</w:t>
      </w:r>
      <w:hyperlink r:id="rId49" w:anchor="S20a04" w:history="1">
        <w:r w:rsidRPr="006359F9">
          <w:rPr>
            <w:rStyle w:val="Collegamentoipertestuale"/>
            <w:rFonts w:ascii="Garamond" w:hAnsi="Garamond"/>
            <w:sz w:val="32"/>
            <w:szCs w:val="32"/>
          </w:rPr>
          <w:t>Scheda 20, punto 4</w:t>
        </w:r>
      </w:hyperlink>
      <w:r w:rsidRPr="006359F9">
        <w:rPr>
          <w:rFonts w:ascii="Garamond" w:hAnsi="Garamond"/>
          <w:sz w:val="32"/>
          <w:szCs w:val="32"/>
        </w:rPr>
        <w:t>). Ne deriva una condizione soppressiva (</w:t>
      </w:r>
      <w:hyperlink r:id="rId50" w:anchor="S20c03" w:history="1">
        <w:r w:rsidRPr="006359F9">
          <w:rPr>
            <w:rStyle w:val="Collegamentoipertestuale"/>
            <w:rFonts w:ascii="Garamond" w:hAnsi="Garamond"/>
            <w:sz w:val="32"/>
            <w:szCs w:val="32"/>
          </w:rPr>
          <w:t>Scheda 20, condizione 3</w:t>
        </w:r>
      </w:hyperlink>
      <w:r w:rsidRPr="006359F9">
        <w:rPr>
          <w:rFonts w:ascii="Garamond" w:hAnsi="Garamond"/>
          <w:sz w:val="32"/>
          <w:szCs w:val="32"/>
        </w:rPr>
        <w:t>);</w:t>
      </w:r>
    </w:p>
    <w:p w:rsidR="00026EF8" w:rsidRDefault="00026EF8" w:rsidP="00707041">
      <w:pPr>
        <w:rPr>
          <w:rFonts w:ascii="Garamond" w:hAnsi="Garamond"/>
          <w:sz w:val="32"/>
          <w:szCs w:val="32"/>
        </w:rPr>
      </w:pPr>
      <w:r>
        <w:rPr>
          <w:rFonts w:ascii="Garamond" w:hAnsi="Garamond"/>
          <w:sz w:val="32"/>
          <w:szCs w:val="32"/>
        </w:rPr>
        <w:t>♦infine, nelle premesse del parere sul disegno di legge n. 3119 (collegato agricolo) si notano due fenomeni:</w:t>
      </w:r>
    </w:p>
    <w:p w:rsidR="00026EF8" w:rsidRPr="00026EF8" w:rsidRDefault="00026EF8" w:rsidP="00026EF8">
      <w:pPr>
        <w:rPr>
          <w:rFonts w:ascii="Garamond" w:hAnsi="Garamond"/>
          <w:sz w:val="32"/>
          <w:szCs w:val="32"/>
        </w:rPr>
      </w:pPr>
      <w:r>
        <w:rPr>
          <w:rFonts w:ascii="Garamond" w:hAnsi="Garamond"/>
          <w:sz w:val="32"/>
          <w:szCs w:val="32"/>
        </w:rPr>
        <w:lastRenderedPageBreak/>
        <w:t xml:space="preserve">1. </w:t>
      </w:r>
      <w:r w:rsidRPr="00026EF8">
        <w:rPr>
          <w:rFonts w:ascii="Garamond" w:hAnsi="Garamond"/>
          <w:sz w:val="32"/>
          <w:szCs w:val="32"/>
        </w:rPr>
        <w:t xml:space="preserve">«in numerosissime circostanze, il disegno di legge incide in modo non testuale ovvero mediante esplicite novelle su discipline oggetto di fonti normative di rango subordinato, integrando una modalità di produzione legislativa che, secondo i costanti indirizzi del Comitato, non appare conforme alle esigenze di coerente utilizzo delle fonti, in quanto può derivarne l’effetto secondo cui atti non aventi forza di legge presentano un diverso grado di resistenza ad interventi modificativi successivi (si veda il punto 3, lettera </w:t>
      </w:r>
      <w:r w:rsidRPr="00026EF8">
        <w:rPr>
          <w:rFonts w:ascii="Garamond" w:hAnsi="Garamond"/>
          <w:i/>
          <w:sz w:val="32"/>
          <w:szCs w:val="32"/>
        </w:rPr>
        <w:t>e)</w:t>
      </w:r>
      <w:r w:rsidRPr="00026EF8">
        <w:rPr>
          <w:rFonts w:ascii="Garamond" w:hAnsi="Garamond"/>
          <w:sz w:val="32"/>
          <w:szCs w:val="32"/>
        </w:rPr>
        <w:t>, della circolare congiunta dei Presidenti di Camera e Senato e del Presidente del Consiglio del 20 aprile 2001). Ciò si riscontra, in particolare, all’articolo 1, commi 6 e 7, che interviene sul passaporto di identificazione dei bovini, disciplinato dal regolamento di cui al DPR 19 ottobre 2000, n. 437, di cui il comma 8 abroga due disposizioni; all’articolo 8-</w:t>
      </w:r>
      <w:r w:rsidRPr="00026EF8">
        <w:rPr>
          <w:rFonts w:ascii="Garamond" w:hAnsi="Garamond"/>
          <w:i/>
          <w:sz w:val="32"/>
          <w:szCs w:val="32"/>
        </w:rPr>
        <w:t>quater</w:t>
      </w:r>
      <w:r w:rsidRPr="00026EF8">
        <w:rPr>
          <w:rFonts w:ascii="Garamond" w:hAnsi="Garamond"/>
          <w:sz w:val="32"/>
          <w:szCs w:val="32"/>
        </w:rPr>
        <w:t xml:space="preserve">, che, da un lato fissa direttamente per legge la misura del contributo ambientale a carico dei produttori e degli importatori di oli e grassi vegetali e animali per uso alimentare che l’articolo 233, comma 10, lettera </w:t>
      </w:r>
      <w:r w:rsidRPr="00026EF8">
        <w:rPr>
          <w:rFonts w:ascii="Garamond" w:hAnsi="Garamond"/>
          <w:i/>
          <w:sz w:val="32"/>
          <w:szCs w:val="32"/>
        </w:rPr>
        <w:t>c)</w:t>
      </w:r>
      <w:r w:rsidRPr="00026EF8">
        <w:rPr>
          <w:rFonts w:ascii="Garamond" w:hAnsi="Garamond"/>
          <w:sz w:val="32"/>
          <w:szCs w:val="32"/>
        </w:rPr>
        <w:t xml:space="preserve"> del decreto legislativo n. 152 del 2006 demanda ad un decreto interministeriale e, dall’altro lato, demanda ad un decreto interministeriale l’aggiornamento dell’entità del contributo, operando così una sorta di delegificazione sulla base di una procedura che si discosta da quella delineata dall’articolo 17, comma 2, della legge n. 400 del 1988; all’articolo 16, che integra in maniera non testuale il decreto del Ministro delle politiche agricole alimentari e forestali in data 20 novembre 2007; all’articolo 25-</w:t>
      </w:r>
      <w:r w:rsidRPr="00026EF8">
        <w:rPr>
          <w:rFonts w:ascii="Garamond" w:hAnsi="Garamond"/>
          <w:i/>
          <w:sz w:val="32"/>
          <w:szCs w:val="32"/>
        </w:rPr>
        <w:t>septies</w:t>
      </w:r>
      <w:r w:rsidRPr="00026EF8">
        <w:rPr>
          <w:rFonts w:ascii="Garamond" w:hAnsi="Garamond"/>
          <w:sz w:val="32"/>
          <w:szCs w:val="32"/>
        </w:rPr>
        <w:t xml:space="preserve">, sulla denominazione di “fungo </w:t>
      </w:r>
      <w:proofErr w:type="spellStart"/>
      <w:r w:rsidRPr="00026EF8">
        <w:rPr>
          <w:rFonts w:ascii="Garamond" w:hAnsi="Garamond"/>
          <w:sz w:val="32"/>
          <w:szCs w:val="32"/>
        </w:rPr>
        <w:t>cardocello</w:t>
      </w:r>
      <w:proofErr w:type="spellEnd"/>
      <w:r w:rsidRPr="00026EF8">
        <w:rPr>
          <w:rFonts w:ascii="Garamond" w:hAnsi="Garamond"/>
          <w:sz w:val="32"/>
          <w:szCs w:val="32"/>
        </w:rPr>
        <w:t>” o “</w:t>
      </w:r>
      <w:proofErr w:type="spellStart"/>
      <w:r w:rsidRPr="00026EF8">
        <w:rPr>
          <w:rFonts w:ascii="Garamond" w:hAnsi="Garamond"/>
          <w:sz w:val="32"/>
          <w:szCs w:val="32"/>
        </w:rPr>
        <w:t>cardoncello</w:t>
      </w:r>
      <w:proofErr w:type="spellEnd"/>
      <w:r w:rsidRPr="00026EF8">
        <w:rPr>
          <w:rFonts w:ascii="Garamond" w:hAnsi="Garamond"/>
          <w:sz w:val="32"/>
          <w:szCs w:val="32"/>
        </w:rPr>
        <w:t xml:space="preserve">”, che integra la disciplina recata dal regolamento di delegificazione concernente la disciplina della raccolta e della commercializzazione dei funghi epigei freschi e conservati, di cui al DPR 14 luglio 1995, n. 376, e all’articolo 29, comma 2, che novella il regolamento di cui al DPR 2 ottobre 1968, n. </w:t>
      </w:r>
      <w:r w:rsidRPr="00925B7C">
        <w:rPr>
          <w:rFonts w:ascii="Garamond" w:hAnsi="Garamond"/>
          <w:sz w:val="32"/>
          <w:szCs w:val="32"/>
        </w:rPr>
        <w:t>1639» (</w:t>
      </w:r>
      <w:hyperlink r:id="rId51" w:anchor="S08a04" w:history="1">
        <w:r w:rsidRPr="00925B7C">
          <w:rPr>
            <w:rStyle w:val="Collegamentoipertestuale"/>
            <w:rFonts w:ascii="Garamond" w:hAnsi="Garamond"/>
            <w:sz w:val="32"/>
            <w:szCs w:val="32"/>
          </w:rPr>
          <w:t>Scheda 8, punto 4</w:t>
        </w:r>
      </w:hyperlink>
      <w:r w:rsidRPr="00925B7C">
        <w:rPr>
          <w:rFonts w:ascii="Garamond" w:hAnsi="Garamond"/>
          <w:sz w:val="32"/>
          <w:szCs w:val="32"/>
        </w:rPr>
        <w:t>);</w:t>
      </w:r>
    </w:p>
    <w:p w:rsidR="00026EF8" w:rsidRDefault="00026EF8" w:rsidP="00026EF8">
      <w:pPr>
        <w:rPr>
          <w:rFonts w:ascii="Garamond" w:hAnsi="Garamond"/>
          <w:sz w:val="32"/>
          <w:szCs w:val="32"/>
        </w:rPr>
      </w:pPr>
      <w:r>
        <w:rPr>
          <w:rFonts w:ascii="Garamond" w:hAnsi="Garamond"/>
          <w:sz w:val="32"/>
          <w:szCs w:val="32"/>
        </w:rPr>
        <w:t xml:space="preserve">2. </w:t>
      </w:r>
      <w:r w:rsidRPr="00026EF8">
        <w:rPr>
          <w:rFonts w:ascii="Garamond" w:hAnsi="Garamond"/>
          <w:sz w:val="32"/>
          <w:szCs w:val="32"/>
        </w:rPr>
        <w:t xml:space="preserve">l’articolo 1, comma 4 «demanda ad un </w:t>
      </w:r>
      <w:r w:rsidRPr="00564712">
        <w:rPr>
          <w:rFonts w:ascii="Garamond" w:hAnsi="Garamond"/>
          <w:sz w:val="32"/>
          <w:szCs w:val="32"/>
          <w:u w:val="single"/>
        </w:rPr>
        <w:t>decreto di natura non regolamentare</w:t>
      </w:r>
      <w:r w:rsidRPr="00026EF8">
        <w:rPr>
          <w:rFonts w:ascii="Garamond" w:hAnsi="Garamond"/>
          <w:sz w:val="32"/>
          <w:szCs w:val="32"/>
        </w:rPr>
        <w:t xml:space="preserve"> (del quale, peraltro non è obbligatoria </w:t>
      </w:r>
      <w:r w:rsidRPr="00026EF8">
        <w:rPr>
          <w:rFonts w:ascii="Garamond" w:hAnsi="Garamond"/>
          <w:sz w:val="32"/>
          <w:szCs w:val="32"/>
        </w:rPr>
        <w:lastRenderedPageBreak/>
        <w:t>neppure la pubblicazione in Gazzetta Ufficiale) del Ministero delle politiche agricole alimentari e forestali la definizione di “disposizioni generali in materia di costituzione e riconoscimento dei consorzi di tutela” dei prodotti agroalimentari. A tale proposito, come più volte segnalato dal Comitato, si ricorda che la Corte costituzionale, nella sentenza n. 116 del 2006, con riferimento ad un decreto ministeriale del quale si esplicitava la natura non regolamentare, lo qualificava come «</w:t>
      </w:r>
      <w:r w:rsidRPr="00026EF8">
        <w:rPr>
          <w:rFonts w:ascii="Garamond" w:hAnsi="Garamond"/>
          <w:i/>
          <w:sz w:val="32"/>
          <w:szCs w:val="32"/>
        </w:rPr>
        <w:t>un atto statale dalla indefinibile natura giuridica</w:t>
      </w:r>
      <w:r w:rsidRPr="00026EF8">
        <w:rPr>
          <w:rFonts w:ascii="Garamond" w:hAnsi="Garamond"/>
          <w:sz w:val="32"/>
          <w:szCs w:val="32"/>
        </w:rPr>
        <w:t>» e che, più recentemente, l’Adunanza Plenaria del Consiglio di Stato, con sentenza 4 maggio 2012, n. 9, sulla natura giuridica dell’articolo 4 del decreto ministeriale 6 febbraio 2006, ha osservato che: “</w:t>
      </w:r>
      <w:r w:rsidRPr="00026EF8">
        <w:rPr>
          <w:rFonts w:ascii="Garamond" w:hAnsi="Garamond"/>
          <w:i/>
          <w:sz w:val="32"/>
          <w:szCs w:val="32"/>
        </w:rPr>
        <w:t xml:space="preserve">deve rilevarsi che, nonostante la crescente diffusione di quel fenomeno efficacemente descritto in termini di “fuga dal regolamento” (che si manifesta, talvolta anche in base ad esplicite indicazioni legislative, tramite l’adozione di atti normativi secondari che si autoqualificano in termini non regolamentari) deve, in linea di principio, escludersi che il potere normativo dei Ministri e, più in generale, del Governo possa esercitarsi medianti atti </w:t>
      </w:r>
      <w:r w:rsidRPr="00925B7C">
        <w:rPr>
          <w:rFonts w:ascii="Garamond" w:hAnsi="Garamond"/>
          <w:i/>
          <w:sz w:val="32"/>
          <w:szCs w:val="32"/>
        </w:rPr>
        <w:t>‘atipici’, di natura non regolamentare</w:t>
      </w:r>
      <w:r w:rsidRPr="00925B7C">
        <w:rPr>
          <w:rFonts w:ascii="Garamond" w:hAnsi="Garamond"/>
          <w:sz w:val="32"/>
          <w:szCs w:val="32"/>
        </w:rPr>
        <w:t>”» (</w:t>
      </w:r>
      <w:hyperlink r:id="rId52" w:anchor="S08a05" w:history="1">
        <w:r w:rsidR="00BD75AA" w:rsidRPr="00925B7C">
          <w:rPr>
            <w:rStyle w:val="Collegamentoipertestuale"/>
            <w:rFonts w:ascii="Garamond" w:hAnsi="Garamond"/>
            <w:sz w:val="32"/>
            <w:szCs w:val="32"/>
          </w:rPr>
          <w:t>Scheda 8, punto 5</w:t>
        </w:r>
      </w:hyperlink>
      <w:r w:rsidRPr="00925B7C">
        <w:rPr>
          <w:rFonts w:ascii="Garamond" w:hAnsi="Garamond"/>
          <w:sz w:val="32"/>
          <w:szCs w:val="32"/>
        </w:rPr>
        <w:t>)</w:t>
      </w:r>
      <w:r w:rsidR="00BD75AA" w:rsidRPr="00925B7C">
        <w:rPr>
          <w:rFonts w:ascii="Garamond" w:hAnsi="Garamond"/>
          <w:sz w:val="32"/>
          <w:szCs w:val="32"/>
        </w:rPr>
        <w:t>. Ne</w:t>
      </w:r>
      <w:r w:rsidR="00BD75AA">
        <w:rPr>
          <w:rFonts w:ascii="Garamond" w:hAnsi="Garamond"/>
          <w:sz w:val="32"/>
          <w:szCs w:val="32"/>
        </w:rPr>
        <w:t xml:space="preserve"> conseguono due condizioni:</w:t>
      </w:r>
    </w:p>
    <w:p w:rsidR="00BD75AA" w:rsidRPr="00BD75AA" w:rsidRDefault="00BD75AA" w:rsidP="00BD75AA">
      <w:pPr>
        <w:rPr>
          <w:rFonts w:ascii="Garamond" w:hAnsi="Garamond"/>
          <w:sz w:val="32"/>
          <w:szCs w:val="32"/>
        </w:rPr>
      </w:pPr>
      <w:r>
        <w:rPr>
          <w:rFonts w:ascii="Garamond" w:hAnsi="Garamond"/>
          <w:sz w:val="32"/>
          <w:szCs w:val="32"/>
        </w:rPr>
        <w:t xml:space="preserve">«1) </w:t>
      </w:r>
      <w:r w:rsidRPr="00BD75AA">
        <w:rPr>
          <w:rFonts w:ascii="Garamond" w:hAnsi="Garamond"/>
          <w:sz w:val="32"/>
          <w:szCs w:val="32"/>
        </w:rPr>
        <w:t>per quanto detto in premessa, all’articolo 1, comma 4, che demanda compiti attuativi a un decreto ministeriale del quale viene specificata la natura non regolamentare, sia riformulata la disposizione nel senso di prevedere che la disciplina attuativa sia introdotta da un regolamento adottato ai sensi dell’articolo 17, comma 3, della legge n. 400 del 1988;</w:t>
      </w:r>
    </w:p>
    <w:p w:rsidR="00BD75AA" w:rsidRDefault="00BD75AA" w:rsidP="00BD75AA">
      <w:pPr>
        <w:rPr>
          <w:rFonts w:ascii="Garamond" w:hAnsi="Garamond"/>
          <w:sz w:val="32"/>
          <w:szCs w:val="32"/>
        </w:rPr>
      </w:pPr>
      <w:r w:rsidRPr="00BD75AA">
        <w:rPr>
          <w:rFonts w:ascii="Garamond" w:hAnsi="Garamond"/>
          <w:sz w:val="32"/>
          <w:szCs w:val="32"/>
        </w:rPr>
        <w:t>2) per quanto detto in premessa, si sopprimano le disposizioni contenute all’articolo 1, commi 6 e 7, all’articolo 8-quater, all’articolo 16, all’articolo 25-septies e all’articolo 29, comma 2, nella parte in cui incidono in maniera non testuale ovvero mediante esplicite novelle su discipline oggetto di fonti normative di rango subordinato, ovvero si proceda a riformularle nel senso di autorizzare il Governo ad integrare la disciplina contenuta nelle fonti secondarie mediant</w:t>
      </w:r>
      <w:r>
        <w:rPr>
          <w:rFonts w:ascii="Garamond" w:hAnsi="Garamond"/>
          <w:sz w:val="32"/>
          <w:szCs w:val="32"/>
        </w:rPr>
        <w:t>e atto avente la medesima forza».</w:t>
      </w:r>
    </w:p>
    <w:p w:rsidR="00BD75AA" w:rsidRPr="00026EF8" w:rsidRDefault="00BD75AA" w:rsidP="00BD75AA">
      <w:pPr>
        <w:rPr>
          <w:rFonts w:ascii="Garamond" w:hAnsi="Garamond"/>
          <w:sz w:val="32"/>
          <w:szCs w:val="32"/>
        </w:rPr>
      </w:pPr>
      <w:r>
        <w:rPr>
          <w:rFonts w:ascii="Garamond" w:hAnsi="Garamond"/>
          <w:sz w:val="32"/>
          <w:szCs w:val="32"/>
        </w:rPr>
        <w:lastRenderedPageBreak/>
        <w:t xml:space="preserve">Si segnalano infine le raccomandazioni formulate nel parere sul decreto-legge n. 42/2016 (C. 3822 – sistema scolastico e </w:t>
      </w:r>
      <w:r w:rsidRPr="00925B7C">
        <w:rPr>
          <w:rFonts w:ascii="Garamond" w:hAnsi="Garamond"/>
          <w:sz w:val="32"/>
          <w:szCs w:val="32"/>
        </w:rPr>
        <w:t xml:space="preserve">ricerca) riportate, per organicità del commento, </w:t>
      </w:r>
      <w:r w:rsidR="00532EF3" w:rsidRPr="00532EF3">
        <w:rPr>
          <w:rFonts w:ascii="Garamond" w:hAnsi="Garamond"/>
          <w:sz w:val="32"/>
          <w:szCs w:val="32"/>
        </w:rPr>
        <w:t>nel paragrafo successivo.</w:t>
      </w:r>
    </w:p>
    <w:p w:rsidR="00026EF8" w:rsidRPr="00D46906" w:rsidRDefault="00026EF8" w:rsidP="00707041">
      <w:pPr>
        <w:rPr>
          <w:rFonts w:ascii="Garamond" w:hAnsi="Garamond"/>
          <w:sz w:val="32"/>
          <w:szCs w:val="32"/>
          <w:highlight w:val="red"/>
        </w:rPr>
      </w:pPr>
    </w:p>
    <w:p w:rsidR="004713E0" w:rsidRPr="003505A6" w:rsidRDefault="004713E0" w:rsidP="00E960B0">
      <w:pPr>
        <w:pStyle w:val="Titolo2"/>
        <w:spacing w:before="0"/>
        <w:ind w:left="709" w:hanging="709"/>
        <w:rPr>
          <w:rFonts w:ascii="Garamond" w:hAnsi="Garamond"/>
          <w:i/>
          <w:color w:val="0000FF"/>
          <w:sz w:val="40"/>
          <w:szCs w:val="40"/>
        </w:rPr>
      </w:pPr>
      <w:bookmarkStart w:id="40" w:name="_Toc337653473"/>
      <w:bookmarkStart w:id="41" w:name="_Toc342035930"/>
      <w:bookmarkStart w:id="42" w:name="_Toc384976867"/>
      <w:bookmarkStart w:id="43" w:name="_Toc458677972"/>
      <w:bookmarkStart w:id="44" w:name="_Toc389580488"/>
      <w:bookmarkStart w:id="45" w:name="_Toc389580561"/>
      <w:r w:rsidRPr="003505A6">
        <w:rPr>
          <w:rFonts w:ascii="Garamond" w:hAnsi="Garamond"/>
          <w:i/>
          <w:color w:val="0000FF"/>
          <w:sz w:val="40"/>
          <w:szCs w:val="40"/>
        </w:rPr>
        <w:t>4.6. Richiami alla legge n. 400 del 1988</w:t>
      </w:r>
      <w:bookmarkEnd w:id="40"/>
      <w:bookmarkEnd w:id="41"/>
      <w:bookmarkEnd w:id="42"/>
      <w:bookmarkEnd w:id="43"/>
    </w:p>
    <w:p w:rsidR="004713E0" w:rsidRPr="003505A6" w:rsidRDefault="004713E0" w:rsidP="004713E0">
      <w:pPr>
        <w:rPr>
          <w:rFonts w:ascii="Garamond" w:hAnsi="Garamond"/>
          <w:sz w:val="32"/>
          <w:szCs w:val="32"/>
        </w:rPr>
      </w:pPr>
      <w:r w:rsidRPr="00925B7C">
        <w:rPr>
          <w:rFonts w:ascii="Garamond" w:hAnsi="Garamond"/>
          <w:sz w:val="32"/>
          <w:szCs w:val="32"/>
        </w:rPr>
        <w:t xml:space="preserve">Nel periodo di riferimento del presente rapporto, </w:t>
      </w:r>
      <w:r w:rsidR="00D46906" w:rsidRPr="00925B7C">
        <w:rPr>
          <w:rFonts w:ascii="Garamond" w:hAnsi="Garamond"/>
          <w:b/>
          <w:color w:val="800000"/>
          <w:sz w:val="32"/>
          <w:szCs w:val="32"/>
        </w:rPr>
        <w:t>10</w:t>
      </w:r>
      <w:r w:rsidRPr="00925B7C">
        <w:rPr>
          <w:rFonts w:ascii="Garamond" w:hAnsi="Garamond"/>
          <w:sz w:val="32"/>
          <w:szCs w:val="32"/>
        </w:rPr>
        <w:t xml:space="preserve"> pareri sui </w:t>
      </w:r>
      <w:r w:rsidR="009B4271" w:rsidRPr="00925B7C">
        <w:rPr>
          <w:rFonts w:ascii="Garamond" w:hAnsi="Garamond"/>
          <w:b/>
          <w:color w:val="0000FF"/>
          <w:sz w:val="32"/>
          <w:szCs w:val="32"/>
        </w:rPr>
        <w:t>2</w:t>
      </w:r>
      <w:r w:rsidR="00D46906" w:rsidRPr="00925B7C">
        <w:rPr>
          <w:rFonts w:ascii="Garamond" w:hAnsi="Garamond"/>
          <w:b/>
          <w:color w:val="0000FF"/>
          <w:sz w:val="32"/>
          <w:szCs w:val="32"/>
        </w:rPr>
        <w:t>6</w:t>
      </w:r>
      <w:r w:rsidRPr="00925B7C">
        <w:rPr>
          <w:rFonts w:ascii="Garamond" w:hAnsi="Garamond"/>
          <w:sz w:val="32"/>
          <w:szCs w:val="32"/>
        </w:rPr>
        <w:t xml:space="preserve"> espressi richiamano espressamente almeno un articolo</w:t>
      </w:r>
      <w:r w:rsidRPr="003505A6">
        <w:rPr>
          <w:rFonts w:ascii="Garamond" w:hAnsi="Garamond"/>
          <w:sz w:val="32"/>
          <w:szCs w:val="32"/>
        </w:rPr>
        <w:t xml:space="preserve"> della legge n. 400 del 1988, a testimonianza dell’attenzione posta dal Comitato sul sistema delle fonti.</w:t>
      </w:r>
    </w:p>
    <w:p w:rsidR="004713E0" w:rsidRPr="003505A6" w:rsidRDefault="004713E0" w:rsidP="004713E0">
      <w:pPr>
        <w:rPr>
          <w:rFonts w:ascii="Garamond" w:hAnsi="Garamond"/>
          <w:sz w:val="32"/>
          <w:szCs w:val="32"/>
        </w:rPr>
      </w:pPr>
    </w:p>
    <w:p w:rsidR="004713E0" w:rsidRPr="003505A6" w:rsidRDefault="004713E0" w:rsidP="004713E0">
      <w:pPr>
        <w:rPr>
          <w:rFonts w:ascii="Garamond" w:hAnsi="Garamond"/>
          <w:sz w:val="32"/>
          <w:szCs w:val="32"/>
        </w:rPr>
      </w:pPr>
      <w:r w:rsidRPr="003505A6">
        <w:rPr>
          <w:rFonts w:ascii="Garamond" w:hAnsi="Garamond"/>
          <w:sz w:val="32"/>
          <w:szCs w:val="32"/>
        </w:rPr>
        <w:t xml:space="preserve">Si tratta di </w:t>
      </w:r>
      <w:r w:rsidR="009B4271" w:rsidRPr="003505A6">
        <w:rPr>
          <w:rFonts w:ascii="Garamond" w:hAnsi="Garamond"/>
          <w:b/>
          <w:bCs/>
          <w:color w:val="993300"/>
          <w:sz w:val="32"/>
          <w:szCs w:val="32"/>
        </w:rPr>
        <w:t>7</w:t>
      </w:r>
      <w:r w:rsidRPr="003505A6">
        <w:rPr>
          <w:rFonts w:ascii="Garamond" w:hAnsi="Garamond"/>
          <w:color w:val="FF0000"/>
          <w:sz w:val="32"/>
          <w:szCs w:val="32"/>
        </w:rPr>
        <w:t xml:space="preserve"> </w:t>
      </w:r>
      <w:r w:rsidRPr="003505A6">
        <w:rPr>
          <w:rFonts w:ascii="Garamond" w:hAnsi="Garamond"/>
          <w:sz w:val="32"/>
          <w:szCs w:val="32"/>
        </w:rPr>
        <w:t xml:space="preserve">pareri espressi su </w:t>
      </w:r>
      <w:r w:rsidRPr="003505A6">
        <w:rPr>
          <w:rFonts w:ascii="Garamond" w:hAnsi="Garamond"/>
          <w:bCs/>
          <w:iCs/>
          <w:sz w:val="32"/>
          <w:szCs w:val="32"/>
        </w:rPr>
        <w:t>disegni di legge di conversione e</w:t>
      </w:r>
      <w:r w:rsidRPr="003505A6">
        <w:rPr>
          <w:rFonts w:ascii="Garamond" w:hAnsi="Garamond"/>
          <w:sz w:val="32"/>
          <w:szCs w:val="32"/>
        </w:rPr>
        <w:t xml:space="preserve"> di </w:t>
      </w:r>
      <w:r w:rsidR="00CA6F26">
        <w:rPr>
          <w:rFonts w:ascii="Garamond" w:hAnsi="Garamond"/>
          <w:b/>
          <w:color w:val="993300"/>
          <w:sz w:val="32"/>
          <w:szCs w:val="32"/>
        </w:rPr>
        <w:t>3</w:t>
      </w:r>
      <w:r w:rsidRPr="003505A6">
        <w:rPr>
          <w:rFonts w:ascii="Garamond" w:hAnsi="Garamond"/>
          <w:sz w:val="32"/>
          <w:szCs w:val="32"/>
        </w:rPr>
        <w:t xml:space="preserve"> pareri espressi su progetti di legge contenenti disposizioni di delega. </w:t>
      </w:r>
    </w:p>
    <w:p w:rsidR="004713E0" w:rsidRPr="003505A6" w:rsidRDefault="004713E0" w:rsidP="004713E0">
      <w:pPr>
        <w:rPr>
          <w:rFonts w:ascii="Garamond" w:hAnsi="Garamond"/>
          <w:sz w:val="32"/>
          <w:szCs w:val="32"/>
        </w:rPr>
      </w:pPr>
    </w:p>
    <w:p w:rsidR="004713E0" w:rsidRDefault="004713E0" w:rsidP="004713E0">
      <w:pPr>
        <w:rPr>
          <w:rFonts w:ascii="Garamond" w:hAnsi="Garamond"/>
          <w:sz w:val="32"/>
          <w:szCs w:val="32"/>
        </w:rPr>
      </w:pPr>
      <w:r w:rsidRPr="003505A6">
        <w:rPr>
          <w:rFonts w:ascii="Garamond" w:hAnsi="Garamond"/>
          <w:sz w:val="32"/>
          <w:szCs w:val="32"/>
        </w:rPr>
        <w:t>La tabella che segue dà conto dei richiami alle disposizioni della legge n. 400 del 1988 operate dai pareri espressi nel periodo di riferimento.</w:t>
      </w:r>
    </w:p>
    <w:p w:rsidR="00F739F6" w:rsidRPr="003505A6" w:rsidRDefault="00F739F6" w:rsidP="004713E0">
      <w:pPr>
        <w:rPr>
          <w:rFonts w:ascii="Garamond" w:hAnsi="Garamond"/>
          <w:sz w:val="32"/>
          <w:szCs w:val="32"/>
        </w:rPr>
      </w:pPr>
    </w:p>
    <w:p w:rsidR="00B50F57" w:rsidRPr="003505A6" w:rsidRDefault="00B50F57" w:rsidP="004713E0">
      <w:pPr>
        <w:rPr>
          <w:rFonts w:ascii="Garamond" w:hAnsi="Garamond"/>
          <w:sz w:val="32"/>
          <w:szCs w:val="32"/>
        </w:rPr>
        <w:sectPr w:rsidR="00B50F57" w:rsidRPr="003505A6" w:rsidSect="00E83D04">
          <w:pgSz w:w="11906" w:h="16838" w:code="9"/>
          <w:pgMar w:top="1985" w:right="1985" w:bottom="1985" w:left="1985" w:header="1134" w:footer="1134" w:gutter="0"/>
          <w:cols w:space="720"/>
          <w:formProt w:val="0"/>
        </w:sectPr>
      </w:pPr>
    </w:p>
    <w:p w:rsidR="004713E0" w:rsidRPr="003505A6" w:rsidRDefault="004713E0" w:rsidP="004713E0">
      <w:pPr>
        <w:pStyle w:val="Titolo3"/>
        <w:jc w:val="center"/>
        <w:rPr>
          <w:rFonts w:ascii="Garamond" w:hAnsi="Garamond"/>
          <w:color w:val="0000FF"/>
          <w:sz w:val="36"/>
          <w:szCs w:val="36"/>
        </w:rPr>
      </w:pPr>
      <w:r w:rsidRPr="003505A6">
        <w:rPr>
          <w:rFonts w:ascii="Garamond" w:hAnsi="Garamond"/>
          <w:color w:val="0000FF"/>
          <w:sz w:val="36"/>
          <w:szCs w:val="36"/>
        </w:rPr>
        <w:lastRenderedPageBreak/>
        <w:t>Gli articoli del</w:t>
      </w:r>
      <w:r w:rsidR="006D669D" w:rsidRPr="003505A6">
        <w:rPr>
          <w:rFonts w:ascii="Garamond" w:hAnsi="Garamond"/>
          <w:color w:val="0000FF"/>
          <w:sz w:val="36"/>
          <w:szCs w:val="36"/>
        </w:rPr>
        <w:t>la legge n. 400/1988 richiamati</w:t>
      </w:r>
      <w:r w:rsidR="006D669D" w:rsidRPr="003505A6">
        <w:rPr>
          <w:rFonts w:ascii="Garamond" w:hAnsi="Garamond"/>
          <w:color w:val="0000FF"/>
          <w:sz w:val="36"/>
          <w:szCs w:val="36"/>
        </w:rPr>
        <w:br/>
      </w:r>
      <w:r w:rsidRPr="003505A6">
        <w:rPr>
          <w:rFonts w:ascii="Garamond" w:hAnsi="Garamond"/>
          <w:color w:val="0000FF"/>
          <w:sz w:val="36"/>
          <w:szCs w:val="36"/>
        </w:rPr>
        <w:t>nei pareri del Comitato</w:t>
      </w:r>
    </w:p>
    <w:p w:rsidR="004713E0" w:rsidRPr="003505A6" w:rsidRDefault="004713E0" w:rsidP="004713E0">
      <w:pPr>
        <w:keepNext/>
        <w:rPr>
          <w:rFonts w:ascii="Garamond" w:hAnsi="Garamond"/>
          <w:sz w:val="28"/>
          <w:szCs w:val="28"/>
        </w:rPr>
      </w:pPr>
    </w:p>
    <w:tbl>
      <w:tblPr>
        <w:tblW w:w="5000" w:type="pct"/>
        <w:jc w:val="center"/>
        <w:tblCellMar>
          <w:left w:w="70" w:type="dxa"/>
          <w:right w:w="70" w:type="dxa"/>
        </w:tblCellMar>
        <w:tblLook w:val="0000" w:firstRow="0" w:lastRow="0" w:firstColumn="0" w:lastColumn="0" w:noHBand="0" w:noVBand="0"/>
      </w:tblPr>
      <w:tblGrid>
        <w:gridCol w:w="3681"/>
        <w:gridCol w:w="4395"/>
      </w:tblGrid>
      <w:tr w:rsidR="004713E0" w:rsidRPr="003505A6" w:rsidTr="00E960B0">
        <w:trPr>
          <w:trHeight w:val="567"/>
          <w:tblHeader/>
          <w:jc w:val="center"/>
        </w:trPr>
        <w:tc>
          <w:tcPr>
            <w:tcW w:w="5000" w:type="pct"/>
            <w:gridSpan w:val="2"/>
            <w:tcBorders>
              <w:top w:val="single" w:sz="8" w:space="0" w:color="auto"/>
              <w:left w:val="single" w:sz="8" w:space="0" w:color="auto"/>
              <w:bottom w:val="single" w:sz="8" w:space="0" w:color="auto"/>
              <w:right w:val="single" w:sz="8" w:space="0" w:color="000000"/>
            </w:tcBorders>
            <w:shd w:val="clear" w:color="auto" w:fill="FFFF99"/>
            <w:vAlign w:val="center"/>
          </w:tcPr>
          <w:p w:rsidR="004713E0" w:rsidRPr="003505A6" w:rsidRDefault="004713E0" w:rsidP="00AB5089">
            <w:pPr>
              <w:spacing w:line="240" w:lineRule="auto"/>
              <w:ind w:firstLine="0"/>
              <w:jc w:val="center"/>
              <w:rPr>
                <w:rFonts w:ascii="Garamond" w:hAnsi="Garamond" w:cs="Arial"/>
                <w:b/>
                <w:bCs/>
                <w:color w:val="0000FF"/>
                <w:sz w:val="32"/>
                <w:szCs w:val="32"/>
              </w:rPr>
            </w:pPr>
            <w:r w:rsidRPr="003505A6">
              <w:rPr>
                <w:rFonts w:ascii="Garamond" w:hAnsi="Garamond" w:cs="Arial"/>
                <w:b/>
                <w:bCs/>
                <w:color w:val="0000FF"/>
                <w:sz w:val="32"/>
                <w:szCs w:val="32"/>
              </w:rPr>
              <w:t>Pareri contenenti richiami alla L. 400/1988</w:t>
            </w:r>
          </w:p>
        </w:tc>
      </w:tr>
      <w:tr w:rsidR="00262436" w:rsidRPr="003505A6" w:rsidTr="00262436">
        <w:trPr>
          <w:trHeight w:val="737"/>
          <w:tblHeader/>
          <w:jc w:val="center"/>
        </w:trPr>
        <w:tc>
          <w:tcPr>
            <w:tcW w:w="2279" w:type="pct"/>
            <w:tcBorders>
              <w:top w:val="nil"/>
              <w:left w:val="single" w:sz="8" w:space="0" w:color="auto"/>
              <w:bottom w:val="single" w:sz="8" w:space="0" w:color="auto"/>
              <w:right w:val="single" w:sz="4" w:space="0" w:color="auto"/>
            </w:tcBorders>
            <w:shd w:val="clear" w:color="auto" w:fill="FFFF99"/>
            <w:vAlign w:val="center"/>
          </w:tcPr>
          <w:p w:rsidR="00262436" w:rsidRPr="003505A6" w:rsidRDefault="00262436" w:rsidP="00AB5089">
            <w:pPr>
              <w:spacing w:line="240" w:lineRule="auto"/>
              <w:ind w:firstLine="0"/>
              <w:jc w:val="center"/>
              <w:rPr>
                <w:rFonts w:ascii="Garamond" w:hAnsi="Garamond" w:cs="Arial"/>
                <w:b/>
                <w:bCs/>
                <w:color w:val="0000FF"/>
                <w:sz w:val="24"/>
                <w:szCs w:val="24"/>
              </w:rPr>
            </w:pPr>
            <w:r w:rsidRPr="003505A6">
              <w:rPr>
                <w:rFonts w:ascii="Garamond" w:hAnsi="Garamond" w:cs="Arial"/>
                <w:b/>
                <w:bCs/>
                <w:color w:val="0000FF"/>
                <w:sz w:val="24"/>
                <w:szCs w:val="24"/>
              </w:rPr>
              <w:t>Riferimento normativo</w:t>
            </w:r>
          </w:p>
        </w:tc>
        <w:tc>
          <w:tcPr>
            <w:tcW w:w="2721" w:type="pct"/>
            <w:tcBorders>
              <w:top w:val="nil"/>
              <w:left w:val="nil"/>
              <w:bottom w:val="single" w:sz="8" w:space="0" w:color="auto"/>
              <w:right w:val="single" w:sz="8" w:space="0" w:color="auto"/>
            </w:tcBorders>
            <w:shd w:val="clear" w:color="auto" w:fill="FFFF99"/>
            <w:vAlign w:val="center"/>
          </w:tcPr>
          <w:p w:rsidR="00262436" w:rsidRPr="003505A6" w:rsidRDefault="00262436" w:rsidP="00AB5089">
            <w:pPr>
              <w:spacing w:line="240" w:lineRule="auto"/>
              <w:ind w:firstLine="0"/>
              <w:jc w:val="center"/>
              <w:rPr>
                <w:rFonts w:ascii="Garamond" w:hAnsi="Garamond" w:cs="Arial"/>
                <w:b/>
                <w:bCs/>
                <w:color w:val="0000FF"/>
                <w:sz w:val="24"/>
                <w:szCs w:val="24"/>
              </w:rPr>
            </w:pPr>
            <w:r w:rsidRPr="003505A6">
              <w:rPr>
                <w:rFonts w:ascii="Garamond" w:hAnsi="Garamond" w:cs="Arial"/>
                <w:b/>
                <w:bCs/>
                <w:color w:val="0000FF"/>
                <w:sz w:val="24"/>
                <w:szCs w:val="24"/>
              </w:rPr>
              <w:t>Num. pareri</w:t>
            </w:r>
          </w:p>
        </w:tc>
      </w:tr>
      <w:tr w:rsidR="00262436" w:rsidRPr="003505A6" w:rsidTr="00262436">
        <w:trPr>
          <w:trHeight w:val="737"/>
          <w:jc w:val="center"/>
        </w:trPr>
        <w:tc>
          <w:tcPr>
            <w:tcW w:w="2279" w:type="pct"/>
            <w:tcBorders>
              <w:top w:val="nil"/>
              <w:left w:val="single" w:sz="8" w:space="0" w:color="auto"/>
              <w:bottom w:val="single" w:sz="4" w:space="0" w:color="auto"/>
              <w:right w:val="single" w:sz="8" w:space="0" w:color="auto"/>
            </w:tcBorders>
            <w:shd w:val="clear" w:color="auto" w:fill="FFFF99"/>
            <w:vAlign w:val="center"/>
          </w:tcPr>
          <w:p w:rsidR="00262436" w:rsidRPr="003505A6" w:rsidRDefault="00262436" w:rsidP="00AB5089">
            <w:pPr>
              <w:spacing w:line="240" w:lineRule="auto"/>
              <w:ind w:firstLine="0"/>
              <w:jc w:val="left"/>
              <w:rPr>
                <w:rFonts w:ascii="Garamond" w:hAnsi="Garamond" w:cs="Arial"/>
                <w:b/>
                <w:bCs/>
                <w:color w:val="0000FF"/>
                <w:sz w:val="24"/>
                <w:szCs w:val="24"/>
              </w:rPr>
            </w:pPr>
            <w:r w:rsidRPr="003505A6">
              <w:rPr>
                <w:rFonts w:ascii="Garamond" w:hAnsi="Garamond" w:cs="Arial"/>
                <w:b/>
                <w:bCs/>
                <w:color w:val="0000FF"/>
                <w:sz w:val="24"/>
                <w:szCs w:val="24"/>
              </w:rPr>
              <w:t>art. 13-</w:t>
            </w:r>
            <w:r w:rsidRPr="003505A6">
              <w:rPr>
                <w:rFonts w:ascii="Garamond" w:hAnsi="Garamond" w:cs="Arial"/>
                <w:b/>
                <w:bCs/>
                <w:i/>
                <w:iCs/>
                <w:color w:val="0000FF"/>
                <w:sz w:val="24"/>
                <w:szCs w:val="24"/>
              </w:rPr>
              <w:t>bis</w:t>
            </w:r>
            <w:r w:rsidRPr="003505A6">
              <w:rPr>
                <w:rFonts w:ascii="Garamond" w:hAnsi="Garamond" w:cs="Arial"/>
                <w:b/>
                <w:bCs/>
                <w:color w:val="0000FF"/>
                <w:sz w:val="24"/>
                <w:szCs w:val="24"/>
              </w:rPr>
              <w:br/>
            </w:r>
            <w:r w:rsidRPr="003505A6">
              <w:rPr>
                <w:rFonts w:ascii="Garamond" w:hAnsi="Garamond" w:cs="Arial"/>
                <w:color w:val="0000FF"/>
                <w:sz w:val="24"/>
                <w:szCs w:val="24"/>
              </w:rPr>
              <w:t>Chiarezza testi normativi</w:t>
            </w:r>
          </w:p>
        </w:tc>
        <w:tc>
          <w:tcPr>
            <w:tcW w:w="2721" w:type="pct"/>
            <w:tcBorders>
              <w:top w:val="nil"/>
              <w:left w:val="nil"/>
              <w:bottom w:val="single" w:sz="4" w:space="0" w:color="auto"/>
              <w:right w:val="single" w:sz="8" w:space="0" w:color="auto"/>
            </w:tcBorders>
            <w:shd w:val="clear" w:color="auto" w:fill="auto"/>
            <w:noWrap/>
            <w:vAlign w:val="center"/>
          </w:tcPr>
          <w:p w:rsidR="00262436" w:rsidRPr="003505A6" w:rsidRDefault="00CA6F26" w:rsidP="00B80024">
            <w:pPr>
              <w:spacing w:line="240" w:lineRule="auto"/>
              <w:ind w:firstLine="0"/>
              <w:jc w:val="center"/>
              <w:rPr>
                <w:rFonts w:ascii="Garamond" w:hAnsi="Garamond" w:cs="Arial"/>
                <w:i/>
                <w:sz w:val="28"/>
                <w:szCs w:val="28"/>
              </w:rPr>
            </w:pPr>
            <w:r>
              <w:rPr>
                <w:rFonts w:ascii="Garamond" w:hAnsi="Garamond" w:cs="Arial"/>
                <w:b/>
                <w:bCs/>
                <w:sz w:val="28"/>
                <w:szCs w:val="28"/>
              </w:rPr>
              <w:t>2</w:t>
            </w:r>
          </w:p>
        </w:tc>
      </w:tr>
      <w:tr w:rsidR="00262436" w:rsidRPr="003505A6" w:rsidTr="00262436">
        <w:trPr>
          <w:trHeight w:val="737"/>
          <w:jc w:val="center"/>
        </w:trPr>
        <w:tc>
          <w:tcPr>
            <w:tcW w:w="2279" w:type="pct"/>
            <w:tcBorders>
              <w:top w:val="nil"/>
              <w:left w:val="single" w:sz="8" w:space="0" w:color="auto"/>
              <w:bottom w:val="single" w:sz="4" w:space="0" w:color="auto"/>
              <w:right w:val="single" w:sz="8" w:space="0" w:color="auto"/>
            </w:tcBorders>
            <w:shd w:val="clear" w:color="auto" w:fill="FFFF99"/>
            <w:vAlign w:val="center"/>
          </w:tcPr>
          <w:p w:rsidR="00262436" w:rsidRPr="003505A6" w:rsidRDefault="00262436" w:rsidP="00AB5089">
            <w:pPr>
              <w:spacing w:line="240" w:lineRule="auto"/>
              <w:ind w:firstLine="0"/>
              <w:jc w:val="left"/>
              <w:rPr>
                <w:rFonts w:ascii="Garamond" w:hAnsi="Garamond" w:cs="Arial"/>
                <w:b/>
                <w:bCs/>
                <w:color w:val="0000FF"/>
                <w:sz w:val="24"/>
                <w:szCs w:val="24"/>
                <w:lang w:val="en-GB"/>
              </w:rPr>
            </w:pPr>
            <w:r w:rsidRPr="003505A6">
              <w:rPr>
                <w:rFonts w:ascii="Garamond" w:hAnsi="Garamond" w:cs="Arial"/>
                <w:b/>
                <w:bCs/>
                <w:color w:val="0000FF"/>
                <w:sz w:val="24"/>
                <w:szCs w:val="24"/>
                <w:lang w:val="en-GB"/>
              </w:rPr>
              <w:t xml:space="preserve">art. 15, co. 2, </w:t>
            </w:r>
            <w:r w:rsidRPr="003505A6">
              <w:rPr>
                <w:rFonts w:ascii="Garamond" w:hAnsi="Garamond" w:cs="Arial"/>
                <w:b/>
                <w:bCs/>
                <w:i/>
                <w:iCs/>
                <w:color w:val="0000FF"/>
                <w:sz w:val="24"/>
                <w:szCs w:val="24"/>
                <w:lang w:val="en-GB"/>
              </w:rPr>
              <w:t>a)</w:t>
            </w:r>
            <w:r w:rsidRPr="003505A6">
              <w:rPr>
                <w:rFonts w:ascii="Garamond" w:hAnsi="Garamond" w:cs="Arial"/>
                <w:b/>
                <w:bCs/>
                <w:color w:val="0000FF"/>
                <w:sz w:val="24"/>
                <w:szCs w:val="24"/>
                <w:lang w:val="en-GB"/>
              </w:rPr>
              <w:br/>
            </w:r>
            <w:proofErr w:type="spellStart"/>
            <w:r w:rsidRPr="005F0F26">
              <w:rPr>
                <w:rFonts w:ascii="Garamond" w:hAnsi="Garamond" w:cs="Arial"/>
                <w:color w:val="0000FF"/>
                <w:sz w:val="24"/>
                <w:szCs w:val="24"/>
                <w:lang w:val="en-US"/>
              </w:rPr>
              <w:t>Deleghe</w:t>
            </w:r>
            <w:proofErr w:type="spellEnd"/>
            <w:r w:rsidRPr="003505A6">
              <w:rPr>
                <w:rFonts w:ascii="Garamond" w:hAnsi="Garamond" w:cs="Arial"/>
                <w:color w:val="0000FF"/>
                <w:sz w:val="24"/>
                <w:szCs w:val="24"/>
                <w:lang w:val="en-GB"/>
              </w:rPr>
              <w:t xml:space="preserve"> in DL</w:t>
            </w:r>
          </w:p>
        </w:tc>
        <w:tc>
          <w:tcPr>
            <w:tcW w:w="2721" w:type="pct"/>
            <w:tcBorders>
              <w:top w:val="nil"/>
              <w:left w:val="nil"/>
              <w:bottom w:val="single" w:sz="4" w:space="0" w:color="auto"/>
              <w:right w:val="single" w:sz="8" w:space="0" w:color="auto"/>
            </w:tcBorders>
            <w:shd w:val="clear" w:color="auto" w:fill="auto"/>
            <w:noWrap/>
            <w:vAlign w:val="center"/>
          </w:tcPr>
          <w:p w:rsidR="00262436" w:rsidRPr="003505A6" w:rsidRDefault="00CA6F26" w:rsidP="00B80024">
            <w:pPr>
              <w:spacing w:line="240" w:lineRule="auto"/>
              <w:ind w:firstLine="0"/>
              <w:jc w:val="center"/>
              <w:rPr>
                <w:rFonts w:ascii="Garamond" w:hAnsi="Garamond" w:cs="Arial"/>
                <w:i/>
                <w:sz w:val="28"/>
                <w:szCs w:val="28"/>
              </w:rPr>
            </w:pPr>
            <w:r w:rsidRPr="008C6601">
              <w:rPr>
                <w:rFonts w:ascii="Garamond" w:hAnsi="Garamond" w:cs="Arial"/>
                <w:b/>
                <w:bCs/>
                <w:sz w:val="28"/>
                <w:szCs w:val="28"/>
              </w:rPr>
              <w:t>3</w:t>
            </w:r>
          </w:p>
        </w:tc>
      </w:tr>
      <w:tr w:rsidR="00262436" w:rsidRPr="003505A6" w:rsidTr="00262436">
        <w:trPr>
          <w:trHeight w:val="737"/>
          <w:jc w:val="center"/>
        </w:trPr>
        <w:tc>
          <w:tcPr>
            <w:tcW w:w="2279" w:type="pct"/>
            <w:tcBorders>
              <w:top w:val="nil"/>
              <w:left w:val="single" w:sz="8" w:space="0" w:color="auto"/>
              <w:bottom w:val="single" w:sz="4" w:space="0" w:color="auto"/>
              <w:right w:val="single" w:sz="8" w:space="0" w:color="auto"/>
            </w:tcBorders>
            <w:shd w:val="clear" w:color="auto" w:fill="FFFF99"/>
            <w:vAlign w:val="center"/>
          </w:tcPr>
          <w:p w:rsidR="00262436" w:rsidRPr="003505A6" w:rsidRDefault="00CA6F26" w:rsidP="00CA6F26">
            <w:pPr>
              <w:spacing w:line="240" w:lineRule="auto"/>
              <w:ind w:firstLine="0"/>
              <w:jc w:val="left"/>
              <w:rPr>
                <w:rFonts w:ascii="Garamond" w:hAnsi="Garamond" w:cs="Arial"/>
                <w:b/>
                <w:bCs/>
                <w:color w:val="0000FF"/>
                <w:sz w:val="24"/>
                <w:szCs w:val="24"/>
              </w:rPr>
            </w:pPr>
            <w:r>
              <w:rPr>
                <w:rFonts w:ascii="Garamond" w:hAnsi="Garamond" w:cs="Arial"/>
                <w:b/>
                <w:bCs/>
                <w:color w:val="0000FF"/>
                <w:sz w:val="24"/>
                <w:szCs w:val="24"/>
              </w:rPr>
              <w:t>a</w:t>
            </w:r>
            <w:r w:rsidR="00262436" w:rsidRPr="003505A6">
              <w:rPr>
                <w:rFonts w:ascii="Garamond" w:hAnsi="Garamond" w:cs="Arial"/>
                <w:b/>
                <w:bCs/>
                <w:color w:val="0000FF"/>
                <w:sz w:val="24"/>
                <w:szCs w:val="24"/>
              </w:rPr>
              <w:t xml:space="preserve">rt. 15, comma </w:t>
            </w:r>
            <w:r>
              <w:rPr>
                <w:rFonts w:ascii="Garamond" w:hAnsi="Garamond" w:cs="Arial"/>
                <w:b/>
                <w:bCs/>
                <w:color w:val="0000FF"/>
                <w:sz w:val="24"/>
                <w:szCs w:val="24"/>
              </w:rPr>
              <w:t>3</w:t>
            </w:r>
            <w:r w:rsidR="00262436" w:rsidRPr="003505A6">
              <w:rPr>
                <w:rFonts w:ascii="Garamond" w:hAnsi="Garamond" w:cs="Arial"/>
                <w:b/>
                <w:bCs/>
                <w:color w:val="0000FF"/>
                <w:sz w:val="24"/>
                <w:szCs w:val="24"/>
              </w:rPr>
              <w:t xml:space="preserve"> </w:t>
            </w:r>
            <w:r w:rsidR="00262436" w:rsidRPr="003505A6">
              <w:rPr>
                <w:rFonts w:ascii="Garamond" w:hAnsi="Garamond" w:cs="Arial"/>
                <w:b/>
                <w:bCs/>
                <w:color w:val="0000FF"/>
                <w:sz w:val="24"/>
                <w:szCs w:val="24"/>
              </w:rPr>
              <w:br/>
            </w:r>
            <w:r w:rsidR="00262436" w:rsidRPr="003505A6">
              <w:rPr>
                <w:rFonts w:ascii="Garamond" w:hAnsi="Garamond" w:cs="Arial"/>
                <w:bCs/>
                <w:color w:val="0000FF"/>
                <w:sz w:val="24"/>
                <w:szCs w:val="24"/>
              </w:rPr>
              <w:t>Limiti di contenuto</w:t>
            </w:r>
          </w:p>
        </w:tc>
        <w:tc>
          <w:tcPr>
            <w:tcW w:w="2721" w:type="pct"/>
            <w:tcBorders>
              <w:top w:val="nil"/>
              <w:left w:val="nil"/>
              <w:bottom w:val="single" w:sz="4" w:space="0" w:color="auto"/>
              <w:right w:val="single" w:sz="8" w:space="0" w:color="auto"/>
            </w:tcBorders>
            <w:shd w:val="clear" w:color="auto" w:fill="auto"/>
            <w:noWrap/>
            <w:vAlign w:val="center"/>
          </w:tcPr>
          <w:p w:rsidR="00262436" w:rsidRPr="003505A6" w:rsidRDefault="00CA6F26" w:rsidP="00B80024">
            <w:pPr>
              <w:spacing w:line="240" w:lineRule="auto"/>
              <w:ind w:firstLine="0"/>
              <w:jc w:val="center"/>
              <w:rPr>
                <w:rFonts w:ascii="Garamond" w:hAnsi="Garamond" w:cs="Arial"/>
                <w:i/>
                <w:sz w:val="28"/>
                <w:szCs w:val="28"/>
              </w:rPr>
            </w:pPr>
            <w:r>
              <w:rPr>
                <w:rFonts w:ascii="Garamond" w:hAnsi="Garamond" w:cs="Arial"/>
                <w:b/>
                <w:bCs/>
                <w:sz w:val="28"/>
                <w:szCs w:val="28"/>
              </w:rPr>
              <w:t>2</w:t>
            </w:r>
          </w:p>
        </w:tc>
      </w:tr>
      <w:tr w:rsidR="00262436" w:rsidRPr="003505A6" w:rsidTr="00262436">
        <w:trPr>
          <w:trHeight w:val="737"/>
          <w:jc w:val="center"/>
        </w:trPr>
        <w:tc>
          <w:tcPr>
            <w:tcW w:w="2279" w:type="pct"/>
            <w:tcBorders>
              <w:top w:val="nil"/>
              <w:left w:val="single" w:sz="8" w:space="0" w:color="auto"/>
              <w:bottom w:val="single" w:sz="4" w:space="0" w:color="auto"/>
              <w:right w:val="single" w:sz="8" w:space="0" w:color="auto"/>
            </w:tcBorders>
            <w:shd w:val="clear" w:color="auto" w:fill="FFFF99"/>
            <w:vAlign w:val="center"/>
          </w:tcPr>
          <w:p w:rsidR="00262436" w:rsidRPr="003505A6" w:rsidRDefault="00262436" w:rsidP="00AB5089">
            <w:pPr>
              <w:spacing w:line="240" w:lineRule="auto"/>
              <w:ind w:firstLine="0"/>
              <w:jc w:val="left"/>
              <w:rPr>
                <w:rFonts w:ascii="Garamond" w:hAnsi="Garamond" w:cs="Arial"/>
                <w:b/>
                <w:bCs/>
                <w:color w:val="0000FF"/>
                <w:sz w:val="24"/>
                <w:szCs w:val="24"/>
              </w:rPr>
            </w:pPr>
            <w:r w:rsidRPr="003505A6">
              <w:rPr>
                <w:rFonts w:ascii="Garamond" w:hAnsi="Garamond" w:cs="Arial"/>
                <w:b/>
                <w:bCs/>
                <w:color w:val="0000FF"/>
                <w:sz w:val="24"/>
                <w:szCs w:val="24"/>
              </w:rPr>
              <w:t>art. 15, co. 3</w:t>
            </w:r>
            <w:r w:rsidRPr="003505A6">
              <w:rPr>
                <w:rFonts w:ascii="Garamond" w:hAnsi="Garamond" w:cs="Arial"/>
                <w:b/>
                <w:bCs/>
                <w:color w:val="0000FF"/>
                <w:sz w:val="24"/>
                <w:szCs w:val="24"/>
              </w:rPr>
              <w:br/>
            </w:r>
            <w:r w:rsidRPr="003505A6">
              <w:rPr>
                <w:rFonts w:ascii="Garamond" w:hAnsi="Garamond" w:cs="Arial"/>
                <w:color w:val="0000FF"/>
                <w:sz w:val="24"/>
                <w:szCs w:val="24"/>
              </w:rPr>
              <w:t>Immediata applicazione</w:t>
            </w:r>
          </w:p>
        </w:tc>
        <w:tc>
          <w:tcPr>
            <w:tcW w:w="2721" w:type="pct"/>
            <w:tcBorders>
              <w:top w:val="nil"/>
              <w:left w:val="nil"/>
              <w:bottom w:val="single" w:sz="4" w:space="0" w:color="auto"/>
              <w:right w:val="single" w:sz="8" w:space="0" w:color="auto"/>
            </w:tcBorders>
            <w:shd w:val="clear" w:color="auto" w:fill="auto"/>
            <w:noWrap/>
            <w:vAlign w:val="center"/>
          </w:tcPr>
          <w:p w:rsidR="00262436" w:rsidRPr="003505A6" w:rsidRDefault="00262436" w:rsidP="00B80024">
            <w:pPr>
              <w:spacing w:line="240" w:lineRule="auto"/>
              <w:ind w:firstLine="0"/>
              <w:jc w:val="center"/>
              <w:rPr>
                <w:rFonts w:ascii="Garamond" w:hAnsi="Garamond" w:cs="Arial"/>
                <w:i/>
                <w:sz w:val="28"/>
                <w:szCs w:val="28"/>
              </w:rPr>
            </w:pPr>
            <w:r w:rsidRPr="003505A6">
              <w:rPr>
                <w:rFonts w:ascii="Garamond" w:hAnsi="Garamond" w:cs="Arial"/>
                <w:b/>
                <w:bCs/>
                <w:sz w:val="28"/>
                <w:szCs w:val="28"/>
              </w:rPr>
              <w:t>2</w:t>
            </w:r>
          </w:p>
        </w:tc>
      </w:tr>
      <w:tr w:rsidR="00262436" w:rsidRPr="003505A6" w:rsidTr="00262436">
        <w:trPr>
          <w:trHeight w:val="737"/>
          <w:jc w:val="center"/>
        </w:trPr>
        <w:tc>
          <w:tcPr>
            <w:tcW w:w="2279" w:type="pct"/>
            <w:tcBorders>
              <w:top w:val="nil"/>
              <w:left w:val="single" w:sz="8" w:space="0" w:color="auto"/>
              <w:bottom w:val="single" w:sz="4" w:space="0" w:color="auto"/>
              <w:right w:val="single" w:sz="8" w:space="0" w:color="auto"/>
            </w:tcBorders>
            <w:shd w:val="clear" w:color="auto" w:fill="FFFF99"/>
            <w:vAlign w:val="center"/>
          </w:tcPr>
          <w:p w:rsidR="00262436" w:rsidRPr="003505A6" w:rsidRDefault="00262436" w:rsidP="00AB5089">
            <w:pPr>
              <w:spacing w:line="240" w:lineRule="auto"/>
              <w:ind w:firstLine="0"/>
              <w:jc w:val="left"/>
              <w:rPr>
                <w:rFonts w:ascii="Garamond" w:hAnsi="Garamond" w:cs="Arial"/>
                <w:b/>
                <w:bCs/>
                <w:color w:val="0000FF"/>
                <w:sz w:val="24"/>
                <w:szCs w:val="24"/>
              </w:rPr>
            </w:pPr>
            <w:r w:rsidRPr="003505A6">
              <w:rPr>
                <w:rFonts w:ascii="Garamond" w:hAnsi="Garamond" w:cs="Arial"/>
                <w:b/>
                <w:bCs/>
                <w:color w:val="0000FF"/>
                <w:sz w:val="24"/>
                <w:szCs w:val="24"/>
                <w:lang w:val="en-GB"/>
              </w:rPr>
              <w:t>art. 17, co. 1</w:t>
            </w:r>
            <w:r w:rsidRPr="003505A6">
              <w:rPr>
                <w:rFonts w:ascii="Garamond" w:hAnsi="Garamond" w:cs="Arial"/>
                <w:b/>
                <w:bCs/>
                <w:color w:val="0000FF"/>
                <w:sz w:val="24"/>
                <w:szCs w:val="24"/>
                <w:lang w:val="en-GB"/>
              </w:rPr>
              <w:br/>
            </w:r>
            <w:r w:rsidRPr="003505A6">
              <w:rPr>
                <w:rFonts w:ascii="Garamond" w:hAnsi="Garamond" w:cs="Arial"/>
                <w:color w:val="0000FF"/>
                <w:sz w:val="24"/>
                <w:szCs w:val="24"/>
                <w:lang w:val="en-GB"/>
              </w:rPr>
              <w:t xml:space="preserve">Reg. </w:t>
            </w:r>
            <w:proofErr w:type="spellStart"/>
            <w:r w:rsidRPr="003505A6">
              <w:rPr>
                <w:rFonts w:ascii="Garamond" w:hAnsi="Garamond" w:cs="Arial"/>
                <w:color w:val="0000FF"/>
                <w:sz w:val="24"/>
                <w:szCs w:val="24"/>
                <w:lang w:val="en-GB"/>
              </w:rPr>
              <w:t>esec</w:t>
            </w:r>
            <w:proofErr w:type="spellEnd"/>
            <w:r w:rsidRPr="003505A6">
              <w:rPr>
                <w:rFonts w:ascii="Garamond" w:hAnsi="Garamond" w:cs="Arial"/>
                <w:color w:val="0000FF"/>
                <w:sz w:val="24"/>
                <w:szCs w:val="24"/>
                <w:lang w:val="en-GB"/>
              </w:rPr>
              <w:t xml:space="preserve">., att. </w:t>
            </w:r>
            <w:proofErr w:type="spellStart"/>
            <w:r w:rsidRPr="003505A6">
              <w:rPr>
                <w:rFonts w:ascii="Garamond" w:hAnsi="Garamond" w:cs="Arial"/>
                <w:color w:val="0000FF"/>
                <w:sz w:val="24"/>
                <w:szCs w:val="24"/>
                <w:lang w:val="en-GB"/>
              </w:rPr>
              <w:t>integ</w:t>
            </w:r>
            <w:proofErr w:type="spellEnd"/>
            <w:r w:rsidRPr="003505A6">
              <w:rPr>
                <w:rFonts w:ascii="Garamond" w:hAnsi="Garamond" w:cs="Arial"/>
                <w:color w:val="0000FF"/>
                <w:sz w:val="24"/>
                <w:szCs w:val="24"/>
                <w:lang w:val="en-GB"/>
              </w:rPr>
              <w:t xml:space="preserve">., </w:t>
            </w:r>
            <w:proofErr w:type="spellStart"/>
            <w:r w:rsidRPr="003505A6">
              <w:rPr>
                <w:rFonts w:ascii="Garamond" w:hAnsi="Garamond" w:cs="Arial"/>
                <w:color w:val="0000FF"/>
                <w:sz w:val="24"/>
                <w:szCs w:val="24"/>
                <w:lang w:val="en-GB"/>
              </w:rPr>
              <w:t>indip</w:t>
            </w:r>
            <w:proofErr w:type="spellEnd"/>
            <w:r w:rsidRPr="003505A6">
              <w:rPr>
                <w:rFonts w:ascii="Garamond" w:hAnsi="Garamond" w:cs="Arial"/>
                <w:color w:val="0000FF"/>
                <w:sz w:val="24"/>
                <w:szCs w:val="24"/>
                <w:lang w:val="en-GB"/>
              </w:rPr>
              <w:t xml:space="preserve">. </w:t>
            </w:r>
            <w:r w:rsidRPr="003505A6">
              <w:rPr>
                <w:rFonts w:ascii="Garamond" w:hAnsi="Garamond" w:cs="Arial"/>
                <w:color w:val="0000FF"/>
                <w:sz w:val="24"/>
                <w:szCs w:val="24"/>
              </w:rPr>
              <w:t>(DPR)</w:t>
            </w:r>
          </w:p>
        </w:tc>
        <w:tc>
          <w:tcPr>
            <w:tcW w:w="2721" w:type="pct"/>
            <w:tcBorders>
              <w:top w:val="nil"/>
              <w:left w:val="nil"/>
              <w:bottom w:val="single" w:sz="4" w:space="0" w:color="auto"/>
              <w:right w:val="single" w:sz="8" w:space="0" w:color="auto"/>
            </w:tcBorders>
            <w:shd w:val="clear" w:color="auto" w:fill="auto"/>
            <w:noWrap/>
            <w:vAlign w:val="center"/>
          </w:tcPr>
          <w:p w:rsidR="00262436" w:rsidRPr="003505A6" w:rsidRDefault="00262436" w:rsidP="00B80024">
            <w:pPr>
              <w:spacing w:line="240" w:lineRule="auto"/>
              <w:ind w:firstLine="0"/>
              <w:jc w:val="center"/>
              <w:rPr>
                <w:rFonts w:ascii="Garamond" w:hAnsi="Garamond" w:cs="Arial"/>
                <w:i/>
                <w:sz w:val="28"/>
                <w:szCs w:val="28"/>
              </w:rPr>
            </w:pPr>
            <w:r w:rsidRPr="003505A6">
              <w:rPr>
                <w:rFonts w:ascii="Garamond" w:hAnsi="Garamond" w:cs="Arial"/>
                <w:b/>
                <w:bCs/>
                <w:sz w:val="28"/>
                <w:szCs w:val="28"/>
              </w:rPr>
              <w:t>1</w:t>
            </w:r>
          </w:p>
        </w:tc>
      </w:tr>
      <w:tr w:rsidR="00262436" w:rsidRPr="003505A6" w:rsidTr="00262436">
        <w:trPr>
          <w:trHeight w:val="737"/>
          <w:jc w:val="center"/>
        </w:trPr>
        <w:tc>
          <w:tcPr>
            <w:tcW w:w="2279" w:type="pct"/>
            <w:tcBorders>
              <w:top w:val="nil"/>
              <w:left w:val="single" w:sz="8" w:space="0" w:color="auto"/>
              <w:bottom w:val="single" w:sz="4" w:space="0" w:color="auto"/>
              <w:right w:val="single" w:sz="8" w:space="0" w:color="auto"/>
            </w:tcBorders>
            <w:shd w:val="clear" w:color="auto" w:fill="FFFF99"/>
            <w:vAlign w:val="center"/>
          </w:tcPr>
          <w:p w:rsidR="00262436" w:rsidRPr="003505A6" w:rsidRDefault="00262436" w:rsidP="00AB5089">
            <w:pPr>
              <w:spacing w:line="240" w:lineRule="auto"/>
              <w:ind w:firstLine="0"/>
              <w:jc w:val="left"/>
              <w:rPr>
                <w:rFonts w:ascii="Garamond" w:hAnsi="Garamond" w:cs="Arial"/>
                <w:b/>
                <w:bCs/>
                <w:color w:val="0000FF"/>
                <w:sz w:val="24"/>
                <w:szCs w:val="24"/>
                <w:lang w:val="en-GB"/>
              </w:rPr>
            </w:pPr>
            <w:r w:rsidRPr="003505A6">
              <w:rPr>
                <w:rFonts w:ascii="Garamond" w:hAnsi="Garamond" w:cs="Arial"/>
                <w:b/>
                <w:bCs/>
                <w:color w:val="0000FF"/>
                <w:sz w:val="24"/>
                <w:szCs w:val="24"/>
                <w:lang w:val="en-GB"/>
              </w:rPr>
              <w:t>art. 17, co. 2</w:t>
            </w:r>
            <w:r w:rsidRPr="003505A6">
              <w:rPr>
                <w:rFonts w:ascii="Garamond" w:hAnsi="Garamond" w:cs="Arial"/>
                <w:b/>
                <w:bCs/>
                <w:color w:val="0000FF"/>
                <w:sz w:val="24"/>
                <w:szCs w:val="24"/>
                <w:lang w:val="en-GB"/>
              </w:rPr>
              <w:br/>
            </w:r>
            <w:r w:rsidRPr="003505A6">
              <w:rPr>
                <w:rFonts w:ascii="Garamond" w:hAnsi="Garamond" w:cs="Arial"/>
                <w:color w:val="0000FF"/>
                <w:sz w:val="24"/>
                <w:szCs w:val="24"/>
                <w:lang w:val="en-GB"/>
              </w:rPr>
              <w:t xml:space="preserve">Reg. </w:t>
            </w:r>
            <w:proofErr w:type="spellStart"/>
            <w:r w:rsidRPr="003505A6">
              <w:rPr>
                <w:rFonts w:ascii="Garamond" w:hAnsi="Garamond" w:cs="Arial"/>
                <w:color w:val="0000FF"/>
                <w:sz w:val="24"/>
                <w:szCs w:val="24"/>
                <w:lang w:val="en-GB"/>
              </w:rPr>
              <w:t>delegif</w:t>
            </w:r>
            <w:proofErr w:type="spellEnd"/>
            <w:r w:rsidRPr="003505A6">
              <w:rPr>
                <w:rFonts w:ascii="Garamond" w:hAnsi="Garamond" w:cs="Arial"/>
                <w:color w:val="0000FF"/>
                <w:sz w:val="24"/>
                <w:szCs w:val="24"/>
                <w:lang w:val="en-GB"/>
              </w:rPr>
              <w:t>. (DPR)</w:t>
            </w:r>
          </w:p>
        </w:tc>
        <w:tc>
          <w:tcPr>
            <w:tcW w:w="2721" w:type="pct"/>
            <w:tcBorders>
              <w:top w:val="nil"/>
              <w:left w:val="nil"/>
              <w:bottom w:val="single" w:sz="4" w:space="0" w:color="auto"/>
              <w:right w:val="single" w:sz="8" w:space="0" w:color="auto"/>
            </w:tcBorders>
            <w:shd w:val="clear" w:color="auto" w:fill="auto"/>
            <w:noWrap/>
            <w:vAlign w:val="center"/>
          </w:tcPr>
          <w:p w:rsidR="00262436" w:rsidRPr="003505A6" w:rsidRDefault="00CA6F26" w:rsidP="00B80024">
            <w:pPr>
              <w:spacing w:line="240" w:lineRule="auto"/>
              <w:ind w:firstLine="0"/>
              <w:jc w:val="center"/>
              <w:rPr>
                <w:rFonts w:ascii="Garamond" w:hAnsi="Garamond" w:cs="Arial"/>
                <w:i/>
                <w:sz w:val="28"/>
                <w:szCs w:val="28"/>
              </w:rPr>
            </w:pPr>
            <w:r>
              <w:rPr>
                <w:rFonts w:ascii="Garamond" w:hAnsi="Garamond" w:cs="Arial"/>
                <w:b/>
                <w:bCs/>
                <w:sz w:val="28"/>
                <w:szCs w:val="28"/>
              </w:rPr>
              <w:t>3</w:t>
            </w:r>
          </w:p>
        </w:tc>
      </w:tr>
      <w:tr w:rsidR="00262436" w:rsidRPr="003505A6" w:rsidTr="00262436">
        <w:trPr>
          <w:trHeight w:val="737"/>
          <w:jc w:val="center"/>
        </w:trPr>
        <w:tc>
          <w:tcPr>
            <w:tcW w:w="2279" w:type="pct"/>
            <w:tcBorders>
              <w:top w:val="nil"/>
              <w:left w:val="single" w:sz="8" w:space="0" w:color="auto"/>
              <w:bottom w:val="single" w:sz="4" w:space="0" w:color="auto"/>
              <w:right w:val="single" w:sz="8" w:space="0" w:color="auto"/>
            </w:tcBorders>
            <w:shd w:val="clear" w:color="auto" w:fill="FFFF99"/>
            <w:vAlign w:val="center"/>
          </w:tcPr>
          <w:p w:rsidR="00262436" w:rsidRPr="003505A6" w:rsidRDefault="00262436" w:rsidP="00AB5089">
            <w:pPr>
              <w:spacing w:line="240" w:lineRule="auto"/>
              <w:ind w:firstLine="0"/>
              <w:jc w:val="left"/>
              <w:rPr>
                <w:rFonts w:ascii="Garamond" w:hAnsi="Garamond" w:cs="Arial"/>
                <w:b/>
                <w:bCs/>
                <w:color w:val="0000FF"/>
                <w:sz w:val="24"/>
                <w:szCs w:val="24"/>
                <w:lang w:val="en-GB"/>
              </w:rPr>
            </w:pPr>
            <w:r w:rsidRPr="003505A6">
              <w:rPr>
                <w:rFonts w:ascii="Garamond" w:hAnsi="Garamond" w:cs="Arial"/>
                <w:b/>
                <w:bCs/>
                <w:color w:val="0000FF"/>
                <w:sz w:val="24"/>
                <w:szCs w:val="24"/>
                <w:lang w:val="en-GB"/>
              </w:rPr>
              <w:t>art. 17, co. 3</w:t>
            </w:r>
            <w:r w:rsidRPr="003505A6">
              <w:rPr>
                <w:rFonts w:ascii="Garamond" w:hAnsi="Garamond" w:cs="Arial"/>
                <w:b/>
                <w:bCs/>
                <w:color w:val="0000FF"/>
                <w:sz w:val="24"/>
                <w:szCs w:val="24"/>
                <w:lang w:val="en-GB"/>
              </w:rPr>
              <w:br/>
            </w:r>
            <w:r w:rsidRPr="003505A6">
              <w:rPr>
                <w:rFonts w:ascii="Garamond" w:hAnsi="Garamond" w:cs="Arial"/>
                <w:color w:val="0000FF"/>
                <w:sz w:val="24"/>
                <w:szCs w:val="24"/>
                <w:lang w:val="en-GB"/>
              </w:rPr>
              <w:t xml:space="preserve">Reg. </w:t>
            </w:r>
            <w:proofErr w:type="spellStart"/>
            <w:r w:rsidRPr="003505A6">
              <w:rPr>
                <w:rFonts w:ascii="Garamond" w:hAnsi="Garamond" w:cs="Arial"/>
                <w:color w:val="0000FF"/>
                <w:sz w:val="24"/>
                <w:szCs w:val="24"/>
                <w:lang w:val="en-GB"/>
              </w:rPr>
              <w:t>settoriali</w:t>
            </w:r>
            <w:proofErr w:type="spellEnd"/>
            <w:r w:rsidRPr="003505A6">
              <w:rPr>
                <w:rFonts w:ascii="Garamond" w:hAnsi="Garamond" w:cs="Arial"/>
                <w:color w:val="0000FF"/>
                <w:sz w:val="24"/>
                <w:szCs w:val="24"/>
                <w:lang w:val="en-GB"/>
              </w:rPr>
              <w:t xml:space="preserve"> (DM)</w:t>
            </w:r>
          </w:p>
        </w:tc>
        <w:tc>
          <w:tcPr>
            <w:tcW w:w="2721" w:type="pct"/>
            <w:tcBorders>
              <w:top w:val="nil"/>
              <w:left w:val="nil"/>
              <w:bottom w:val="single" w:sz="4" w:space="0" w:color="auto"/>
              <w:right w:val="single" w:sz="8" w:space="0" w:color="auto"/>
            </w:tcBorders>
            <w:shd w:val="clear" w:color="auto" w:fill="auto"/>
            <w:noWrap/>
            <w:vAlign w:val="center"/>
          </w:tcPr>
          <w:p w:rsidR="00262436" w:rsidRPr="003505A6" w:rsidRDefault="00CA6F26" w:rsidP="00B80024">
            <w:pPr>
              <w:spacing w:line="240" w:lineRule="auto"/>
              <w:ind w:firstLine="0"/>
              <w:jc w:val="center"/>
              <w:rPr>
                <w:rFonts w:ascii="Garamond" w:hAnsi="Garamond" w:cs="Arial"/>
                <w:i/>
                <w:sz w:val="28"/>
                <w:szCs w:val="28"/>
              </w:rPr>
            </w:pPr>
            <w:r>
              <w:rPr>
                <w:rFonts w:ascii="Garamond" w:hAnsi="Garamond" w:cs="Arial"/>
                <w:b/>
                <w:bCs/>
                <w:sz w:val="28"/>
                <w:szCs w:val="28"/>
              </w:rPr>
              <w:t>3</w:t>
            </w:r>
          </w:p>
        </w:tc>
      </w:tr>
      <w:tr w:rsidR="00262436" w:rsidRPr="003505A6" w:rsidTr="00262436">
        <w:trPr>
          <w:trHeight w:val="737"/>
          <w:jc w:val="center"/>
        </w:trPr>
        <w:tc>
          <w:tcPr>
            <w:tcW w:w="2279" w:type="pct"/>
            <w:tcBorders>
              <w:top w:val="nil"/>
              <w:left w:val="single" w:sz="8" w:space="0" w:color="auto"/>
              <w:bottom w:val="single" w:sz="8" w:space="0" w:color="auto"/>
              <w:right w:val="single" w:sz="8" w:space="0" w:color="auto"/>
            </w:tcBorders>
            <w:shd w:val="clear" w:color="auto" w:fill="FFFF99"/>
            <w:vAlign w:val="center"/>
          </w:tcPr>
          <w:p w:rsidR="00262436" w:rsidRPr="003505A6" w:rsidRDefault="00262436" w:rsidP="00AB5089">
            <w:pPr>
              <w:spacing w:line="240" w:lineRule="auto"/>
              <w:ind w:firstLine="0"/>
              <w:jc w:val="left"/>
              <w:rPr>
                <w:rFonts w:ascii="Garamond" w:hAnsi="Garamond" w:cs="Arial"/>
                <w:b/>
                <w:bCs/>
                <w:color w:val="0000FF"/>
                <w:sz w:val="24"/>
                <w:szCs w:val="24"/>
              </w:rPr>
            </w:pPr>
            <w:r w:rsidRPr="003505A6">
              <w:rPr>
                <w:rFonts w:ascii="Garamond" w:hAnsi="Garamond" w:cs="Arial"/>
                <w:b/>
                <w:bCs/>
                <w:color w:val="0000FF"/>
                <w:sz w:val="24"/>
                <w:szCs w:val="24"/>
              </w:rPr>
              <w:t>art. 17 in generale</w:t>
            </w:r>
            <w:r w:rsidRPr="003505A6">
              <w:rPr>
                <w:rFonts w:ascii="Garamond" w:hAnsi="Garamond" w:cs="Arial"/>
                <w:b/>
                <w:bCs/>
                <w:color w:val="0000FF"/>
                <w:sz w:val="24"/>
                <w:szCs w:val="24"/>
              </w:rPr>
              <w:br/>
            </w:r>
            <w:r w:rsidRPr="003505A6">
              <w:rPr>
                <w:rFonts w:ascii="Garamond" w:hAnsi="Garamond" w:cs="Arial"/>
                <w:color w:val="0000FF"/>
                <w:sz w:val="24"/>
                <w:szCs w:val="24"/>
              </w:rPr>
              <w:t>Regolamenti</w:t>
            </w:r>
          </w:p>
        </w:tc>
        <w:tc>
          <w:tcPr>
            <w:tcW w:w="2721" w:type="pct"/>
            <w:tcBorders>
              <w:top w:val="nil"/>
              <w:left w:val="nil"/>
              <w:bottom w:val="single" w:sz="8" w:space="0" w:color="auto"/>
              <w:right w:val="single" w:sz="8" w:space="0" w:color="auto"/>
            </w:tcBorders>
            <w:shd w:val="clear" w:color="auto" w:fill="auto"/>
            <w:noWrap/>
            <w:vAlign w:val="center"/>
          </w:tcPr>
          <w:p w:rsidR="00262436" w:rsidRPr="003505A6" w:rsidRDefault="00262436" w:rsidP="00B80024">
            <w:pPr>
              <w:spacing w:line="240" w:lineRule="auto"/>
              <w:ind w:firstLine="0"/>
              <w:jc w:val="center"/>
              <w:rPr>
                <w:rFonts w:ascii="Garamond" w:hAnsi="Garamond" w:cs="Arial"/>
                <w:i/>
                <w:sz w:val="28"/>
                <w:szCs w:val="28"/>
              </w:rPr>
            </w:pPr>
            <w:r w:rsidRPr="003505A6">
              <w:rPr>
                <w:rFonts w:ascii="Garamond" w:hAnsi="Garamond" w:cs="Arial"/>
                <w:b/>
                <w:bCs/>
                <w:sz w:val="28"/>
                <w:szCs w:val="28"/>
              </w:rPr>
              <w:t>2</w:t>
            </w:r>
          </w:p>
        </w:tc>
      </w:tr>
    </w:tbl>
    <w:p w:rsidR="004713E0" w:rsidRPr="003505A6" w:rsidRDefault="004713E0" w:rsidP="004713E0">
      <w:pPr>
        <w:keepNext/>
        <w:spacing w:line="240" w:lineRule="auto"/>
        <w:ind w:firstLine="0"/>
        <w:rPr>
          <w:rFonts w:ascii="Garamond" w:hAnsi="Garamond"/>
          <w:bCs/>
          <w:color w:val="0000FF"/>
          <w:sz w:val="32"/>
          <w:szCs w:val="32"/>
        </w:rPr>
      </w:pPr>
    </w:p>
    <w:p w:rsidR="004713E0" w:rsidRPr="003505A6" w:rsidRDefault="004713E0" w:rsidP="00E960B0">
      <w:pPr>
        <w:keepNext/>
        <w:spacing w:line="240" w:lineRule="auto"/>
        <w:rPr>
          <w:rFonts w:ascii="Garamond" w:hAnsi="Garamond"/>
          <w:bCs/>
          <w:sz w:val="32"/>
          <w:szCs w:val="32"/>
        </w:rPr>
      </w:pPr>
      <w:r w:rsidRPr="00AC3F09">
        <w:rPr>
          <w:rFonts w:ascii="Garamond" w:hAnsi="Garamond"/>
          <w:bCs/>
          <w:sz w:val="32"/>
          <w:szCs w:val="32"/>
        </w:rPr>
        <w:t xml:space="preserve">La </w:t>
      </w:r>
      <w:hyperlink r:id="rId53" w:anchor="TABELLA05" w:history="1">
        <w:r w:rsidRPr="00AC3F09">
          <w:rPr>
            <w:rStyle w:val="Collegamentoipertestuale"/>
            <w:rFonts w:ascii="Garamond" w:hAnsi="Garamond"/>
            <w:bCs/>
            <w:sz w:val="32"/>
            <w:szCs w:val="32"/>
          </w:rPr>
          <w:t xml:space="preserve">tabella </w:t>
        </w:r>
        <w:r w:rsidR="006D669D" w:rsidRPr="00AC3F09">
          <w:rPr>
            <w:rStyle w:val="Collegamentoipertestuale"/>
            <w:rFonts w:ascii="Garamond" w:hAnsi="Garamond"/>
            <w:bCs/>
            <w:sz w:val="32"/>
            <w:szCs w:val="32"/>
          </w:rPr>
          <w:t>5</w:t>
        </w:r>
      </w:hyperlink>
      <w:r w:rsidRPr="00AC3F09">
        <w:rPr>
          <w:rFonts w:ascii="Garamond" w:hAnsi="Garamond"/>
          <w:bCs/>
          <w:sz w:val="32"/>
          <w:szCs w:val="32"/>
        </w:rPr>
        <w:t xml:space="preserve"> dà conto nel dettaglio dei richiami alla legge n.</w:t>
      </w:r>
      <w:r w:rsidRPr="003505A6">
        <w:rPr>
          <w:rFonts w:ascii="Garamond" w:hAnsi="Garamond"/>
          <w:bCs/>
          <w:sz w:val="32"/>
          <w:szCs w:val="32"/>
        </w:rPr>
        <w:t xml:space="preserve"> 400/1988 contenuti nei singoli pareri espressi dal Comitato. Rimandando </w:t>
      </w:r>
      <w:r w:rsidR="00C06549" w:rsidRPr="003505A6">
        <w:rPr>
          <w:rFonts w:ascii="Garamond" w:hAnsi="Garamond"/>
          <w:bCs/>
          <w:sz w:val="32"/>
          <w:szCs w:val="32"/>
        </w:rPr>
        <w:t>per l’analisi di dettaglio,</w:t>
      </w:r>
      <w:r w:rsidR="00342791" w:rsidRPr="003505A6">
        <w:rPr>
          <w:rFonts w:ascii="Garamond" w:hAnsi="Garamond"/>
          <w:bCs/>
          <w:sz w:val="32"/>
          <w:szCs w:val="32"/>
        </w:rPr>
        <w:t xml:space="preserve"> </w:t>
      </w:r>
      <w:r w:rsidRPr="003505A6">
        <w:rPr>
          <w:rFonts w:ascii="Garamond" w:hAnsi="Garamond"/>
          <w:bCs/>
          <w:sz w:val="32"/>
          <w:szCs w:val="32"/>
        </w:rPr>
        <w:t xml:space="preserve">alle schede </w:t>
      </w:r>
      <w:r w:rsidR="00C06549" w:rsidRPr="003505A6">
        <w:rPr>
          <w:rFonts w:ascii="Garamond" w:hAnsi="Garamond"/>
          <w:bCs/>
          <w:sz w:val="32"/>
          <w:szCs w:val="32"/>
        </w:rPr>
        <w:t xml:space="preserve">che saranno allegate al presente rapporto, in formato elettronico, </w:t>
      </w:r>
      <w:r w:rsidRPr="003505A6">
        <w:rPr>
          <w:rFonts w:ascii="Garamond" w:hAnsi="Garamond"/>
          <w:bCs/>
          <w:sz w:val="32"/>
          <w:szCs w:val="32"/>
        </w:rPr>
        <w:t>mi limito in questa sede ad una rapidissima ricognizione:</w:t>
      </w:r>
    </w:p>
    <w:p w:rsidR="004713E0" w:rsidRPr="003505A6" w:rsidRDefault="004713E0" w:rsidP="004713E0">
      <w:pPr>
        <w:keepNext/>
        <w:spacing w:line="240" w:lineRule="auto"/>
        <w:ind w:firstLine="142"/>
        <w:rPr>
          <w:rFonts w:ascii="Garamond" w:hAnsi="Garamond"/>
          <w:bCs/>
          <w:sz w:val="32"/>
          <w:szCs w:val="32"/>
        </w:rPr>
      </w:pPr>
    </w:p>
    <w:p w:rsidR="004713E0" w:rsidRPr="003505A6" w:rsidRDefault="004713E0" w:rsidP="004713E0">
      <w:pPr>
        <w:rPr>
          <w:rFonts w:ascii="Garamond" w:hAnsi="Garamond" w:cs="Arial"/>
          <w:sz w:val="32"/>
          <w:szCs w:val="32"/>
        </w:rPr>
      </w:pPr>
      <w:r w:rsidRPr="003505A6">
        <w:rPr>
          <w:rFonts w:ascii="Garamond" w:hAnsi="Garamond" w:cs="Arial"/>
          <w:sz w:val="32"/>
          <w:szCs w:val="32"/>
        </w:rPr>
        <w:t xml:space="preserve">♦ </w:t>
      </w:r>
      <w:r w:rsidRPr="00E34F34">
        <w:rPr>
          <w:rFonts w:ascii="Garamond" w:hAnsi="Garamond" w:cs="Arial"/>
          <w:sz w:val="32"/>
          <w:szCs w:val="32"/>
          <w:u w:val="single"/>
        </w:rPr>
        <w:t>l’articolo 13-</w:t>
      </w:r>
      <w:r w:rsidRPr="00E34F34">
        <w:rPr>
          <w:rFonts w:ascii="Garamond" w:hAnsi="Garamond" w:cs="Arial"/>
          <w:i/>
          <w:sz w:val="32"/>
          <w:szCs w:val="32"/>
          <w:u w:val="single"/>
        </w:rPr>
        <w:t>bis</w:t>
      </w:r>
      <w:r w:rsidRPr="003505A6">
        <w:rPr>
          <w:rFonts w:ascii="Garamond" w:hAnsi="Garamond" w:cs="Arial"/>
          <w:sz w:val="32"/>
          <w:szCs w:val="32"/>
        </w:rPr>
        <w:t>, sulla chiarezza dei testi normativi,</w:t>
      </w:r>
      <w:r w:rsidR="00F9616B" w:rsidRPr="003505A6">
        <w:rPr>
          <w:rFonts w:ascii="Garamond" w:hAnsi="Garamond" w:cs="Arial"/>
          <w:sz w:val="32"/>
          <w:szCs w:val="32"/>
        </w:rPr>
        <w:t xml:space="preserve"> </w:t>
      </w:r>
      <w:r w:rsidRPr="003505A6">
        <w:rPr>
          <w:rFonts w:ascii="Garamond" w:hAnsi="Garamond" w:cs="Arial"/>
          <w:sz w:val="32"/>
          <w:szCs w:val="32"/>
        </w:rPr>
        <w:t xml:space="preserve">è stato </w:t>
      </w:r>
      <w:r w:rsidR="0057307A" w:rsidRPr="003505A6">
        <w:rPr>
          <w:rFonts w:ascii="Garamond" w:hAnsi="Garamond" w:cs="Arial"/>
          <w:sz w:val="32"/>
          <w:szCs w:val="32"/>
        </w:rPr>
        <w:t>richiam</w:t>
      </w:r>
      <w:r w:rsidRPr="00CB1D5A">
        <w:rPr>
          <w:rFonts w:ascii="Garamond" w:hAnsi="Garamond" w:cs="Arial"/>
          <w:sz w:val="32"/>
          <w:szCs w:val="32"/>
        </w:rPr>
        <w:t>ato dal Comitat</w:t>
      </w:r>
      <w:r w:rsidR="005000E1" w:rsidRPr="00CB1D5A">
        <w:rPr>
          <w:rFonts w:ascii="Garamond" w:hAnsi="Garamond" w:cs="Arial"/>
          <w:sz w:val="32"/>
          <w:szCs w:val="32"/>
        </w:rPr>
        <w:t>o nelle premesse</w:t>
      </w:r>
      <w:r w:rsidR="00CB1D5A" w:rsidRPr="00CB1D5A">
        <w:rPr>
          <w:rFonts w:ascii="Garamond" w:hAnsi="Garamond" w:cs="Arial"/>
          <w:sz w:val="32"/>
          <w:szCs w:val="32"/>
        </w:rPr>
        <w:t xml:space="preserve"> e in una racc</w:t>
      </w:r>
      <w:r w:rsidR="00BD75AA">
        <w:rPr>
          <w:rFonts w:ascii="Garamond" w:hAnsi="Garamond" w:cs="Arial"/>
          <w:sz w:val="32"/>
          <w:szCs w:val="32"/>
        </w:rPr>
        <w:t>o</w:t>
      </w:r>
      <w:r w:rsidR="00CB1D5A" w:rsidRPr="00CB1D5A">
        <w:rPr>
          <w:rFonts w:ascii="Garamond" w:hAnsi="Garamond" w:cs="Arial"/>
          <w:sz w:val="32"/>
          <w:szCs w:val="32"/>
        </w:rPr>
        <w:t xml:space="preserve">mandazione dei </w:t>
      </w:r>
      <w:r w:rsidR="00201E98" w:rsidRPr="00CB1D5A">
        <w:rPr>
          <w:rFonts w:ascii="Garamond" w:hAnsi="Garamond" w:cs="Arial"/>
          <w:sz w:val="32"/>
          <w:szCs w:val="32"/>
        </w:rPr>
        <w:t>parer</w:t>
      </w:r>
      <w:r w:rsidR="00CB1D5A" w:rsidRPr="00CB1D5A">
        <w:rPr>
          <w:rFonts w:ascii="Garamond" w:hAnsi="Garamond" w:cs="Arial"/>
          <w:sz w:val="32"/>
          <w:szCs w:val="32"/>
        </w:rPr>
        <w:t>i</w:t>
      </w:r>
      <w:r w:rsidR="00201E98" w:rsidRPr="00CB1D5A">
        <w:rPr>
          <w:rFonts w:ascii="Garamond" w:hAnsi="Garamond" w:cs="Arial"/>
          <w:sz w:val="32"/>
          <w:szCs w:val="32"/>
        </w:rPr>
        <w:t xml:space="preserve"> su</w:t>
      </w:r>
      <w:r w:rsidR="00CB1D5A" w:rsidRPr="00CB1D5A">
        <w:rPr>
          <w:rFonts w:ascii="Garamond" w:hAnsi="Garamond" w:cs="Arial"/>
          <w:sz w:val="32"/>
          <w:szCs w:val="32"/>
        </w:rPr>
        <w:t>i</w:t>
      </w:r>
      <w:r w:rsidR="00201E98" w:rsidRPr="00CB1D5A">
        <w:rPr>
          <w:rFonts w:ascii="Garamond" w:hAnsi="Garamond" w:cs="Arial"/>
          <w:sz w:val="32"/>
          <w:szCs w:val="32"/>
        </w:rPr>
        <w:t xml:space="preserve"> decret</w:t>
      </w:r>
      <w:r w:rsidR="00CB1D5A" w:rsidRPr="00CB1D5A">
        <w:rPr>
          <w:rFonts w:ascii="Garamond" w:hAnsi="Garamond" w:cs="Arial"/>
          <w:sz w:val="32"/>
          <w:szCs w:val="32"/>
        </w:rPr>
        <w:t>i</w:t>
      </w:r>
      <w:r w:rsidR="00201E98" w:rsidRPr="00CB1D5A">
        <w:rPr>
          <w:rFonts w:ascii="Garamond" w:hAnsi="Garamond" w:cs="Arial"/>
          <w:sz w:val="32"/>
          <w:szCs w:val="32"/>
        </w:rPr>
        <w:t xml:space="preserve">-legge </w:t>
      </w:r>
      <w:r w:rsidR="00CB1D5A" w:rsidRPr="00CB1D5A">
        <w:rPr>
          <w:rFonts w:ascii="Garamond" w:hAnsi="Garamond" w:cs="Arial"/>
          <w:sz w:val="32"/>
          <w:szCs w:val="32"/>
        </w:rPr>
        <w:t xml:space="preserve">n. 174/2015 e </w:t>
      </w:r>
      <w:r w:rsidR="00201E98" w:rsidRPr="00CB1D5A">
        <w:rPr>
          <w:rFonts w:ascii="Garamond" w:hAnsi="Garamond" w:cs="Arial"/>
          <w:sz w:val="32"/>
          <w:szCs w:val="32"/>
        </w:rPr>
        <w:t xml:space="preserve">n. </w:t>
      </w:r>
      <w:r w:rsidR="00CB1D5A" w:rsidRPr="00CB1D5A">
        <w:rPr>
          <w:rFonts w:ascii="Garamond" w:hAnsi="Garamond" w:cs="Arial"/>
          <w:sz w:val="32"/>
          <w:szCs w:val="32"/>
        </w:rPr>
        <w:lastRenderedPageBreak/>
        <w:t>67</w:t>
      </w:r>
      <w:r w:rsidR="008E2A30" w:rsidRPr="00CB1D5A">
        <w:rPr>
          <w:rFonts w:ascii="Garamond" w:hAnsi="Garamond" w:cs="Arial"/>
          <w:sz w:val="32"/>
          <w:szCs w:val="32"/>
        </w:rPr>
        <w:t>/201</w:t>
      </w:r>
      <w:r w:rsidR="00CB1D5A" w:rsidRPr="00CB1D5A">
        <w:rPr>
          <w:rFonts w:ascii="Garamond" w:hAnsi="Garamond" w:cs="Arial"/>
          <w:sz w:val="32"/>
          <w:szCs w:val="32"/>
        </w:rPr>
        <w:t>6</w:t>
      </w:r>
      <w:r w:rsidR="008E2A30" w:rsidRPr="00CB1D5A">
        <w:rPr>
          <w:rFonts w:ascii="Garamond" w:hAnsi="Garamond" w:cs="Arial"/>
          <w:sz w:val="32"/>
          <w:szCs w:val="32"/>
        </w:rPr>
        <w:t xml:space="preserve"> (</w:t>
      </w:r>
      <w:r w:rsidR="00CB1D5A" w:rsidRPr="00CB1D5A">
        <w:rPr>
          <w:rFonts w:ascii="Garamond" w:hAnsi="Garamond" w:cs="Arial"/>
          <w:sz w:val="32"/>
          <w:szCs w:val="32"/>
        </w:rPr>
        <w:t>partecipazione italiana al</w:t>
      </w:r>
      <w:r w:rsidR="00BD75AA">
        <w:rPr>
          <w:rFonts w:ascii="Garamond" w:hAnsi="Garamond" w:cs="Arial"/>
          <w:sz w:val="32"/>
          <w:szCs w:val="32"/>
        </w:rPr>
        <w:t>l</w:t>
      </w:r>
      <w:r w:rsidR="00CB1D5A" w:rsidRPr="00CB1D5A">
        <w:rPr>
          <w:rFonts w:ascii="Garamond" w:hAnsi="Garamond" w:cs="Arial"/>
          <w:sz w:val="32"/>
          <w:szCs w:val="32"/>
        </w:rPr>
        <w:t xml:space="preserve">e missioni </w:t>
      </w:r>
      <w:r w:rsidR="008E2A30" w:rsidRPr="00CB1D5A">
        <w:rPr>
          <w:rFonts w:ascii="Garamond" w:hAnsi="Garamond" w:cs="Arial"/>
          <w:sz w:val="32"/>
          <w:szCs w:val="32"/>
        </w:rPr>
        <w:t>internazionali)</w:t>
      </w:r>
      <w:r w:rsidR="00CB1D5A" w:rsidRPr="00CB1D5A">
        <w:rPr>
          <w:rFonts w:ascii="Garamond" w:hAnsi="Garamond" w:cs="Arial"/>
          <w:sz w:val="32"/>
          <w:szCs w:val="32"/>
        </w:rPr>
        <w:t xml:space="preserve"> in relazione alla</w:t>
      </w:r>
      <w:r w:rsidR="005000E1" w:rsidRPr="00CB1D5A">
        <w:rPr>
          <w:rFonts w:ascii="Garamond" w:hAnsi="Garamond" w:cs="Arial"/>
          <w:sz w:val="32"/>
          <w:szCs w:val="32"/>
        </w:rPr>
        <w:t xml:space="preserve"> disciplina in più punti </w:t>
      </w:r>
      <w:r w:rsidR="00CB1D5A" w:rsidRPr="00CB1D5A">
        <w:rPr>
          <w:rFonts w:ascii="Garamond" w:hAnsi="Garamond" w:cs="Arial"/>
          <w:sz w:val="32"/>
          <w:szCs w:val="32"/>
        </w:rPr>
        <w:t xml:space="preserve">derogatoria del diritto </w:t>
      </w:r>
      <w:r w:rsidR="00CB1D5A" w:rsidRPr="00650A9A">
        <w:rPr>
          <w:rFonts w:ascii="Garamond" w:hAnsi="Garamond" w:cs="Arial"/>
          <w:sz w:val="32"/>
          <w:szCs w:val="32"/>
        </w:rPr>
        <w:t>vigente</w:t>
      </w:r>
      <w:r w:rsidR="00BD75AA" w:rsidRPr="00650A9A">
        <w:rPr>
          <w:rFonts w:ascii="Garamond" w:hAnsi="Garamond" w:cs="Arial"/>
          <w:sz w:val="32"/>
          <w:szCs w:val="32"/>
        </w:rPr>
        <w:t xml:space="preserve"> (</w:t>
      </w:r>
      <w:r w:rsidR="00BD75AA" w:rsidRPr="00663EB0">
        <w:rPr>
          <w:rFonts w:ascii="Garamond" w:hAnsi="Garamond" w:cs="Arial"/>
          <w:i/>
          <w:sz w:val="32"/>
          <w:szCs w:val="32"/>
        </w:rPr>
        <w:t>cfr.</w:t>
      </w:r>
      <w:r w:rsidR="00BD75AA" w:rsidRPr="00650A9A">
        <w:rPr>
          <w:rFonts w:ascii="Garamond" w:hAnsi="Garamond" w:cs="Arial"/>
          <w:sz w:val="32"/>
          <w:szCs w:val="32"/>
        </w:rPr>
        <w:t xml:space="preserve"> il paragrafo </w:t>
      </w:r>
      <w:r w:rsidR="00650A9A">
        <w:rPr>
          <w:rFonts w:ascii="Garamond" w:hAnsi="Garamond" w:cs="Arial"/>
          <w:sz w:val="32"/>
          <w:szCs w:val="32"/>
        </w:rPr>
        <w:t>4.4.3</w:t>
      </w:r>
      <w:r w:rsidR="00BD75AA" w:rsidRPr="00650A9A">
        <w:rPr>
          <w:rFonts w:ascii="Garamond" w:hAnsi="Garamond" w:cs="Arial"/>
          <w:sz w:val="32"/>
          <w:szCs w:val="32"/>
        </w:rPr>
        <w:t>)</w:t>
      </w:r>
      <w:r w:rsidR="00CB1D5A" w:rsidRPr="00650A9A">
        <w:rPr>
          <w:rFonts w:ascii="Garamond" w:hAnsi="Garamond" w:cs="Arial"/>
          <w:sz w:val="32"/>
          <w:szCs w:val="32"/>
        </w:rPr>
        <w:t>;</w:t>
      </w:r>
      <w:r w:rsidR="005000E1" w:rsidRPr="00650A9A">
        <w:rPr>
          <w:rFonts w:ascii="Garamond" w:hAnsi="Garamond" w:cs="Arial"/>
          <w:sz w:val="32"/>
          <w:szCs w:val="32"/>
        </w:rPr>
        <w:t xml:space="preserve"> </w:t>
      </w:r>
    </w:p>
    <w:p w:rsidR="008A35CA" w:rsidRPr="003505A6" w:rsidRDefault="004713E0" w:rsidP="008A35CA">
      <w:pPr>
        <w:rPr>
          <w:rFonts w:ascii="Garamond" w:hAnsi="Garamond" w:cs="Arial"/>
          <w:sz w:val="32"/>
          <w:szCs w:val="32"/>
        </w:rPr>
      </w:pPr>
      <w:r w:rsidRPr="003505A6">
        <w:rPr>
          <w:rFonts w:ascii="Garamond" w:hAnsi="Garamond" w:cs="Arial"/>
          <w:sz w:val="32"/>
          <w:szCs w:val="32"/>
        </w:rPr>
        <w:t xml:space="preserve">♦ con riguardo ai </w:t>
      </w:r>
      <w:r w:rsidRPr="00CD52E5">
        <w:rPr>
          <w:rFonts w:ascii="Garamond" w:hAnsi="Garamond" w:cs="Arial"/>
          <w:sz w:val="32"/>
          <w:szCs w:val="32"/>
          <w:u w:val="single"/>
        </w:rPr>
        <w:t>limiti di contenuto dei decreti-legge</w:t>
      </w:r>
      <w:r w:rsidRPr="003505A6">
        <w:rPr>
          <w:rFonts w:ascii="Garamond" w:hAnsi="Garamond" w:cs="Arial"/>
          <w:sz w:val="32"/>
          <w:szCs w:val="32"/>
        </w:rPr>
        <w:t>, i cas</w:t>
      </w:r>
      <w:r w:rsidR="008A35CA" w:rsidRPr="003505A6">
        <w:rPr>
          <w:rFonts w:ascii="Garamond" w:hAnsi="Garamond" w:cs="Arial"/>
          <w:sz w:val="32"/>
          <w:szCs w:val="32"/>
        </w:rPr>
        <w:t>i</w:t>
      </w:r>
      <w:r w:rsidRPr="003505A6">
        <w:rPr>
          <w:rFonts w:ascii="Garamond" w:hAnsi="Garamond" w:cs="Arial"/>
          <w:sz w:val="32"/>
          <w:szCs w:val="32"/>
        </w:rPr>
        <w:t xml:space="preserve"> più </w:t>
      </w:r>
      <w:r w:rsidR="008A35CA" w:rsidRPr="003505A6">
        <w:rPr>
          <w:rFonts w:ascii="Garamond" w:hAnsi="Garamond" w:cs="Arial"/>
          <w:sz w:val="32"/>
          <w:szCs w:val="32"/>
        </w:rPr>
        <w:t>interessanti</w:t>
      </w:r>
      <w:r w:rsidRPr="003505A6">
        <w:rPr>
          <w:rFonts w:ascii="Garamond" w:hAnsi="Garamond" w:cs="Arial"/>
          <w:sz w:val="32"/>
          <w:szCs w:val="32"/>
        </w:rPr>
        <w:t xml:space="preserve"> concern</w:t>
      </w:r>
      <w:r w:rsidR="008A35CA" w:rsidRPr="003505A6">
        <w:rPr>
          <w:rFonts w:ascii="Garamond" w:hAnsi="Garamond" w:cs="Arial"/>
          <w:sz w:val="32"/>
          <w:szCs w:val="32"/>
        </w:rPr>
        <w:t xml:space="preserve">ono: </w:t>
      </w:r>
    </w:p>
    <w:p w:rsidR="00CB1D5A" w:rsidRPr="00CB1D5A" w:rsidRDefault="004713E0" w:rsidP="008A35CA">
      <w:pPr>
        <w:rPr>
          <w:rFonts w:ascii="Garamond" w:hAnsi="Garamond" w:cs="Arial"/>
          <w:sz w:val="32"/>
          <w:szCs w:val="32"/>
        </w:rPr>
      </w:pPr>
      <w:r w:rsidRPr="003505A6">
        <w:rPr>
          <w:rFonts w:ascii="Garamond" w:hAnsi="Garamond" w:cs="Arial"/>
          <w:sz w:val="32"/>
          <w:szCs w:val="32"/>
        </w:rPr>
        <w:t xml:space="preserve">l’introduzione nel disegno di legge di conversione di disposizioni incidenti su deleghe, puntualmente oggetto di </w:t>
      </w:r>
      <w:r w:rsidR="00201E98" w:rsidRPr="003505A6">
        <w:rPr>
          <w:rFonts w:ascii="Garamond" w:hAnsi="Garamond" w:cs="Arial"/>
          <w:sz w:val="32"/>
          <w:szCs w:val="32"/>
        </w:rPr>
        <w:t xml:space="preserve">una </w:t>
      </w:r>
      <w:r w:rsidRPr="003505A6">
        <w:rPr>
          <w:rFonts w:ascii="Garamond" w:hAnsi="Garamond" w:cs="Arial"/>
          <w:sz w:val="32"/>
          <w:szCs w:val="32"/>
        </w:rPr>
        <w:t>condizion</w:t>
      </w:r>
      <w:r w:rsidR="00201E98" w:rsidRPr="003505A6">
        <w:rPr>
          <w:rFonts w:ascii="Garamond" w:hAnsi="Garamond" w:cs="Arial"/>
          <w:sz w:val="32"/>
          <w:szCs w:val="32"/>
        </w:rPr>
        <w:t>e</w:t>
      </w:r>
      <w:r w:rsidRPr="003505A6">
        <w:rPr>
          <w:rFonts w:ascii="Garamond" w:hAnsi="Garamond" w:cs="Arial"/>
          <w:sz w:val="32"/>
          <w:szCs w:val="32"/>
        </w:rPr>
        <w:t xml:space="preserve"> soppressiv</w:t>
      </w:r>
      <w:r w:rsidR="00201E98" w:rsidRPr="003505A6">
        <w:rPr>
          <w:rFonts w:ascii="Garamond" w:hAnsi="Garamond" w:cs="Arial"/>
          <w:sz w:val="32"/>
          <w:szCs w:val="32"/>
        </w:rPr>
        <w:t>a</w:t>
      </w:r>
      <w:r w:rsidRPr="003505A6">
        <w:rPr>
          <w:rFonts w:ascii="Garamond" w:hAnsi="Garamond" w:cs="Arial"/>
          <w:sz w:val="32"/>
          <w:szCs w:val="32"/>
        </w:rPr>
        <w:t xml:space="preserve"> </w:t>
      </w:r>
      <w:r w:rsidR="00CB1D5A">
        <w:rPr>
          <w:rFonts w:ascii="Garamond" w:hAnsi="Garamond" w:cs="Arial"/>
          <w:sz w:val="32"/>
          <w:szCs w:val="32"/>
        </w:rPr>
        <w:t>nei</w:t>
      </w:r>
      <w:r w:rsidR="00201E98" w:rsidRPr="003505A6">
        <w:rPr>
          <w:rFonts w:ascii="Garamond" w:hAnsi="Garamond" w:cs="Arial"/>
          <w:sz w:val="32"/>
          <w:szCs w:val="32"/>
        </w:rPr>
        <w:t xml:space="preserve"> parer</w:t>
      </w:r>
      <w:r w:rsidR="00CB1D5A">
        <w:rPr>
          <w:rFonts w:ascii="Garamond" w:hAnsi="Garamond" w:cs="Arial"/>
          <w:sz w:val="32"/>
          <w:szCs w:val="32"/>
        </w:rPr>
        <w:t>i</w:t>
      </w:r>
      <w:r w:rsidR="00201E98" w:rsidRPr="003505A6">
        <w:rPr>
          <w:rFonts w:ascii="Garamond" w:hAnsi="Garamond" w:cs="Arial"/>
          <w:sz w:val="32"/>
          <w:szCs w:val="32"/>
        </w:rPr>
        <w:t xml:space="preserve"> </w:t>
      </w:r>
      <w:r w:rsidR="00201E98" w:rsidRPr="00CB1D5A">
        <w:rPr>
          <w:rFonts w:ascii="Garamond" w:hAnsi="Garamond" w:cs="Arial"/>
          <w:sz w:val="32"/>
          <w:szCs w:val="32"/>
        </w:rPr>
        <w:t>su</w:t>
      </w:r>
      <w:r w:rsidR="00CB1D5A" w:rsidRPr="00CB1D5A">
        <w:rPr>
          <w:rFonts w:ascii="Garamond" w:hAnsi="Garamond" w:cs="Arial"/>
          <w:sz w:val="32"/>
          <w:szCs w:val="32"/>
        </w:rPr>
        <w:t>i</w:t>
      </w:r>
      <w:r w:rsidR="00201E98" w:rsidRPr="00CB1D5A">
        <w:rPr>
          <w:rFonts w:ascii="Garamond" w:hAnsi="Garamond" w:cs="Arial"/>
          <w:sz w:val="32"/>
          <w:szCs w:val="32"/>
        </w:rPr>
        <w:t xml:space="preserve"> disegn</w:t>
      </w:r>
      <w:r w:rsidR="00CB1D5A" w:rsidRPr="00CB1D5A">
        <w:rPr>
          <w:rFonts w:ascii="Garamond" w:hAnsi="Garamond" w:cs="Arial"/>
          <w:sz w:val="32"/>
          <w:szCs w:val="32"/>
        </w:rPr>
        <w:t>i di legge di conversione dei</w:t>
      </w:r>
      <w:r w:rsidR="00201E98" w:rsidRPr="00CB1D5A">
        <w:rPr>
          <w:rFonts w:ascii="Garamond" w:hAnsi="Garamond" w:cs="Arial"/>
          <w:sz w:val="32"/>
          <w:szCs w:val="32"/>
        </w:rPr>
        <w:t xml:space="preserve"> decret</w:t>
      </w:r>
      <w:r w:rsidR="00CB1D5A" w:rsidRPr="00CB1D5A">
        <w:rPr>
          <w:rFonts w:ascii="Garamond" w:hAnsi="Garamond" w:cs="Arial"/>
          <w:sz w:val="32"/>
          <w:szCs w:val="32"/>
        </w:rPr>
        <w:t>i</w:t>
      </w:r>
      <w:r w:rsidR="00201E98" w:rsidRPr="00CB1D5A">
        <w:rPr>
          <w:rFonts w:ascii="Garamond" w:hAnsi="Garamond" w:cs="Arial"/>
          <w:sz w:val="32"/>
          <w:szCs w:val="32"/>
        </w:rPr>
        <w:t xml:space="preserve">-legge n. </w:t>
      </w:r>
      <w:r w:rsidR="00CB1D5A" w:rsidRPr="00CB1D5A">
        <w:rPr>
          <w:rFonts w:ascii="Garamond" w:hAnsi="Garamond" w:cs="Arial"/>
          <w:sz w:val="32"/>
          <w:szCs w:val="32"/>
        </w:rPr>
        <w:t>185</w:t>
      </w:r>
      <w:r w:rsidR="00201E98" w:rsidRPr="00CB1D5A">
        <w:rPr>
          <w:rFonts w:ascii="Garamond" w:hAnsi="Garamond" w:cs="Arial"/>
          <w:sz w:val="32"/>
          <w:szCs w:val="32"/>
        </w:rPr>
        <w:t xml:space="preserve">/2015 (C. </w:t>
      </w:r>
      <w:r w:rsidR="00CB1D5A" w:rsidRPr="00CB1D5A">
        <w:rPr>
          <w:rFonts w:ascii="Garamond" w:hAnsi="Garamond" w:cs="Arial"/>
          <w:sz w:val="32"/>
          <w:szCs w:val="32"/>
        </w:rPr>
        <w:t>349</w:t>
      </w:r>
      <w:r w:rsidR="00201E98" w:rsidRPr="00CB1D5A">
        <w:rPr>
          <w:rFonts w:ascii="Garamond" w:hAnsi="Garamond" w:cs="Arial"/>
          <w:sz w:val="32"/>
          <w:szCs w:val="32"/>
        </w:rPr>
        <w:t xml:space="preserve">5 – </w:t>
      </w:r>
      <w:r w:rsidR="00CB1D5A" w:rsidRPr="00CB1D5A">
        <w:rPr>
          <w:rFonts w:ascii="Garamond" w:hAnsi="Garamond" w:cs="Arial"/>
          <w:sz w:val="32"/>
          <w:szCs w:val="32"/>
        </w:rPr>
        <w:t>territorio e proroga</w:t>
      </w:r>
      <w:r w:rsidR="00201E98" w:rsidRPr="00CB1D5A">
        <w:rPr>
          <w:rFonts w:ascii="Garamond" w:hAnsi="Garamond" w:cs="Arial"/>
          <w:sz w:val="32"/>
          <w:szCs w:val="32"/>
        </w:rPr>
        <w:t xml:space="preserve"> delega </w:t>
      </w:r>
      <w:r w:rsidR="00CB1D5A" w:rsidRPr="00CB1D5A">
        <w:rPr>
          <w:rFonts w:ascii="Garamond" w:hAnsi="Garamond" w:cs="Arial"/>
          <w:sz w:val="32"/>
          <w:szCs w:val="32"/>
        </w:rPr>
        <w:t>sulla riforma de</w:t>
      </w:r>
      <w:r w:rsidR="00790917">
        <w:rPr>
          <w:rFonts w:ascii="Garamond" w:hAnsi="Garamond" w:cs="Arial"/>
          <w:sz w:val="32"/>
          <w:szCs w:val="32"/>
        </w:rPr>
        <w:t>l</w:t>
      </w:r>
      <w:r w:rsidR="00CB1D5A" w:rsidRPr="00CB1D5A">
        <w:rPr>
          <w:rFonts w:ascii="Garamond" w:hAnsi="Garamond" w:cs="Arial"/>
          <w:sz w:val="32"/>
          <w:szCs w:val="32"/>
        </w:rPr>
        <w:t xml:space="preserve"> bilancio dello Stato</w:t>
      </w:r>
      <w:r w:rsidR="00201E98" w:rsidRPr="00CB1D5A">
        <w:rPr>
          <w:rFonts w:ascii="Garamond" w:hAnsi="Garamond" w:cs="Arial"/>
          <w:sz w:val="32"/>
          <w:szCs w:val="32"/>
        </w:rPr>
        <w:t>)</w:t>
      </w:r>
      <w:r w:rsidRPr="00CB1D5A">
        <w:rPr>
          <w:rFonts w:ascii="Garamond" w:hAnsi="Garamond" w:cs="Arial"/>
          <w:sz w:val="32"/>
          <w:szCs w:val="32"/>
        </w:rPr>
        <w:t xml:space="preserve">, </w:t>
      </w:r>
      <w:r w:rsidR="00CB1D5A" w:rsidRPr="00CB1D5A">
        <w:rPr>
          <w:rFonts w:ascii="Garamond" w:hAnsi="Garamond" w:cs="Arial"/>
          <w:sz w:val="32"/>
          <w:szCs w:val="32"/>
        </w:rPr>
        <w:t>n. 42/2016 (C. 3822 – sistema scolastico e ricerca) e n. 67/2017 (C. 3953 – partecipazione i</w:t>
      </w:r>
      <w:r w:rsidR="00790917">
        <w:rPr>
          <w:rFonts w:ascii="Garamond" w:hAnsi="Garamond" w:cs="Arial"/>
          <w:sz w:val="32"/>
          <w:szCs w:val="32"/>
        </w:rPr>
        <w:t>taliana alle mis</w:t>
      </w:r>
      <w:r w:rsidR="00CB1D5A" w:rsidRPr="00CB1D5A">
        <w:rPr>
          <w:rFonts w:ascii="Garamond" w:hAnsi="Garamond" w:cs="Arial"/>
          <w:sz w:val="32"/>
          <w:szCs w:val="32"/>
        </w:rPr>
        <w:t>s</w:t>
      </w:r>
      <w:r w:rsidR="00790917">
        <w:rPr>
          <w:rFonts w:ascii="Garamond" w:hAnsi="Garamond" w:cs="Arial"/>
          <w:sz w:val="32"/>
          <w:szCs w:val="32"/>
        </w:rPr>
        <w:t>i</w:t>
      </w:r>
      <w:r w:rsidR="00CB1D5A" w:rsidRPr="00CB1D5A">
        <w:rPr>
          <w:rFonts w:ascii="Garamond" w:hAnsi="Garamond" w:cs="Arial"/>
          <w:sz w:val="32"/>
          <w:szCs w:val="32"/>
        </w:rPr>
        <w:t>oni internazionali).</w:t>
      </w:r>
    </w:p>
    <w:p w:rsidR="00B928E0" w:rsidRDefault="00CB1D5A" w:rsidP="008A35CA">
      <w:pPr>
        <w:rPr>
          <w:rFonts w:ascii="Garamond" w:hAnsi="Garamond" w:cs="Arial"/>
          <w:sz w:val="32"/>
          <w:szCs w:val="32"/>
        </w:rPr>
      </w:pPr>
      <w:r w:rsidRPr="00CB1D5A">
        <w:rPr>
          <w:rFonts w:ascii="Garamond" w:hAnsi="Garamond" w:cs="Arial"/>
          <w:sz w:val="32"/>
          <w:szCs w:val="32"/>
        </w:rPr>
        <w:t xml:space="preserve">I tre pareri </w:t>
      </w:r>
      <w:r w:rsidR="00790917">
        <w:rPr>
          <w:rFonts w:ascii="Garamond" w:hAnsi="Garamond" w:cs="Arial"/>
          <w:sz w:val="32"/>
          <w:szCs w:val="32"/>
        </w:rPr>
        <w:t xml:space="preserve"> contengono articolati ragionamenti nelle premesse, cui conseguono condizioni più o meno laconiche e, nel caso del decreto-legge n. 42/2016, una raccomandazione. Rispetto al passato, il Comitato tiene conto non soltanto degli orientamenti ormai consolidati alla Camera, in base ai quali sono inammissibili aggiunte di carattere sostanziale ai disegni di legge di conversione, tanto più se riguardanti disposizioni di delega, ma anche la linea più flessibile che em</w:t>
      </w:r>
      <w:r w:rsidR="00B928E0">
        <w:rPr>
          <w:rFonts w:ascii="Garamond" w:hAnsi="Garamond" w:cs="Arial"/>
          <w:sz w:val="32"/>
          <w:szCs w:val="32"/>
        </w:rPr>
        <w:t>e</w:t>
      </w:r>
      <w:r w:rsidR="00790917">
        <w:rPr>
          <w:rFonts w:ascii="Garamond" w:hAnsi="Garamond" w:cs="Arial"/>
          <w:sz w:val="32"/>
          <w:szCs w:val="32"/>
        </w:rPr>
        <w:t xml:space="preserve">rge nella giurisprudenza della Corte costituzionale, che consente l’intervento su </w:t>
      </w:r>
      <w:r w:rsidR="00B928E0">
        <w:rPr>
          <w:rFonts w:ascii="Garamond" w:hAnsi="Garamond" w:cs="Arial"/>
          <w:sz w:val="32"/>
          <w:szCs w:val="32"/>
        </w:rPr>
        <w:t xml:space="preserve">disposizioni di </w:t>
      </w:r>
      <w:r w:rsidR="00790917">
        <w:rPr>
          <w:rFonts w:ascii="Garamond" w:hAnsi="Garamond" w:cs="Arial"/>
          <w:sz w:val="32"/>
          <w:szCs w:val="32"/>
        </w:rPr>
        <w:t>deleg</w:t>
      </w:r>
      <w:r w:rsidR="00B928E0">
        <w:rPr>
          <w:rFonts w:ascii="Garamond" w:hAnsi="Garamond" w:cs="Arial"/>
          <w:sz w:val="32"/>
          <w:szCs w:val="32"/>
        </w:rPr>
        <w:t>a</w:t>
      </w:r>
      <w:r w:rsidR="00790917">
        <w:rPr>
          <w:rFonts w:ascii="Garamond" w:hAnsi="Garamond" w:cs="Arial"/>
          <w:sz w:val="32"/>
          <w:szCs w:val="32"/>
        </w:rPr>
        <w:t xml:space="preserve"> da p</w:t>
      </w:r>
      <w:r w:rsidR="00B928E0">
        <w:rPr>
          <w:rFonts w:ascii="Garamond" w:hAnsi="Garamond" w:cs="Arial"/>
          <w:sz w:val="32"/>
          <w:szCs w:val="32"/>
        </w:rPr>
        <w:t xml:space="preserve">arte delle leggi di </w:t>
      </w:r>
      <w:r w:rsidR="00790917">
        <w:rPr>
          <w:rFonts w:ascii="Garamond" w:hAnsi="Garamond" w:cs="Arial"/>
          <w:sz w:val="32"/>
          <w:szCs w:val="32"/>
        </w:rPr>
        <w:t>conv</w:t>
      </w:r>
      <w:r w:rsidR="00B928E0">
        <w:rPr>
          <w:rFonts w:ascii="Garamond" w:hAnsi="Garamond" w:cs="Arial"/>
          <w:sz w:val="32"/>
          <w:szCs w:val="32"/>
        </w:rPr>
        <w:t>e</w:t>
      </w:r>
      <w:r w:rsidR="00790917">
        <w:rPr>
          <w:rFonts w:ascii="Garamond" w:hAnsi="Garamond" w:cs="Arial"/>
          <w:sz w:val="32"/>
          <w:szCs w:val="32"/>
        </w:rPr>
        <w:t xml:space="preserve">rsione, purché vi sia un’omogeneità contenutistica rispetto al </w:t>
      </w:r>
      <w:r w:rsidR="00B928E0">
        <w:rPr>
          <w:rFonts w:ascii="Garamond" w:hAnsi="Garamond" w:cs="Arial"/>
          <w:sz w:val="32"/>
          <w:szCs w:val="32"/>
        </w:rPr>
        <w:t xml:space="preserve">relativo </w:t>
      </w:r>
      <w:r w:rsidR="00790917">
        <w:rPr>
          <w:rFonts w:ascii="Garamond" w:hAnsi="Garamond" w:cs="Arial"/>
          <w:sz w:val="32"/>
          <w:szCs w:val="32"/>
        </w:rPr>
        <w:t>decre</w:t>
      </w:r>
      <w:r w:rsidR="00B928E0">
        <w:rPr>
          <w:rFonts w:ascii="Garamond" w:hAnsi="Garamond" w:cs="Arial"/>
          <w:sz w:val="32"/>
          <w:szCs w:val="32"/>
        </w:rPr>
        <w:t>t</w:t>
      </w:r>
      <w:r w:rsidR="00790917">
        <w:rPr>
          <w:rFonts w:ascii="Garamond" w:hAnsi="Garamond" w:cs="Arial"/>
          <w:sz w:val="32"/>
          <w:szCs w:val="32"/>
        </w:rPr>
        <w:t>o-legge.</w:t>
      </w:r>
      <w:r w:rsidR="00B928E0">
        <w:rPr>
          <w:rFonts w:ascii="Garamond" w:hAnsi="Garamond" w:cs="Arial"/>
          <w:sz w:val="32"/>
          <w:szCs w:val="32"/>
        </w:rPr>
        <w:t xml:space="preserve"> In sede</w:t>
      </w:r>
      <w:r w:rsidR="00C12FD4">
        <w:rPr>
          <w:rFonts w:ascii="Garamond" w:hAnsi="Garamond" w:cs="Arial"/>
          <w:sz w:val="32"/>
          <w:szCs w:val="32"/>
        </w:rPr>
        <w:t xml:space="preserve"> di conversione del citato decr</w:t>
      </w:r>
      <w:r w:rsidR="00B928E0">
        <w:rPr>
          <w:rFonts w:ascii="Garamond" w:hAnsi="Garamond" w:cs="Arial"/>
          <w:sz w:val="32"/>
          <w:szCs w:val="32"/>
        </w:rPr>
        <w:t>e</w:t>
      </w:r>
      <w:r w:rsidR="00C12FD4">
        <w:rPr>
          <w:rFonts w:ascii="Garamond" w:hAnsi="Garamond" w:cs="Arial"/>
          <w:sz w:val="32"/>
          <w:szCs w:val="32"/>
        </w:rPr>
        <w:t>to-legge n. 185</w:t>
      </w:r>
      <w:r w:rsidR="00B928E0">
        <w:rPr>
          <w:rFonts w:ascii="Garamond" w:hAnsi="Garamond" w:cs="Arial"/>
          <w:sz w:val="32"/>
          <w:szCs w:val="32"/>
        </w:rPr>
        <w:t>/201</w:t>
      </w:r>
      <w:r w:rsidR="00C12FD4">
        <w:rPr>
          <w:rFonts w:ascii="Garamond" w:hAnsi="Garamond" w:cs="Arial"/>
          <w:sz w:val="32"/>
          <w:szCs w:val="32"/>
        </w:rPr>
        <w:t>5</w:t>
      </w:r>
      <w:r w:rsidR="00B928E0">
        <w:rPr>
          <w:rFonts w:ascii="Garamond" w:hAnsi="Garamond" w:cs="Arial"/>
          <w:sz w:val="32"/>
          <w:szCs w:val="32"/>
        </w:rPr>
        <w:t>, sono state introdotte due disposizioni: una nell’ambito del disegno di legge di convers</w:t>
      </w:r>
      <w:r w:rsidR="00C12FD4">
        <w:rPr>
          <w:rFonts w:ascii="Garamond" w:hAnsi="Garamond" w:cs="Arial"/>
          <w:sz w:val="32"/>
          <w:szCs w:val="32"/>
        </w:rPr>
        <w:t>i</w:t>
      </w:r>
      <w:r w:rsidR="00B928E0">
        <w:rPr>
          <w:rFonts w:ascii="Garamond" w:hAnsi="Garamond" w:cs="Arial"/>
          <w:sz w:val="32"/>
          <w:szCs w:val="32"/>
        </w:rPr>
        <w:t>one e l’altra nell’ambito dell’</w:t>
      </w:r>
      <w:r w:rsidR="00C12FD4">
        <w:rPr>
          <w:rFonts w:ascii="Garamond" w:hAnsi="Garamond" w:cs="Arial"/>
          <w:sz w:val="32"/>
          <w:szCs w:val="32"/>
        </w:rPr>
        <w:t>a</w:t>
      </w:r>
      <w:r w:rsidR="00B928E0">
        <w:rPr>
          <w:rFonts w:ascii="Garamond" w:hAnsi="Garamond" w:cs="Arial"/>
          <w:sz w:val="32"/>
          <w:szCs w:val="32"/>
        </w:rPr>
        <w:t>rticolo 7 de</w:t>
      </w:r>
      <w:r w:rsidR="00C12FD4">
        <w:rPr>
          <w:rFonts w:ascii="Garamond" w:hAnsi="Garamond" w:cs="Arial"/>
          <w:sz w:val="32"/>
          <w:szCs w:val="32"/>
        </w:rPr>
        <w:t>l</w:t>
      </w:r>
      <w:r w:rsidR="00B928E0">
        <w:rPr>
          <w:rFonts w:ascii="Garamond" w:hAnsi="Garamond" w:cs="Arial"/>
          <w:sz w:val="32"/>
          <w:szCs w:val="32"/>
        </w:rPr>
        <w:t xml:space="preserve"> decreto. Il Comitato rileva nelle premesse che </w:t>
      </w:r>
      <w:r w:rsidR="00B928E0" w:rsidRPr="00B928E0">
        <w:rPr>
          <w:rFonts w:ascii="Garamond" w:hAnsi="Garamond" w:cs="Arial"/>
          <w:sz w:val="32"/>
          <w:szCs w:val="32"/>
        </w:rPr>
        <w:t xml:space="preserve">«[alcune delle modifiche apportate dal Senato sembrerebbero avere </w:t>
      </w:r>
      <w:r w:rsidR="00B928E0" w:rsidRPr="00C12FD4">
        <w:rPr>
          <w:rFonts w:ascii="Garamond" w:hAnsi="Garamond" w:cs="Arial"/>
          <w:sz w:val="32"/>
          <w:szCs w:val="32"/>
        </w:rPr>
        <w:t>portata ordinamentale. Si tratta, in particolare] dell'articolo 7, comma 4-</w:t>
      </w:r>
      <w:r w:rsidR="00B928E0" w:rsidRPr="00C12FD4">
        <w:rPr>
          <w:rFonts w:ascii="Garamond" w:hAnsi="Garamond" w:cs="Arial"/>
          <w:i/>
          <w:sz w:val="32"/>
          <w:szCs w:val="32"/>
        </w:rPr>
        <w:t>bis</w:t>
      </w:r>
      <w:r w:rsidR="00B928E0" w:rsidRPr="00C12FD4">
        <w:rPr>
          <w:rFonts w:ascii="Garamond" w:hAnsi="Garamond" w:cs="Arial"/>
          <w:sz w:val="32"/>
          <w:szCs w:val="32"/>
        </w:rPr>
        <w:t>, che novella la legge di delega per la revisione dello strumento militare nazionale (legge n. 244 del 2012) introducendovi una nuova delega integrativa finalizzata ad assicurare la sostanziale equiordinazione dei comparti sicurezza e difesa, da esercitare entro il 1</w:t>
      </w:r>
      <w:r w:rsidR="00B928E0" w:rsidRPr="00C12FD4">
        <w:rPr>
          <w:rFonts w:ascii="Garamond" w:hAnsi="Garamond" w:cs="Arial"/>
          <w:sz w:val="32"/>
          <w:szCs w:val="32"/>
          <w:vertAlign w:val="superscript"/>
        </w:rPr>
        <w:t>o</w:t>
      </w:r>
      <w:r w:rsidR="00B928E0" w:rsidRPr="00C12FD4">
        <w:rPr>
          <w:rFonts w:ascii="Garamond" w:hAnsi="Garamond" w:cs="Arial"/>
          <w:sz w:val="32"/>
          <w:szCs w:val="32"/>
        </w:rPr>
        <w:t xml:space="preserve"> luglio 2017; con riferimento a tale ultima disposizione, introdotta in sede di </w:t>
      </w:r>
      <w:r w:rsidR="00B928E0" w:rsidRPr="00C12FD4">
        <w:rPr>
          <w:rFonts w:ascii="Garamond" w:hAnsi="Garamond" w:cs="Arial"/>
          <w:sz w:val="32"/>
          <w:szCs w:val="32"/>
        </w:rPr>
        <w:lastRenderedPageBreak/>
        <w:t xml:space="preserve">esame parlamentare, si richiama il limite di contenuto alla decretazione d'urgenza posto dall'articolo 15, comma 2, lettera </w:t>
      </w:r>
      <w:r w:rsidR="00B928E0" w:rsidRPr="00C12FD4">
        <w:rPr>
          <w:rFonts w:ascii="Garamond" w:hAnsi="Garamond" w:cs="Arial"/>
          <w:i/>
          <w:sz w:val="32"/>
          <w:szCs w:val="32"/>
        </w:rPr>
        <w:t>a</w:t>
      </w:r>
      <w:r w:rsidR="00B928E0" w:rsidRPr="00C12FD4">
        <w:rPr>
          <w:rFonts w:ascii="Garamond" w:hAnsi="Garamond" w:cs="Arial"/>
          <w:sz w:val="32"/>
          <w:szCs w:val="32"/>
        </w:rPr>
        <w:t>) della legge n. 400 del 1988, secondo il quale Governo non può, mediante decreto-legge, “conferire deleghe legislative ai sensi dell'articolo 76 della Costituzione” e si ricorda che, come precisato dalla Corte costituzionale nella sentenza n. 63 del 1998 e ribadito nella sentenza n. 237 del 2013, “l'atto di conferimento al Governo di delega legislativa può avvenire solo con legge”; in relazione invece all'inserimento, a seguito dell'approvazione</w:t>
      </w:r>
      <w:r w:rsidR="00B928E0" w:rsidRPr="00B928E0">
        <w:rPr>
          <w:rFonts w:ascii="Garamond" w:hAnsi="Garamond" w:cs="Arial"/>
          <w:sz w:val="32"/>
          <w:szCs w:val="32"/>
        </w:rPr>
        <w:t xml:space="preserve"> di emendamenti in sede parlamentare, di disposizioni di delega nell'ambito del disegno di legge di conversione – peraltro volte a rafforzare in tale procedimento il ruolo delle Commissioni parlamentari –, si ricorda che tale circostanza, secondo costante orientamento del Comitato per la legislazione, integra anch'essa una violazione del limite posto dall'articolo 15, comma 2, lettera </w:t>
      </w:r>
      <w:r w:rsidR="00B928E0" w:rsidRPr="00B928E0">
        <w:rPr>
          <w:rFonts w:ascii="Garamond" w:hAnsi="Garamond" w:cs="Arial"/>
          <w:i/>
          <w:sz w:val="32"/>
          <w:szCs w:val="32"/>
        </w:rPr>
        <w:t>a</w:t>
      </w:r>
      <w:r w:rsidR="00B928E0" w:rsidRPr="00B928E0">
        <w:rPr>
          <w:rFonts w:ascii="Garamond" w:hAnsi="Garamond" w:cs="Arial"/>
          <w:sz w:val="32"/>
          <w:szCs w:val="32"/>
        </w:rPr>
        <w:t xml:space="preserve">), della legge n. 400 del 1988, e che l'inserimento di disposizioni di carattere sostanziale in un disegno di legge di conversione non appare corrispondente ad un corretto utilizzo dello specifico strumento normativo rappresentato da tale tipologia di legge. Inoltre, la Corte Costituzionale, nella </w:t>
      </w:r>
      <w:r w:rsidR="00B928E0" w:rsidRPr="00C12FD4">
        <w:rPr>
          <w:rFonts w:ascii="Garamond" w:hAnsi="Garamond" w:cs="Arial"/>
          <w:sz w:val="32"/>
          <w:szCs w:val="32"/>
        </w:rPr>
        <w:t>sentenza n. 22 del 2012 (con orientamento confermato dalla sentenza n. 32 del 2014), tenuto conto che il secondo comma dell'articolo 77 della Costituzione “</w:t>
      </w:r>
      <w:r w:rsidR="00B928E0" w:rsidRPr="00C12FD4">
        <w:rPr>
          <w:rFonts w:ascii="Garamond" w:hAnsi="Garamond" w:cs="Arial"/>
          <w:i/>
          <w:sz w:val="32"/>
          <w:szCs w:val="32"/>
        </w:rPr>
        <w:t>istituisce un nesso di interrelazione funzionale tra decreto-legge, formato d</w:t>
      </w:r>
      <w:r w:rsidR="00B928E0" w:rsidRPr="00B928E0">
        <w:rPr>
          <w:rFonts w:ascii="Garamond" w:hAnsi="Garamond" w:cs="Arial"/>
          <w:i/>
          <w:sz w:val="32"/>
          <w:szCs w:val="32"/>
        </w:rPr>
        <w:t>al Governo ed emanato dal Presidente della Repubblica, e legge di conversione, caratterizzata da un procedimento di approvazione peculiare rispetto a quello ordinario” ha affermato che “l'esclusione della possibilità di inserire nella legge di conversione di un decreto-legge emendamenti del tutto estranei all'oggetto e alle finalità del testo originario non risponda soltanto ad esigenze di buona tecnica normativa, ma sia imposta</w:t>
      </w:r>
      <w:r w:rsidR="00B928E0" w:rsidRPr="00B928E0">
        <w:rPr>
          <w:rFonts w:ascii="Garamond" w:hAnsi="Garamond" w:cs="Arial"/>
          <w:sz w:val="32"/>
          <w:szCs w:val="32"/>
        </w:rPr>
        <w:t xml:space="preserve">” dalla stessa norma costituzionale; a tale ultimo proposito, si rileva tuttavia che la Corte costituzionale, con la stessa </w:t>
      </w:r>
      <w:r w:rsidR="00B928E0" w:rsidRPr="00BD75AA">
        <w:rPr>
          <w:rFonts w:ascii="Garamond" w:hAnsi="Garamond" w:cs="Arial"/>
          <w:sz w:val="32"/>
          <w:szCs w:val="32"/>
        </w:rPr>
        <w:t>sentenza n. 237 del 2013 si è discostata dagli indirizzi sopra richiamati, affermando che il Parlamento, nell'approvare la legge di</w:t>
      </w:r>
      <w:r w:rsidR="00B928E0" w:rsidRPr="00B928E0">
        <w:rPr>
          <w:rFonts w:ascii="Garamond" w:hAnsi="Garamond" w:cs="Arial"/>
          <w:sz w:val="32"/>
          <w:szCs w:val="32"/>
        </w:rPr>
        <w:t xml:space="preserve"> conversione di un decreto-legge, può esercitare la propria potestà legislativa anche </w:t>
      </w:r>
      <w:r w:rsidR="00B928E0" w:rsidRPr="00B928E0">
        <w:rPr>
          <w:rFonts w:ascii="Garamond" w:hAnsi="Garamond" w:cs="Arial"/>
          <w:sz w:val="32"/>
          <w:szCs w:val="32"/>
        </w:rPr>
        <w:lastRenderedPageBreak/>
        <w:t xml:space="preserve">introducendo, con disposizioni aggiuntive, </w:t>
      </w:r>
      <w:r w:rsidR="00B928E0" w:rsidRPr="007700C0">
        <w:rPr>
          <w:rFonts w:ascii="Garamond" w:hAnsi="Garamond" w:cs="Arial"/>
          <w:sz w:val="32"/>
          <w:szCs w:val="32"/>
        </w:rPr>
        <w:t>contenuti normativi ulteriori. Ciò, tuttavia, nel rispetto del limite dell'omogeneità complessiva dell'atto normativo</w:t>
      </w:r>
      <w:r w:rsidR="00B928E0" w:rsidRPr="00B928E0">
        <w:rPr>
          <w:rFonts w:ascii="Garamond" w:hAnsi="Garamond" w:cs="Arial"/>
          <w:sz w:val="32"/>
          <w:szCs w:val="32"/>
        </w:rPr>
        <w:t xml:space="preserve"> rispetto all'oggetto o allo </w:t>
      </w:r>
      <w:r w:rsidR="00B928E0" w:rsidRPr="00663EB0">
        <w:rPr>
          <w:rFonts w:ascii="Garamond" w:hAnsi="Garamond" w:cs="Arial"/>
          <w:sz w:val="32"/>
          <w:szCs w:val="32"/>
        </w:rPr>
        <w:t>scopo»</w:t>
      </w:r>
      <w:r w:rsidR="00C12FD4" w:rsidRPr="00663EB0">
        <w:rPr>
          <w:rFonts w:ascii="Garamond" w:hAnsi="Garamond" w:cs="Arial"/>
          <w:sz w:val="32"/>
          <w:szCs w:val="32"/>
        </w:rPr>
        <w:t xml:space="preserve"> (</w:t>
      </w:r>
      <w:hyperlink r:id="rId54" w:anchor="S04a02" w:history="1">
        <w:r w:rsidR="00C12FD4" w:rsidRPr="00663EB0">
          <w:rPr>
            <w:rStyle w:val="Collegamentoipertestuale"/>
            <w:rFonts w:ascii="Garamond" w:hAnsi="Garamond" w:cs="Arial"/>
            <w:sz w:val="32"/>
            <w:szCs w:val="32"/>
          </w:rPr>
          <w:t>scheda 4, punto 2</w:t>
        </w:r>
      </w:hyperlink>
      <w:r w:rsidR="00C12FD4" w:rsidRPr="00663EB0">
        <w:rPr>
          <w:rFonts w:ascii="Garamond" w:hAnsi="Garamond" w:cs="Arial"/>
          <w:sz w:val="32"/>
          <w:szCs w:val="32"/>
        </w:rPr>
        <w:t>)</w:t>
      </w:r>
      <w:r w:rsidR="00B928E0" w:rsidRPr="00663EB0">
        <w:rPr>
          <w:rFonts w:ascii="Garamond" w:hAnsi="Garamond" w:cs="Arial"/>
          <w:sz w:val="32"/>
          <w:szCs w:val="32"/>
        </w:rPr>
        <w:t>. Ne consegue la laconica</w:t>
      </w:r>
      <w:r w:rsidR="00B928E0">
        <w:rPr>
          <w:rFonts w:ascii="Garamond" w:hAnsi="Garamond" w:cs="Arial"/>
          <w:sz w:val="32"/>
          <w:szCs w:val="32"/>
        </w:rPr>
        <w:t xml:space="preserve"> condizione: «</w:t>
      </w:r>
      <w:r w:rsidR="00B928E0" w:rsidRPr="00B928E0">
        <w:rPr>
          <w:rFonts w:ascii="Garamond" w:hAnsi="Garamond" w:cs="Arial"/>
          <w:sz w:val="32"/>
          <w:szCs w:val="32"/>
        </w:rPr>
        <w:t>per quanto detto in premessa, si sopprimano il comma 4-</w:t>
      </w:r>
      <w:r w:rsidR="00B928E0" w:rsidRPr="00B928E0">
        <w:rPr>
          <w:rFonts w:ascii="Garamond" w:hAnsi="Garamond" w:cs="Arial"/>
          <w:i/>
          <w:sz w:val="32"/>
          <w:szCs w:val="32"/>
        </w:rPr>
        <w:t xml:space="preserve">bis </w:t>
      </w:r>
      <w:r w:rsidR="00B928E0" w:rsidRPr="00B928E0">
        <w:rPr>
          <w:rFonts w:ascii="Garamond" w:hAnsi="Garamond" w:cs="Arial"/>
          <w:sz w:val="32"/>
          <w:szCs w:val="32"/>
        </w:rPr>
        <w:t>dell'articolo 7 del decreto-legge e il comma 2 dell'articolo 1 del disegno di legge di conversione</w:t>
      </w:r>
      <w:r w:rsidR="00B928E0">
        <w:rPr>
          <w:rFonts w:ascii="Garamond" w:hAnsi="Garamond" w:cs="Arial"/>
          <w:sz w:val="32"/>
          <w:szCs w:val="32"/>
        </w:rPr>
        <w:t>»</w:t>
      </w:r>
      <w:r w:rsidR="00C12FD4">
        <w:rPr>
          <w:rFonts w:ascii="Garamond" w:hAnsi="Garamond" w:cs="Arial"/>
          <w:sz w:val="32"/>
          <w:szCs w:val="32"/>
        </w:rPr>
        <w:t>.</w:t>
      </w:r>
    </w:p>
    <w:p w:rsidR="00C12FD4" w:rsidRDefault="00B928E0" w:rsidP="008A35CA">
      <w:pPr>
        <w:rPr>
          <w:rFonts w:ascii="Garamond" w:hAnsi="Garamond" w:cs="Arial"/>
          <w:sz w:val="32"/>
          <w:szCs w:val="32"/>
        </w:rPr>
      </w:pPr>
      <w:r>
        <w:rPr>
          <w:rFonts w:ascii="Garamond" w:hAnsi="Garamond" w:cs="Arial"/>
          <w:sz w:val="32"/>
          <w:szCs w:val="32"/>
        </w:rPr>
        <w:t xml:space="preserve">Nella condizione formulata nell’ambito del </w:t>
      </w:r>
      <w:r w:rsidR="00C12FD4">
        <w:rPr>
          <w:rFonts w:ascii="Garamond" w:hAnsi="Garamond" w:cs="Arial"/>
          <w:sz w:val="32"/>
          <w:szCs w:val="32"/>
        </w:rPr>
        <w:t>parere sul decr</w:t>
      </w:r>
      <w:r>
        <w:rPr>
          <w:rFonts w:ascii="Garamond" w:hAnsi="Garamond" w:cs="Arial"/>
          <w:sz w:val="32"/>
          <w:szCs w:val="32"/>
        </w:rPr>
        <w:t>e</w:t>
      </w:r>
      <w:r w:rsidR="00C12FD4">
        <w:rPr>
          <w:rFonts w:ascii="Garamond" w:hAnsi="Garamond" w:cs="Arial"/>
          <w:sz w:val="32"/>
          <w:szCs w:val="32"/>
        </w:rPr>
        <w:t>t</w:t>
      </w:r>
      <w:r>
        <w:rPr>
          <w:rFonts w:ascii="Garamond" w:hAnsi="Garamond" w:cs="Arial"/>
          <w:sz w:val="32"/>
          <w:szCs w:val="32"/>
        </w:rPr>
        <w:t>o-le</w:t>
      </w:r>
      <w:r w:rsidR="00C12FD4">
        <w:rPr>
          <w:rFonts w:ascii="Garamond" w:hAnsi="Garamond" w:cs="Arial"/>
          <w:sz w:val="32"/>
          <w:szCs w:val="32"/>
        </w:rPr>
        <w:t>g</w:t>
      </w:r>
      <w:r>
        <w:rPr>
          <w:rFonts w:ascii="Garamond" w:hAnsi="Garamond" w:cs="Arial"/>
          <w:sz w:val="32"/>
          <w:szCs w:val="32"/>
        </w:rPr>
        <w:t xml:space="preserve">ge n. 42/2016 sono presenti entrambi i parametri </w:t>
      </w:r>
      <w:r w:rsidR="00C12FD4">
        <w:rPr>
          <w:rFonts w:ascii="Garamond" w:hAnsi="Garamond" w:cs="Arial"/>
          <w:sz w:val="32"/>
          <w:szCs w:val="32"/>
        </w:rPr>
        <w:t xml:space="preserve">assunti come riferimenti </w:t>
      </w:r>
      <w:r>
        <w:rPr>
          <w:rFonts w:ascii="Garamond" w:hAnsi="Garamond" w:cs="Arial"/>
          <w:sz w:val="32"/>
          <w:szCs w:val="32"/>
        </w:rPr>
        <w:t>d</w:t>
      </w:r>
      <w:r w:rsidR="00C12FD4">
        <w:rPr>
          <w:rFonts w:ascii="Garamond" w:hAnsi="Garamond" w:cs="Arial"/>
          <w:sz w:val="32"/>
          <w:szCs w:val="32"/>
        </w:rPr>
        <w:t>a</w:t>
      </w:r>
      <w:r>
        <w:rPr>
          <w:rFonts w:ascii="Garamond" w:hAnsi="Garamond" w:cs="Arial"/>
          <w:sz w:val="32"/>
          <w:szCs w:val="32"/>
        </w:rPr>
        <w:t xml:space="preserve">l Comitato (orientamenti </w:t>
      </w:r>
      <w:r w:rsidR="00C12FD4">
        <w:rPr>
          <w:rFonts w:ascii="Garamond" w:hAnsi="Garamond" w:cs="Arial"/>
          <w:sz w:val="32"/>
          <w:szCs w:val="32"/>
        </w:rPr>
        <w:t>della C</w:t>
      </w:r>
      <w:r>
        <w:rPr>
          <w:rFonts w:ascii="Garamond" w:hAnsi="Garamond" w:cs="Arial"/>
          <w:sz w:val="32"/>
          <w:szCs w:val="32"/>
        </w:rPr>
        <w:t>amera e giurisprudenza della Corte</w:t>
      </w:r>
      <w:r w:rsidR="00C12FD4">
        <w:rPr>
          <w:rFonts w:ascii="Garamond" w:hAnsi="Garamond" w:cs="Arial"/>
          <w:sz w:val="32"/>
          <w:szCs w:val="32"/>
        </w:rPr>
        <w:t xml:space="preserve"> costituzionale</w:t>
      </w:r>
      <w:r>
        <w:rPr>
          <w:rFonts w:ascii="Garamond" w:hAnsi="Garamond" w:cs="Arial"/>
          <w:sz w:val="32"/>
          <w:szCs w:val="32"/>
        </w:rPr>
        <w:t>)</w:t>
      </w:r>
      <w:r w:rsidR="00C12FD4">
        <w:rPr>
          <w:rFonts w:ascii="Garamond" w:hAnsi="Garamond" w:cs="Arial"/>
          <w:sz w:val="32"/>
          <w:szCs w:val="32"/>
        </w:rPr>
        <w:t>, che lo inducono a formulare la condizione stessa non in termini seccamente soppressivi, bensì come invito ad una valutazione da parte della Commissione competente: «</w:t>
      </w:r>
      <w:r w:rsidR="00C12FD4" w:rsidRPr="00C12FD4">
        <w:rPr>
          <w:rFonts w:ascii="Garamond" w:hAnsi="Garamond" w:cs="Arial"/>
          <w:sz w:val="32"/>
          <w:szCs w:val="32"/>
        </w:rPr>
        <w:t>alla luce dell’orientamento consolidato del Comitato per la legislazione, avvalorato dalla prassi della Presidenza della Camera in tema di inammissibilità degli emendamenti, e tenuto tuttavia conto della sentenza della Corte costituzionale n. 237 del 2013 richiamata in premessa, si valuti la soppressione del comma 2 dell’articolo 1 del disegno di legge di conversione</w:t>
      </w:r>
      <w:r w:rsidR="00C12FD4">
        <w:rPr>
          <w:rFonts w:ascii="Garamond" w:hAnsi="Garamond" w:cs="Arial"/>
          <w:sz w:val="32"/>
          <w:szCs w:val="32"/>
        </w:rPr>
        <w:t>». La raccom</w:t>
      </w:r>
      <w:r w:rsidR="00216B64">
        <w:rPr>
          <w:rFonts w:ascii="Garamond" w:hAnsi="Garamond" w:cs="Arial"/>
          <w:sz w:val="32"/>
          <w:szCs w:val="32"/>
        </w:rPr>
        <w:t>a</w:t>
      </w:r>
      <w:r w:rsidR="00C12FD4">
        <w:rPr>
          <w:rFonts w:ascii="Garamond" w:hAnsi="Garamond" w:cs="Arial"/>
          <w:sz w:val="32"/>
          <w:szCs w:val="32"/>
        </w:rPr>
        <w:t>ndazione tocca, ol</w:t>
      </w:r>
      <w:r w:rsidR="00216B64">
        <w:rPr>
          <w:rFonts w:ascii="Garamond" w:hAnsi="Garamond" w:cs="Arial"/>
          <w:sz w:val="32"/>
          <w:szCs w:val="32"/>
        </w:rPr>
        <w:t>t</w:t>
      </w:r>
      <w:r w:rsidR="00C12FD4">
        <w:rPr>
          <w:rFonts w:ascii="Garamond" w:hAnsi="Garamond" w:cs="Arial"/>
          <w:sz w:val="32"/>
          <w:szCs w:val="32"/>
        </w:rPr>
        <w:t>re questo as</w:t>
      </w:r>
      <w:r w:rsidR="00216B64">
        <w:rPr>
          <w:rFonts w:ascii="Garamond" w:hAnsi="Garamond" w:cs="Arial"/>
          <w:sz w:val="32"/>
          <w:szCs w:val="32"/>
        </w:rPr>
        <w:t>p</w:t>
      </w:r>
      <w:r w:rsidR="00C12FD4">
        <w:rPr>
          <w:rFonts w:ascii="Garamond" w:hAnsi="Garamond" w:cs="Arial"/>
          <w:sz w:val="32"/>
          <w:szCs w:val="32"/>
        </w:rPr>
        <w:t>etto, il profilo de</w:t>
      </w:r>
      <w:r w:rsidR="00216B64">
        <w:rPr>
          <w:rFonts w:ascii="Garamond" w:hAnsi="Garamond" w:cs="Arial"/>
          <w:sz w:val="32"/>
          <w:szCs w:val="32"/>
        </w:rPr>
        <w:t>l</w:t>
      </w:r>
      <w:r w:rsidR="00C12FD4">
        <w:rPr>
          <w:rFonts w:ascii="Garamond" w:hAnsi="Garamond" w:cs="Arial"/>
          <w:sz w:val="32"/>
          <w:szCs w:val="32"/>
        </w:rPr>
        <w:t xml:space="preserve"> rapporto con le fonti subordinate e, nel caso di</w:t>
      </w:r>
      <w:r w:rsidR="00216B64">
        <w:rPr>
          <w:rFonts w:ascii="Garamond" w:hAnsi="Garamond" w:cs="Arial"/>
          <w:sz w:val="32"/>
          <w:szCs w:val="32"/>
        </w:rPr>
        <w:t xml:space="preserve"> </w:t>
      </w:r>
      <w:r w:rsidR="00C12FD4">
        <w:rPr>
          <w:rFonts w:ascii="Garamond" w:hAnsi="Garamond" w:cs="Arial"/>
          <w:sz w:val="32"/>
          <w:szCs w:val="32"/>
        </w:rPr>
        <w:t>specie, la rilegificaz</w:t>
      </w:r>
      <w:r w:rsidR="00216B64">
        <w:rPr>
          <w:rFonts w:ascii="Garamond" w:hAnsi="Garamond" w:cs="Arial"/>
          <w:sz w:val="32"/>
          <w:szCs w:val="32"/>
        </w:rPr>
        <w:t>i</w:t>
      </w:r>
      <w:r w:rsidR="00C12FD4">
        <w:rPr>
          <w:rFonts w:ascii="Garamond" w:hAnsi="Garamond" w:cs="Arial"/>
          <w:sz w:val="32"/>
          <w:szCs w:val="32"/>
        </w:rPr>
        <w:t>one di materie disciplinate co</w:t>
      </w:r>
      <w:r w:rsidR="00532EF3">
        <w:rPr>
          <w:rFonts w:ascii="Garamond" w:hAnsi="Garamond" w:cs="Arial"/>
          <w:sz w:val="32"/>
          <w:szCs w:val="32"/>
        </w:rPr>
        <w:t>n</w:t>
      </w:r>
      <w:r w:rsidR="00C12FD4">
        <w:rPr>
          <w:rFonts w:ascii="Garamond" w:hAnsi="Garamond" w:cs="Arial"/>
          <w:sz w:val="32"/>
          <w:szCs w:val="32"/>
        </w:rPr>
        <w:t xml:space="preserve"> fonti regolamentari:</w:t>
      </w:r>
    </w:p>
    <w:p w:rsidR="00C12FD4" w:rsidRPr="00C12FD4" w:rsidRDefault="00C12FD4" w:rsidP="00C12FD4">
      <w:pPr>
        <w:rPr>
          <w:rFonts w:ascii="Garamond" w:hAnsi="Garamond" w:cs="Arial"/>
          <w:sz w:val="32"/>
          <w:szCs w:val="32"/>
        </w:rPr>
      </w:pPr>
      <w:r>
        <w:rPr>
          <w:rFonts w:ascii="Garamond" w:hAnsi="Garamond" w:cs="Arial"/>
          <w:sz w:val="32"/>
          <w:szCs w:val="32"/>
        </w:rPr>
        <w:t>«</w:t>
      </w:r>
      <w:r w:rsidRPr="00C12FD4">
        <w:rPr>
          <w:rFonts w:ascii="Garamond" w:hAnsi="Garamond" w:cs="Arial"/>
          <w:sz w:val="32"/>
          <w:szCs w:val="32"/>
        </w:rPr>
        <w:t>ribadendo il rilievo già più volte formulato dal Comitato sulla necessità che ciascuno strumento normativo sia utilizzato in modo coerente rispetto alle proprie caratteristiche, abbia cura il legislatore, sia in sede di iniziativa legislativa, sia nell’ambito delle procedure emendative parlamentari:</w:t>
      </w:r>
    </w:p>
    <w:p w:rsidR="00C12FD4" w:rsidRPr="00C12FD4" w:rsidRDefault="00C12FD4" w:rsidP="00C12FD4">
      <w:pPr>
        <w:numPr>
          <w:ilvl w:val="0"/>
          <w:numId w:val="18"/>
        </w:numPr>
        <w:rPr>
          <w:rFonts w:ascii="Garamond" w:hAnsi="Garamond" w:cs="Arial"/>
          <w:sz w:val="32"/>
          <w:szCs w:val="32"/>
        </w:rPr>
      </w:pPr>
      <w:r w:rsidRPr="00C12FD4">
        <w:rPr>
          <w:rFonts w:ascii="Garamond" w:hAnsi="Garamond" w:cs="Arial"/>
          <w:sz w:val="32"/>
          <w:szCs w:val="32"/>
        </w:rPr>
        <w:t xml:space="preserve">di attenersi alle indicazioni contenute nella giurisprudenza costituzionale circa la necessità di considerare lo stretto nesso intercorrente tra l’intrinseca coerenza delle norme contenute nel decreto-legge e la ricorrenza dei presupposti fattuali indicati al secondo comma dell’articolo 77 della Costituzione; </w:t>
      </w:r>
    </w:p>
    <w:p w:rsidR="00C12FD4" w:rsidRPr="00BD75AA" w:rsidRDefault="00C12FD4" w:rsidP="00BD75AA">
      <w:pPr>
        <w:pStyle w:val="Paragrafoelenco"/>
        <w:numPr>
          <w:ilvl w:val="0"/>
          <w:numId w:val="18"/>
        </w:numPr>
        <w:rPr>
          <w:rFonts w:ascii="Garamond" w:hAnsi="Garamond" w:cs="Arial"/>
          <w:sz w:val="32"/>
          <w:szCs w:val="32"/>
        </w:rPr>
      </w:pPr>
      <w:r w:rsidRPr="00BD75AA">
        <w:rPr>
          <w:rFonts w:ascii="Garamond" w:hAnsi="Garamond" w:cs="Arial"/>
          <w:sz w:val="32"/>
          <w:szCs w:val="32"/>
        </w:rPr>
        <w:lastRenderedPageBreak/>
        <w:t>di astenersi dal rilegificare materie disciplinate da fonti secondarie del diritto e di non assegnare a fonti atipiche compiti di tipo normativo che l’ordinamento riserva alle fonti secondarie del diritto."</w:t>
      </w:r>
      <w:r w:rsidR="00B928E0" w:rsidRPr="00BD75AA">
        <w:rPr>
          <w:rFonts w:ascii="Garamond" w:hAnsi="Garamond" w:cs="Arial"/>
          <w:sz w:val="32"/>
          <w:szCs w:val="32"/>
        </w:rPr>
        <w:t xml:space="preserve">  </w:t>
      </w:r>
      <w:r w:rsidR="00790917" w:rsidRPr="00BD75AA">
        <w:rPr>
          <w:rFonts w:ascii="Garamond" w:hAnsi="Garamond" w:cs="Arial"/>
          <w:sz w:val="32"/>
          <w:szCs w:val="32"/>
        </w:rPr>
        <w:t xml:space="preserve"> </w:t>
      </w:r>
    </w:p>
    <w:p w:rsidR="00D33273" w:rsidRPr="003505A6" w:rsidRDefault="00C12FD4" w:rsidP="00C12FD4">
      <w:pPr>
        <w:rPr>
          <w:rFonts w:ascii="Garamond" w:hAnsi="Garamond" w:cs="Arial"/>
          <w:sz w:val="32"/>
          <w:szCs w:val="32"/>
        </w:rPr>
      </w:pPr>
      <w:r>
        <w:rPr>
          <w:rFonts w:ascii="Garamond" w:hAnsi="Garamond" w:cs="Arial"/>
          <w:sz w:val="32"/>
          <w:szCs w:val="32"/>
        </w:rPr>
        <w:t>La condizione formulata nell’ambito del parere sul decre</w:t>
      </w:r>
      <w:r w:rsidR="00216B64">
        <w:rPr>
          <w:rFonts w:ascii="Garamond" w:hAnsi="Garamond" w:cs="Arial"/>
          <w:sz w:val="32"/>
          <w:szCs w:val="32"/>
        </w:rPr>
        <w:t>t</w:t>
      </w:r>
      <w:r>
        <w:rPr>
          <w:rFonts w:ascii="Garamond" w:hAnsi="Garamond" w:cs="Arial"/>
          <w:sz w:val="32"/>
          <w:szCs w:val="32"/>
        </w:rPr>
        <w:t>o-legge n. 67/2016 torna a proporre la diretta soppressione delle norme incidenti su disposizioni di delega: «</w:t>
      </w:r>
      <w:r w:rsidRPr="00C12FD4">
        <w:rPr>
          <w:rFonts w:ascii="Garamond" w:hAnsi="Garamond" w:cs="Arial"/>
          <w:sz w:val="32"/>
          <w:szCs w:val="32"/>
        </w:rPr>
        <w:t>alla luce dell’orientamento consolidato del Comitato per la legislazione, avvalorato dalla prassi della Presidenza della Camera in tema di inammissibilità degli emendamenti e tenuto conto delle sentenze della Corte costituzionale n. 22 del 2012 e n. 237 del 2013 richiamate in premessa, provvedano le Commissioni a sopprimere il comma 2 dell’articolo 1 del disegno di legge di conversione</w:t>
      </w:r>
      <w:r>
        <w:rPr>
          <w:rFonts w:ascii="Garamond" w:hAnsi="Garamond" w:cs="Arial"/>
          <w:sz w:val="32"/>
          <w:szCs w:val="32"/>
        </w:rPr>
        <w:t>».</w:t>
      </w:r>
    </w:p>
    <w:p w:rsidR="008D3A73" w:rsidRPr="003505A6" w:rsidRDefault="008D3A73" w:rsidP="008A35CA">
      <w:pPr>
        <w:rPr>
          <w:rFonts w:ascii="Garamond" w:hAnsi="Garamond" w:cs="Arial"/>
          <w:sz w:val="32"/>
          <w:szCs w:val="32"/>
        </w:rPr>
      </w:pPr>
    </w:p>
    <w:p w:rsidR="00683A29" w:rsidRPr="003505A6" w:rsidRDefault="0057307A" w:rsidP="0057307A">
      <w:pPr>
        <w:outlineLvl w:val="0"/>
        <w:rPr>
          <w:rFonts w:ascii="Garamond" w:hAnsi="Garamond"/>
          <w:sz w:val="32"/>
          <w:szCs w:val="32"/>
        </w:rPr>
      </w:pPr>
      <w:r w:rsidRPr="003505A6">
        <w:rPr>
          <w:rFonts w:ascii="Garamond" w:hAnsi="Garamond" w:cs="Arial"/>
          <w:sz w:val="32"/>
          <w:szCs w:val="32"/>
        </w:rPr>
        <w:t xml:space="preserve">♦ </w:t>
      </w:r>
      <w:r w:rsidR="00B252BB" w:rsidRPr="003505A6">
        <w:rPr>
          <w:rFonts w:ascii="Garamond" w:hAnsi="Garamond"/>
          <w:sz w:val="32"/>
          <w:szCs w:val="32"/>
        </w:rPr>
        <w:t>con riguard</w:t>
      </w:r>
      <w:r w:rsidR="00FA06F9" w:rsidRPr="003505A6">
        <w:rPr>
          <w:rFonts w:ascii="Garamond" w:hAnsi="Garamond"/>
          <w:sz w:val="32"/>
          <w:szCs w:val="32"/>
        </w:rPr>
        <w:t>o al profilo ordinamentale dell’</w:t>
      </w:r>
      <w:r w:rsidR="00B252BB" w:rsidRPr="00CD52E5">
        <w:rPr>
          <w:rFonts w:ascii="Garamond" w:hAnsi="Garamond"/>
          <w:sz w:val="32"/>
          <w:szCs w:val="32"/>
          <w:u w:val="single"/>
        </w:rPr>
        <w:t>immediata applicazione</w:t>
      </w:r>
      <w:r w:rsidR="00B252BB" w:rsidRPr="003505A6">
        <w:rPr>
          <w:rFonts w:ascii="Garamond" w:hAnsi="Garamond"/>
          <w:sz w:val="32"/>
          <w:szCs w:val="32"/>
        </w:rPr>
        <w:t>, il Comitato</w:t>
      </w:r>
      <w:r w:rsidR="0031056D" w:rsidRPr="003505A6">
        <w:rPr>
          <w:rFonts w:ascii="Garamond" w:hAnsi="Garamond"/>
          <w:sz w:val="32"/>
          <w:szCs w:val="32"/>
        </w:rPr>
        <w:t>:</w:t>
      </w:r>
      <w:r w:rsidR="00B252BB" w:rsidRPr="003505A6">
        <w:rPr>
          <w:rFonts w:ascii="Garamond" w:hAnsi="Garamond"/>
          <w:sz w:val="32"/>
          <w:szCs w:val="32"/>
        </w:rPr>
        <w:t xml:space="preserve"> </w:t>
      </w:r>
    </w:p>
    <w:p w:rsidR="00216B64" w:rsidRPr="005A2E57" w:rsidRDefault="0031056D" w:rsidP="00216B64">
      <w:pPr>
        <w:pStyle w:val="Paragrafoelenco"/>
        <w:numPr>
          <w:ilvl w:val="0"/>
          <w:numId w:val="14"/>
        </w:numPr>
        <w:outlineLvl w:val="0"/>
        <w:rPr>
          <w:rFonts w:ascii="Garamond" w:hAnsi="Garamond"/>
          <w:sz w:val="32"/>
          <w:szCs w:val="32"/>
        </w:rPr>
      </w:pPr>
      <w:r w:rsidRPr="00216B64">
        <w:rPr>
          <w:rFonts w:ascii="Garamond" w:hAnsi="Garamond"/>
          <w:sz w:val="32"/>
          <w:szCs w:val="32"/>
        </w:rPr>
        <w:t xml:space="preserve">nel parere sul decreto-legge </w:t>
      </w:r>
      <w:r w:rsidR="00683A29" w:rsidRPr="00216B64">
        <w:rPr>
          <w:rFonts w:ascii="Garamond" w:hAnsi="Garamond"/>
          <w:sz w:val="32"/>
          <w:szCs w:val="32"/>
        </w:rPr>
        <w:t xml:space="preserve">n. </w:t>
      </w:r>
      <w:r w:rsidR="00216B64" w:rsidRPr="00216B64">
        <w:rPr>
          <w:rFonts w:ascii="Garamond" w:hAnsi="Garamond"/>
          <w:sz w:val="32"/>
          <w:szCs w:val="32"/>
        </w:rPr>
        <w:t>18</w:t>
      </w:r>
      <w:r w:rsidR="00683A29" w:rsidRPr="00216B64">
        <w:rPr>
          <w:rFonts w:ascii="Garamond" w:hAnsi="Garamond"/>
          <w:sz w:val="32"/>
          <w:szCs w:val="32"/>
        </w:rPr>
        <w:t>/201</w:t>
      </w:r>
      <w:r w:rsidR="00216B64" w:rsidRPr="00216B64">
        <w:rPr>
          <w:rFonts w:ascii="Garamond" w:hAnsi="Garamond"/>
          <w:sz w:val="32"/>
          <w:szCs w:val="32"/>
        </w:rPr>
        <w:t>6</w:t>
      </w:r>
      <w:r w:rsidRPr="00216B64">
        <w:rPr>
          <w:rFonts w:ascii="Garamond" w:hAnsi="Garamond"/>
          <w:sz w:val="32"/>
          <w:szCs w:val="32"/>
        </w:rPr>
        <w:t xml:space="preserve"> (C. 36</w:t>
      </w:r>
      <w:r w:rsidR="00216B64" w:rsidRPr="00216B64">
        <w:rPr>
          <w:rFonts w:ascii="Garamond" w:hAnsi="Garamond"/>
          <w:sz w:val="32"/>
          <w:szCs w:val="32"/>
        </w:rPr>
        <w:t>06</w:t>
      </w:r>
      <w:r w:rsidRPr="00216B64">
        <w:rPr>
          <w:rFonts w:ascii="Garamond" w:hAnsi="Garamond"/>
          <w:sz w:val="32"/>
          <w:szCs w:val="32"/>
        </w:rPr>
        <w:t xml:space="preserve"> – </w:t>
      </w:r>
      <w:r w:rsidR="00216B64" w:rsidRPr="00216B64">
        <w:rPr>
          <w:rFonts w:ascii="Garamond" w:hAnsi="Garamond"/>
          <w:sz w:val="32"/>
          <w:szCs w:val="32"/>
        </w:rPr>
        <w:t>Banche di credito cooperativo</w:t>
      </w:r>
      <w:r w:rsidRPr="00216B64">
        <w:rPr>
          <w:rFonts w:ascii="Garamond" w:hAnsi="Garamond"/>
          <w:sz w:val="32"/>
          <w:szCs w:val="32"/>
        </w:rPr>
        <w:t>)</w:t>
      </w:r>
      <w:r w:rsidR="00683A29" w:rsidRPr="00216B64">
        <w:rPr>
          <w:rFonts w:ascii="Garamond" w:hAnsi="Garamond"/>
          <w:sz w:val="32"/>
          <w:szCs w:val="32"/>
        </w:rPr>
        <w:t xml:space="preserve"> </w:t>
      </w:r>
      <w:r w:rsidRPr="00216B64">
        <w:rPr>
          <w:rFonts w:ascii="Garamond" w:hAnsi="Garamond"/>
          <w:sz w:val="32"/>
          <w:szCs w:val="32"/>
        </w:rPr>
        <w:t xml:space="preserve">ha rilevato </w:t>
      </w:r>
      <w:r w:rsidR="00216B64" w:rsidRPr="00216B64">
        <w:rPr>
          <w:rFonts w:ascii="Garamond" w:hAnsi="Garamond"/>
          <w:sz w:val="32"/>
          <w:szCs w:val="32"/>
        </w:rPr>
        <w:t>nelle premesse che «all'articolo 2, comma 1, il decreto-legge dispone inoltre che, in sede di prima applicazione delle novelle introdotte nel decreto legislativo n. 385 del 1993 dall'articolo 1, comma 5 (articoli 37-</w:t>
      </w:r>
      <w:r w:rsidR="00216B64" w:rsidRPr="00216B64">
        <w:rPr>
          <w:rFonts w:ascii="Garamond" w:hAnsi="Garamond"/>
          <w:i/>
          <w:iCs/>
          <w:sz w:val="32"/>
          <w:szCs w:val="32"/>
        </w:rPr>
        <w:t>bis</w:t>
      </w:r>
      <w:r w:rsidR="00216B64" w:rsidRPr="00216B64">
        <w:rPr>
          <w:rFonts w:ascii="Garamond" w:hAnsi="Garamond"/>
          <w:sz w:val="32"/>
          <w:szCs w:val="32"/>
        </w:rPr>
        <w:t xml:space="preserve"> e 37-</w:t>
      </w:r>
      <w:r w:rsidR="00216B64" w:rsidRPr="00216B64">
        <w:rPr>
          <w:rFonts w:ascii="Garamond" w:hAnsi="Garamond"/>
          <w:i/>
          <w:iCs/>
          <w:sz w:val="32"/>
          <w:szCs w:val="32"/>
        </w:rPr>
        <w:t>ter</w:t>
      </w:r>
      <w:r w:rsidR="00216B64" w:rsidRPr="00216B64">
        <w:rPr>
          <w:rFonts w:ascii="Garamond" w:hAnsi="Garamond"/>
          <w:sz w:val="32"/>
          <w:szCs w:val="32"/>
        </w:rPr>
        <w:t>), la comunicazione prevista dal nuovo articolo 37-</w:t>
      </w:r>
      <w:r w:rsidR="00216B64" w:rsidRPr="00216B64">
        <w:rPr>
          <w:rFonts w:ascii="Garamond" w:hAnsi="Garamond"/>
          <w:i/>
          <w:iCs/>
          <w:sz w:val="32"/>
          <w:szCs w:val="32"/>
        </w:rPr>
        <w:t>ter</w:t>
      </w:r>
      <w:r w:rsidR="00216B64" w:rsidRPr="00216B64">
        <w:rPr>
          <w:rFonts w:ascii="Garamond" w:hAnsi="Garamond"/>
          <w:sz w:val="32"/>
          <w:szCs w:val="32"/>
        </w:rPr>
        <w:t xml:space="preserve"> “è inviata alla Banca d'Italia entro 18 mesi dall'entrata in vigore delle disposizioni emanate ai sensi dell'articolo 37-</w:t>
      </w:r>
      <w:r w:rsidR="00216B64" w:rsidRPr="00216B64">
        <w:rPr>
          <w:rFonts w:ascii="Garamond" w:hAnsi="Garamond"/>
          <w:i/>
          <w:iCs/>
          <w:sz w:val="32"/>
          <w:szCs w:val="32"/>
        </w:rPr>
        <w:t>bis</w:t>
      </w:r>
      <w:r w:rsidR="00216B64" w:rsidRPr="00216B64">
        <w:rPr>
          <w:rFonts w:ascii="Garamond" w:hAnsi="Garamond"/>
          <w:sz w:val="32"/>
          <w:szCs w:val="32"/>
        </w:rPr>
        <w:t xml:space="preserve">, comma 7”: si tratta di un decreto del Ministro dell'economia e delle finanze, sentita la Banca d'Italia, per la cui adozione non è tuttavia previsto alcun termine» (Scheda 9, punto 5); </w:t>
      </w:r>
      <w:r w:rsidR="00216B64" w:rsidRPr="005A2E57">
        <w:rPr>
          <w:rFonts w:ascii="Garamond" w:hAnsi="Garamond"/>
          <w:sz w:val="32"/>
          <w:szCs w:val="32"/>
        </w:rPr>
        <w:t xml:space="preserve">ne consegue la seguente osservazione: «per quanto detto in premessa ed anche al fine della rispondenza al requisito, previsto dall'articolo 15, comma 3, della legge n. 400 del 1988, della “immediata applicabilità” delle misure contenute nel </w:t>
      </w:r>
      <w:r w:rsidR="00216B64" w:rsidRPr="005A2E57">
        <w:rPr>
          <w:rFonts w:ascii="Garamond" w:hAnsi="Garamond"/>
          <w:sz w:val="32"/>
          <w:szCs w:val="32"/>
        </w:rPr>
        <w:lastRenderedPageBreak/>
        <w:t>decreto-legge – che, per costante indirizzo del Comitato per la legislazione, va valutata anche con riguardo ad eventuali effetti intermedi ed alla tempistica degli adempimenti previsti – si dovrebbe indicare il termine per l'adozione del decreto ministeriale previsto dall'articolo 1, comma 5, capoverso articolo 37-</w:t>
      </w:r>
      <w:r w:rsidR="00216B64" w:rsidRPr="005A2E57">
        <w:rPr>
          <w:rFonts w:ascii="Garamond" w:hAnsi="Garamond"/>
          <w:i/>
          <w:sz w:val="32"/>
          <w:szCs w:val="32"/>
        </w:rPr>
        <w:t>bis</w:t>
      </w:r>
      <w:r w:rsidR="00216B64" w:rsidRPr="005A2E57">
        <w:rPr>
          <w:rFonts w:ascii="Garamond" w:hAnsi="Garamond"/>
          <w:sz w:val="32"/>
          <w:szCs w:val="32"/>
        </w:rPr>
        <w:t>, comma 7, dalla cui adozione decorre a sua volta, in sede di prima applicazione, il termine di diciotto mesi per l'invio alla Banca d'Italia della comunicazione di cui all'articolo 37-</w:t>
      </w:r>
      <w:r w:rsidR="00216B64" w:rsidRPr="005A2E57">
        <w:rPr>
          <w:rFonts w:ascii="Garamond" w:hAnsi="Garamond"/>
          <w:i/>
          <w:sz w:val="32"/>
          <w:szCs w:val="32"/>
        </w:rPr>
        <w:t>ter</w:t>
      </w:r>
      <w:r w:rsidR="00216B64" w:rsidRPr="005A2E57">
        <w:rPr>
          <w:rFonts w:ascii="Garamond" w:hAnsi="Garamond"/>
          <w:sz w:val="32"/>
          <w:szCs w:val="32"/>
        </w:rPr>
        <w:t>, comma 1, funzionale alla costituzione del gruppo bancario cooperativo»;</w:t>
      </w:r>
    </w:p>
    <w:p w:rsidR="004713E0" w:rsidRPr="005A2E57" w:rsidRDefault="005A2E57" w:rsidP="00216B64">
      <w:pPr>
        <w:pStyle w:val="Paragrafoelenco"/>
        <w:numPr>
          <w:ilvl w:val="0"/>
          <w:numId w:val="14"/>
        </w:numPr>
        <w:outlineLvl w:val="0"/>
        <w:rPr>
          <w:rFonts w:ascii="Garamond" w:hAnsi="Garamond"/>
          <w:sz w:val="32"/>
          <w:szCs w:val="32"/>
        </w:rPr>
      </w:pPr>
      <w:r w:rsidRPr="005A2E57">
        <w:rPr>
          <w:rFonts w:ascii="Garamond" w:hAnsi="Garamond"/>
          <w:sz w:val="32"/>
          <w:szCs w:val="32"/>
        </w:rPr>
        <w:t>nel parere sul decr</w:t>
      </w:r>
      <w:r w:rsidR="00216B64" w:rsidRPr="005A2E57">
        <w:rPr>
          <w:rFonts w:ascii="Garamond" w:hAnsi="Garamond"/>
          <w:sz w:val="32"/>
          <w:szCs w:val="32"/>
        </w:rPr>
        <w:t>e</w:t>
      </w:r>
      <w:r w:rsidRPr="005A2E57">
        <w:rPr>
          <w:rFonts w:ascii="Garamond" w:hAnsi="Garamond"/>
          <w:sz w:val="32"/>
          <w:szCs w:val="32"/>
        </w:rPr>
        <w:t>t</w:t>
      </w:r>
      <w:r w:rsidR="00216B64" w:rsidRPr="005A2E57">
        <w:rPr>
          <w:rFonts w:ascii="Garamond" w:hAnsi="Garamond"/>
          <w:sz w:val="32"/>
          <w:szCs w:val="32"/>
        </w:rPr>
        <w:t xml:space="preserve">o-legge n. 42/2016, </w:t>
      </w:r>
      <w:r w:rsidRPr="005A2E57">
        <w:rPr>
          <w:rFonts w:ascii="Garamond" w:hAnsi="Garamond"/>
          <w:sz w:val="32"/>
          <w:szCs w:val="32"/>
        </w:rPr>
        <w:t>si limita a rilevare nelle premesse che «le disposizioni del decreto-legge sono, in generale, di immediata applicazione, come previsto dall’articolo 15, comma 3, della legge n. 400 del 1988; fa eccezione l’articolo 1-</w:t>
      </w:r>
      <w:r w:rsidRPr="005A2E57">
        <w:rPr>
          <w:rFonts w:ascii="Garamond" w:hAnsi="Garamond"/>
          <w:i/>
          <w:sz w:val="32"/>
          <w:szCs w:val="32"/>
        </w:rPr>
        <w:t>quinquies</w:t>
      </w:r>
      <w:r w:rsidRPr="005A2E57">
        <w:rPr>
          <w:rFonts w:ascii="Garamond" w:hAnsi="Garamond"/>
          <w:sz w:val="32"/>
          <w:szCs w:val="32"/>
        </w:rPr>
        <w:t xml:space="preserve">, inserito al Senato, che, con previsioni di carattere ordinamentale, al comma 1 istituisce, a decorrere dall’anno 2017, un contributo annuale alle scuole paritarie che accolgano studenti con disabilità, nel contempo disponendo, al comma 2, ai fini della verifica del mantenimento della parità, un accertamento annuale del rispetto del requisito relativo all’applicazione delle norme vigenti in materia di inserimento di studenti con handicap o in condizioni di svantaggio; in relazione a tali previsioni, per costante indirizzo del Comitato per la legislazione, la rispondenza al requisito della “immediata applicabilità” dovrebbe essere valutata anche con riguardo ad eventuali effetti intermedi ed alla tempistica di adempimenti previsti (che, nel caso </w:t>
      </w:r>
      <w:r w:rsidRPr="00736237">
        <w:rPr>
          <w:rFonts w:ascii="Garamond" w:hAnsi="Garamond"/>
          <w:sz w:val="32"/>
          <w:szCs w:val="32"/>
        </w:rPr>
        <w:t>di specie non sono espressamente indicati)» (</w:t>
      </w:r>
      <w:hyperlink r:id="rId55" w:anchor="S16a04" w:history="1">
        <w:r w:rsidRPr="00736237">
          <w:rPr>
            <w:rStyle w:val="Collegamentoipertestuale"/>
            <w:rFonts w:ascii="Garamond" w:hAnsi="Garamond"/>
            <w:sz w:val="32"/>
            <w:szCs w:val="32"/>
          </w:rPr>
          <w:t>Scheda 16, punto 4</w:t>
        </w:r>
      </w:hyperlink>
      <w:r w:rsidRPr="00736237">
        <w:rPr>
          <w:rFonts w:ascii="Garamond" w:hAnsi="Garamond"/>
          <w:sz w:val="32"/>
          <w:szCs w:val="32"/>
        </w:rPr>
        <w:t>).</w:t>
      </w:r>
      <w:bookmarkStart w:id="46" w:name="_Toc337653477"/>
    </w:p>
    <w:p w:rsidR="00B80024" w:rsidRPr="003505A6" w:rsidRDefault="00B80024" w:rsidP="004713E0">
      <w:pPr>
        <w:pStyle w:val="Titolo2"/>
        <w:spacing w:before="120" w:after="120"/>
        <w:ind w:left="709" w:hanging="709"/>
        <w:rPr>
          <w:rFonts w:ascii="Garamond" w:hAnsi="Garamond"/>
          <w:i/>
          <w:color w:val="0000FF"/>
          <w:sz w:val="40"/>
          <w:szCs w:val="40"/>
        </w:rPr>
        <w:sectPr w:rsidR="00B80024" w:rsidRPr="003505A6" w:rsidSect="009C3013">
          <w:footerReference w:type="even" r:id="rId56"/>
          <w:footerReference w:type="default" r:id="rId57"/>
          <w:headerReference w:type="first" r:id="rId58"/>
          <w:pgSz w:w="11906" w:h="16838" w:code="9"/>
          <w:pgMar w:top="1985" w:right="1985" w:bottom="1985" w:left="1985" w:header="1134" w:footer="1134" w:gutter="0"/>
          <w:cols w:sep="1" w:space="284"/>
          <w:docGrid w:linePitch="299"/>
        </w:sectPr>
      </w:pPr>
      <w:bookmarkStart w:id="47" w:name="_Toc337653491"/>
      <w:bookmarkStart w:id="48" w:name="_Toc342035931"/>
      <w:bookmarkStart w:id="49" w:name="_Toc384976868"/>
      <w:bookmarkStart w:id="50" w:name="_Toc261612342"/>
      <w:bookmarkStart w:id="51" w:name="_Toc337653487"/>
      <w:bookmarkEnd w:id="46"/>
    </w:p>
    <w:p w:rsidR="004713E0" w:rsidRPr="003505A6" w:rsidRDefault="004713E0" w:rsidP="004713E0">
      <w:pPr>
        <w:pStyle w:val="Titolo2"/>
        <w:spacing w:before="120" w:after="120"/>
        <w:ind w:left="709" w:hanging="709"/>
        <w:rPr>
          <w:rFonts w:ascii="Garamond" w:hAnsi="Garamond"/>
          <w:i/>
          <w:color w:val="0000FF"/>
          <w:sz w:val="40"/>
          <w:szCs w:val="40"/>
        </w:rPr>
      </w:pPr>
      <w:bookmarkStart w:id="52" w:name="_Toc458677973"/>
      <w:r w:rsidRPr="003505A6">
        <w:rPr>
          <w:rFonts w:ascii="Garamond" w:hAnsi="Garamond"/>
          <w:i/>
          <w:color w:val="0000FF"/>
          <w:sz w:val="40"/>
          <w:szCs w:val="40"/>
        </w:rPr>
        <w:lastRenderedPageBreak/>
        <w:t>4.</w:t>
      </w:r>
      <w:r w:rsidR="007D4AAE" w:rsidRPr="003505A6">
        <w:rPr>
          <w:rFonts w:ascii="Garamond" w:hAnsi="Garamond"/>
          <w:i/>
          <w:color w:val="0000FF"/>
          <w:sz w:val="40"/>
          <w:szCs w:val="40"/>
        </w:rPr>
        <w:t>7</w:t>
      </w:r>
      <w:r w:rsidRPr="003505A6">
        <w:rPr>
          <w:rFonts w:ascii="Garamond" w:hAnsi="Garamond"/>
          <w:i/>
          <w:color w:val="0000FF"/>
          <w:sz w:val="40"/>
          <w:szCs w:val="40"/>
        </w:rPr>
        <w:t>. Profili della legislazione delegata</w:t>
      </w:r>
      <w:bookmarkEnd w:id="47"/>
      <w:bookmarkEnd w:id="48"/>
      <w:bookmarkEnd w:id="49"/>
      <w:bookmarkEnd w:id="52"/>
    </w:p>
    <w:p w:rsidR="001033C1" w:rsidRPr="003505A6" w:rsidRDefault="001033C1" w:rsidP="004713E0">
      <w:pPr>
        <w:rPr>
          <w:rFonts w:ascii="Garamond" w:hAnsi="Garamond"/>
          <w:sz w:val="32"/>
          <w:szCs w:val="32"/>
        </w:rPr>
      </w:pPr>
      <w:r w:rsidRPr="003505A6">
        <w:rPr>
          <w:rFonts w:ascii="Garamond" w:hAnsi="Garamond"/>
          <w:sz w:val="32"/>
          <w:szCs w:val="32"/>
        </w:rPr>
        <w:t>Il Comitato ha espresso il parere su:</w:t>
      </w:r>
    </w:p>
    <w:p w:rsidR="001033C1" w:rsidRPr="003505A6" w:rsidRDefault="001033C1" w:rsidP="004713E0">
      <w:pPr>
        <w:rPr>
          <w:rFonts w:ascii="Garamond" w:hAnsi="Garamond"/>
          <w:sz w:val="32"/>
          <w:szCs w:val="32"/>
        </w:rPr>
      </w:pPr>
      <w:r w:rsidRPr="00C06C37">
        <w:rPr>
          <w:rFonts w:ascii="Garamond" w:hAnsi="Garamond"/>
          <w:b/>
          <w:color w:val="0000FF"/>
          <w:sz w:val="32"/>
          <w:szCs w:val="32"/>
        </w:rPr>
        <w:t>1</w:t>
      </w:r>
      <w:r w:rsidR="00C06C37" w:rsidRPr="00C06C37">
        <w:rPr>
          <w:rFonts w:ascii="Garamond" w:hAnsi="Garamond"/>
          <w:b/>
          <w:color w:val="0000FF"/>
          <w:sz w:val="32"/>
          <w:szCs w:val="32"/>
        </w:rPr>
        <w:t>3</w:t>
      </w:r>
      <w:r w:rsidRPr="003505A6">
        <w:rPr>
          <w:rFonts w:ascii="Garamond" w:hAnsi="Garamond"/>
          <w:sz w:val="32"/>
          <w:szCs w:val="32"/>
        </w:rPr>
        <w:t xml:space="preserve"> progetti di legge recanti disposizioni di delega (sul disegno di legge C. 2</w:t>
      </w:r>
      <w:r w:rsidR="00C06C37">
        <w:rPr>
          <w:rFonts w:ascii="Garamond" w:hAnsi="Garamond"/>
          <w:sz w:val="32"/>
          <w:szCs w:val="32"/>
        </w:rPr>
        <w:t>617-B</w:t>
      </w:r>
      <w:r w:rsidRPr="003505A6">
        <w:rPr>
          <w:rFonts w:ascii="Garamond" w:hAnsi="Garamond"/>
          <w:sz w:val="32"/>
          <w:szCs w:val="32"/>
        </w:rPr>
        <w:t xml:space="preserve"> si è pronunciato sia i</w:t>
      </w:r>
      <w:r w:rsidR="005A2E57">
        <w:rPr>
          <w:rFonts w:ascii="Garamond" w:hAnsi="Garamond"/>
          <w:sz w:val="32"/>
          <w:szCs w:val="32"/>
        </w:rPr>
        <w:t>n prima, sia in seconda lettura</w:t>
      </w:r>
      <w:r w:rsidRPr="003505A6">
        <w:rPr>
          <w:rFonts w:ascii="Garamond" w:hAnsi="Garamond"/>
          <w:sz w:val="32"/>
          <w:szCs w:val="32"/>
        </w:rPr>
        <w:t xml:space="preserve"> </w:t>
      </w:r>
    </w:p>
    <w:p w:rsidR="008D3A73" w:rsidRPr="003505A6" w:rsidRDefault="00C06C37" w:rsidP="004713E0">
      <w:pPr>
        <w:rPr>
          <w:rFonts w:ascii="Garamond" w:hAnsi="Garamond"/>
          <w:sz w:val="32"/>
          <w:szCs w:val="32"/>
        </w:rPr>
      </w:pPr>
      <w:r w:rsidRPr="00C06C37">
        <w:rPr>
          <w:rFonts w:ascii="Garamond" w:hAnsi="Garamond"/>
          <w:b/>
          <w:color w:val="0000FF"/>
          <w:sz w:val="32"/>
          <w:szCs w:val="32"/>
        </w:rPr>
        <w:t>1</w:t>
      </w:r>
      <w:r w:rsidR="001033C1" w:rsidRPr="003505A6">
        <w:rPr>
          <w:rFonts w:ascii="Garamond" w:hAnsi="Garamond"/>
          <w:sz w:val="32"/>
          <w:szCs w:val="32"/>
        </w:rPr>
        <w:t xml:space="preserve"> disegno di legge di conversione del decreto-legge n. </w:t>
      </w:r>
      <w:r>
        <w:rPr>
          <w:rFonts w:ascii="Garamond" w:hAnsi="Garamond"/>
          <w:sz w:val="32"/>
          <w:szCs w:val="32"/>
        </w:rPr>
        <w:t>185</w:t>
      </w:r>
      <w:r w:rsidR="001033C1" w:rsidRPr="003505A6">
        <w:rPr>
          <w:rFonts w:ascii="Garamond" w:hAnsi="Garamond"/>
          <w:sz w:val="32"/>
          <w:szCs w:val="32"/>
        </w:rPr>
        <w:t xml:space="preserve">/2015 </w:t>
      </w:r>
      <w:r w:rsidR="005A2E57">
        <w:rPr>
          <w:rFonts w:ascii="Garamond" w:hAnsi="Garamond"/>
          <w:sz w:val="32"/>
          <w:szCs w:val="32"/>
        </w:rPr>
        <w:t>contenente una nuova disposizione di delega</w:t>
      </w:r>
      <w:r w:rsidR="00D5132A">
        <w:rPr>
          <w:rFonts w:ascii="Garamond" w:hAnsi="Garamond"/>
          <w:sz w:val="32"/>
          <w:szCs w:val="32"/>
        </w:rPr>
        <w:t xml:space="preserve"> </w:t>
      </w:r>
      <w:r w:rsidR="001033C1" w:rsidRPr="003505A6">
        <w:rPr>
          <w:rFonts w:ascii="Garamond" w:hAnsi="Garamond"/>
          <w:sz w:val="32"/>
          <w:szCs w:val="32"/>
        </w:rPr>
        <w:t xml:space="preserve">(C. </w:t>
      </w:r>
      <w:r>
        <w:rPr>
          <w:rFonts w:ascii="Garamond" w:hAnsi="Garamond"/>
          <w:sz w:val="32"/>
          <w:szCs w:val="32"/>
        </w:rPr>
        <w:t>349</w:t>
      </w:r>
      <w:r w:rsidR="001033C1" w:rsidRPr="003505A6">
        <w:rPr>
          <w:rFonts w:ascii="Garamond" w:hAnsi="Garamond"/>
          <w:sz w:val="32"/>
          <w:szCs w:val="32"/>
        </w:rPr>
        <w:t xml:space="preserve">5 – </w:t>
      </w:r>
      <w:r>
        <w:rPr>
          <w:rFonts w:ascii="Garamond" w:hAnsi="Garamond"/>
          <w:sz w:val="32"/>
          <w:szCs w:val="32"/>
        </w:rPr>
        <w:t>territorio</w:t>
      </w:r>
      <w:r w:rsidR="001033C1" w:rsidRPr="003505A6">
        <w:rPr>
          <w:rFonts w:ascii="Garamond" w:hAnsi="Garamond"/>
          <w:sz w:val="32"/>
          <w:szCs w:val="32"/>
        </w:rPr>
        <w:t xml:space="preserve"> e p</w:t>
      </w:r>
      <w:r w:rsidR="008D3A73" w:rsidRPr="003505A6">
        <w:rPr>
          <w:rFonts w:ascii="Garamond" w:hAnsi="Garamond"/>
          <w:sz w:val="32"/>
          <w:szCs w:val="32"/>
        </w:rPr>
        <w:t xml:space="preserve">roroga termini </w:t>
      </w:r>
      <w:r>
        <w:rPr>
          <w:rFonts w:ascii="Garamond" w:hAnsi="Garamond"/>
          <w:sz w:val="32"/>
          <w:szCs w:val="32"/>
        </w:rPr>
        <w:t>deleghe per la revisione del bilancio dello Stato</w:t>
      </w:r>
      <w:r w:rsidR="008D3A73" w:rsidRPr="003505A6">
        <w:rPr>
          <w:rFonts w:ascii="Garamond" w:hAnsi="Garamond"/>
          <w:sz w:val="32"/>
          <w:szCs w:val="32"/>
        </w:rPr>
        <w:t>).</w:t>
      </w:r>
    </w:p>
    <w:p w:rsidR="004713E0" w:rsidRPr="003505A6" w:rsidRDefault="004713E0" w:rsidP="004713E0">
      <w:pPr>
        <w:rPr>
          <w:rFonts w:ascii="Garamond" w:hAnsi="Garamond"/>
          <w:sz w:val="32"/>
          <w:szCs w:val="32"/>
        </w:rPr>
      </w:pPr>
      <w:r w:rsidRPr="003505A6">
        <w:rPr>
          <w:rFonts w:ascii="Garamond" w:hAnsi="Garamond"/>
          <w:sz w:val="32"/>
          <w:szCs w:val="32"/>
        </w:rPr>
        <w:t>L’analisi del Comitato ha riguardato i seguenti aspetti problematici:</w:t>
      </w:r>
    </w:p>
    <w:p w:rsidR="004713E0" w:rsidRPr="003505A6" w:rsidRDefault="001033C1" w:rsidP="00E10E3E">
      <w:pPr>
        <w:numPr>
          <w:ilvl w:val="0"/>
          <w:numId w:val="11"/>
        </w:numPr>
        <w:rPr>
          <w:rFonts w:ascii="Garamond" w:hAnsi="Garamond"/>
          <w:sz w:val="32"/>
          <w:szCs w:val="32"/>
        </w:rPr>
      </w:pPr>
      <w:r w:rsidRPr="003505A6">
        <w:rPr>
          <w:rFonts w:ascii="Garamond" w:hAnsi="Garamond"/>
          <w:sz w:val="32"/>
          <w:szCs w:val="32"/>
        </w:rPr>
        <w:t>l</w:t>
      </w:r>
      <w:r w:rsidR="004713E0" w:rsidRPr="003505A6">
        <w:rPr>
          <w:rFonts w:ascii="Garamond" w:hAnsi="Garamond"/>
          <w:sz w:val="32"/>
          <w:szCs w:val="32"/>
        </w:rPr>
        <w:t xml:space="preserve">a scarsa </w:t>
      </w:r>
      <w:r w:rsidR="004713E0" w:rsidRPr="00C06C37">
        <w:rPr>
          <w:rFonts w:ascii="Garamond" w:hAnsi="Garamond"/>
          <w:sz w:val="32"/>
          <w:szCs w:val="32"/>
          <w:u w:val="single"/>
        </w:rPr>
        <w:t>definizione d</w:t>
      </w:r>
      <w:r w:rsidR="007A486B" w:rsidRPr="00C06C37">
        <w:rPr>
          <w:rFonts w:ascii="Garamond" w:hAnsi="Garamond"/>
          <w:sz w:val="32"/>
          <w:szCs w:val="32"/>
          <w:u w:val="single"/>
        </w:rPr>
        <w:t>ei principi e criteri direttivi</w:t>
      </w:r>
      <w:r w:rsidR="007A486B" w:rsidRPr="003505A6">
        <w:rPr>
          <w:rFonts w:ascii="Garamond" w:hAnsi="Garamond"/>
          <w:sz w:val="32"/>
          <w:szCs w:val="32"/>
        </w:rPr>
        <w:t xml:space="preserve">, </w:t>
      </w:r>
      <w:r w:rsidR="00521BAD" w:rsidRPr="003505A6">
        <w:rPr>
          <w:rFonts w:ascii="Garamond" w:hAnsi="Garamond"/>
          <w:sz w:val="32"/>
          <w:szCs w:val="32"/>
        </w:rPr>
        <w:t>rilevata nei pareri su</w:t>
      </w:r>
      <w:r w:rsidRPr="003505A6">
        <w:rPr>
          <w:rFonts w:ascii="Garamond" w:hAnsi="Garamond"/>
          <w:sz w:val="32"/>
          <w:szCs w:val="32"/>
        </w:rPr>
        <w:t xml:space="preserve"> </w:t>
      </w:r>
      <w:r w:rsidR="00C06C37">
        <w:rPr>
          <w:rFonts w:ascii="Garamond" w:hAnsi="Garamond"/>
          <w:sz w:val="32"/>
          <w:szCs w:val="32"/>
        </w:rPr>
        <w:t>4</w:t>
      </w:r>
      <w:r w:rsidRPr="003505A6">
        <w:rPr>
          <w:rFonts w:ascii="Garamond" w:hAnsi="Garamond"/>
          <w:sz w:val="32"/>
          <w:szCs w:val="32"/>
        </w:rPr>
        <w:t xml:space="preserve"> disegn</w:t>
      </w:r>
      <w:r w:rsidR="007A486B" w:rsidRPr="003505A6">
        <w:rPr>
          <w:rFonts w:ascii="Garamond" w:hAnsi="Garamond"/>
          <w:sz w:val="32"/>
          <w:szCs w:val="32"/>
        </w:rPr>
        <w:t>i di legge</w:t>
      </w:r>
      <w:r w:rsidRPr="003505A6">
        <w:rPr>
          <w:rFonts w:ascii="Garamond" w:hAnsi="Garamond"/>
          <w:sz w:val="32"/>
          <w:szCs w:val="32"/>
        </w:rPr>
        <w:t xml:space="preserve"> di iniziativa governativa</w:t>
      </w:r>
      <w:r w:rsidR="007A486B" w:rsidRPr="003505A6">
        <w:rPr>
          <w:rFonts w:ascii="Garamond" w:hAnsi="Garamond"/>
          <w:sz w:val="32"/>
          <w:szCs w:val="32"/>
        </w:rPr>
        <w:t xml:space="preserve"> (C. </w:t>
      </w:r>
      <w:r w:rsidRPr="003505A6">
        <w:rPr>
          <w:rFonts w:ascii="Garamond" w:hAnsi="Garamond"/>
          <w:sz w:val="32"/>
          <w:szCs w:val="32"/>
        </w:rPr>
        <w:t>2</w:t>
      </w:r>
      <w:r w:rsidR="00C06C37">
        <w:rPr>
          <w:rFonts w:ascii="Garamond" w:hAnsi="Garamond"/>
          <w:sz w:val="32"/>
          <w:szCs w:val="32"/>
        </w:rPr>
        <w:t>953</w:t>
      </w:r>
      <w:r w:rsidR="007A486B" w:rsidRPr="003505A6">
        <w:rPr>
          <w:rFonts w:ascii="Garamond" w:hAnsi="Garamond"/>
          <w:sz w:val="32"/>
          <w:szCs w:val="32"/>
        </w:rPr>
        <w:t xml:space="preserve"> </w:t>
      </w:r>
      <w:r w:rsidRPr="003505A6">
        <w:rPr>
          <w:rFonts w:ascii="Garamond" w:hAnsi="Garamond"/>
          <w:sz w:val="32"/>
          <w:szCs w:val="32"/>
        </w:rPr>
        <w:t xml:space="preserve">– </w:t>
      </w:r>
      <w:r w:rsidR="00C06C37">
        <w:rPr>
          <w:rFonts w:ascii="Garamond" w:hAnsi="Garamond"/>
          <w:sz w:val="32"/>
          <w:szCs w:val="32"/>
        </w:rPr>
        <w:t>processo civile</w:t>
      </w:r>
      <w:r w:rsidR="007A486B" w:rsidRPr="003505A6">
        <w:rPr>
          <w:rFonts w:ascii="Garamond" w:hAnsi="Garamond"/>
          <w:sz w:val="32"/>
          <w:szCs w:val="32"/>
        </w:rPr>
        <w:t xml:space="preserve">; C. </w:t>
      </w:r>
      <w:r w:rsidR="00C06C37">
        <w:rPr>
          <w:rFonts w:ascii="Garamond" w:hAnsi="Garamond"/>
          <w:sz w:val="32"/>
          <w:szCs w:val="32"/>
        </w:rPr>
        <w:t>3119</w:t>
      </w:r>
      <w:r w:rsidR="007A486B" w:rsidRPr="003505A6">
        <w:rPr>
          <w:rFonts w:ascii="Garamond" w:hAnsi="Garamond"/>
          <w:sz w:val="32"/>
          <w:szCs w:val="32"/>
        </w:rPr>
        <w:t xml:space="preserve"> </w:t>
      </w:r>
      <w:r w:rsidRPr="003505A6">
        <w:rPr>
          <w:rFonts w:ascii="Garamond" w:hAnsi="Garamond"/>
          <w:sz w:val="32"/>
          <w:szCs w:val="32"/>
        </w:rPr>
        <w:t xml:space="preserve">– </w:t>
      </w:r>
      <w:r w:rsidR="00C06C37">
        <w:rPr>
          <w:rFonts w:ascii="Garamond" w:hAnsi="Garamond"/>
          <w:sz w:val="32"/>
          <w:szCs w:val="32"/>
        </w:rPr>
        <w:t>collegato agricolo</w:t>
      </w:r>
      <w:r w:rsidR="007A486B" w:rsidRPr="003505A6">
        <w:rPr>
          <w:rFonts w:ascii="Garamond" w:hAnsi="Garamond"/>
          <w:sz w:val="32"/>
          <w:szCs w:val="32"/>
        </w:rPr>
        <w:t xml:space="preserve">; C. </w:t>
      </w:r>
      <w:r w:rsidRPr="003505A6">
        <w:rPr>
          <w:rFonts w:ascii="Garamond" w:hAnsi="Garamond"/>
          <w:sz w:val="32"/>
          <w:szCs w:val="32"/>
        </w:rPr>
        <w:t>3</w:t>
      </w:r>
      <w:r w:rsidR="00C06C37">
        <w:rPr>
          <w:rFonts w:ascii="Garamond" w:hAnsi="Garamond"/>
          <w:sz w:val="32"/>
          <w:szCs w:val="32"/>
        </w:rPr>
        <w:t>540</w:t>
      </w:r>
      <w:r w:rsidRPr="003505A6">
        <w:rPr>
          <w:rFonts w:ascii="Garamond" w:hAnsi="Garamond"/>
          <w:sz w:val="32"/>
          <w:szCs w:val="32"/>
        </w:rPr>
        <w:t xml:space="preserve"> – </w:t>
      </w:r>
      <w:r w:rsidR="00C06C37">
        <w:rPr>
          <w:rFonts w:ascii="Garamond" w:hAnsi="Garamond"/>
          <w:sz w:val="32"/>
          <w:szCs w:val="32"/>
        </w:rPr>
        <w:t>legge di delegazione europea 2015</w:t>
      </w:r>
      <w:r w:rsidR="00521BAD" w:rsidRPr="003505A6">
        <w:rPr>
          <w:rFonts w:ascii="Garamond" w:hAnsi="Garamond"/>
          <w:sz w:val="32"/>
          <w:szCs w:val="32"/>
        </w:rPr>
        <w:t xml:space="preserve">; C. </w:t>
      </w:r>
      <w:r w:rsidRPr="003505A6">
        <w:rPr>
          <w:rFonts w:ascii="Garamond" w:hAnsi="Garamond"/>
          <w:sz w:val="32"/>
          <w:szCs w:val="32"/>
        </w:rPr>
        <w:t>3</w:t>
      </w:r>
      <w:r w:rsidR="00C06C37">
        <w:rPr>
          <w:rFonts w:ascii="Garamond" w:hAnsi="Garamond"/>
          <w:sz w:val="32"/>
          <w:szCs w:val="32"/>
        </w:rPr>
        <w:t>5</w:t>
      </w:r>
      <w:r w:rsidRPr="003505A6">
        <w:rPr>
          <w:rFonts w:ascii="Garamond" w:hAnsi="Garamond"/>
          <w:sz w:val="32"/>
          <w:szCs w:val="32"/>
        </w:rPr>
        <w:t xml:space="preserve">94 – </w:t>
      </w:r>
      <w:r w:rsidR="00C06C37">
        <w:rPr>
          <w:rFonts w:ascii="Garamond" w:hAnsi="Garamond"/>
          <w:sz w:val="32"/>
          <w:szCs w:val="32"/>
        </w:rPr>
        <w:t>contrasto alla povertà</w:t>
      </w:r>
      <w:r w:rsidR="00521BAD" w:rsidRPr="003505A6">
        <w:rPr>
          <w:rFonts w:ascii="Garamond" w:hAnsi="Garamond"/>
          <w:sz w:val="32"/>
          <w:szCs w:val="32"/>
        </w:rPr>
        <w:t>)</w:t>
      </w:r>
      <w:r w:rsidR="00C06C37">
        <w:rPr>
          <w:rFonts w:ascii="Garamond" w:hAnsi="Garamond"/>
          <w:sz w:val="32"/>
          <w:szCs w:val="32"/>
        </w:rPr>
        <w:t xml:space="preserve"> e su 2 proposte di legge di iniziativa parlamentare (C. 3317 e abb. - delega Fondo editoria; C. 2212 – delega acque pubbliche e servizio idrico)</w:t>
      </w:r>
      <w:r w:rsidR="00521BAD" w:rsidRPr="003505A6">
        <w:rPr>
          <w:rFonts w:ascii="Garamond" w:hAnsi="Garamond"/>
          <w:sz w:val="32"/>
          <w:szCs w:val="32"/>
        </w:rPr>
        <w:t xml:space="preserve">; </w:t>
      </w:r>
    </w:p>
    <w:p w:rsidR="002A6687" w:rsidRPr="003505A6" w:rsidRDefault="004713E0" w:rsidP="00E10E3E">
      <w:pPr>
        <w:numPr>
          <w:ilvl w:val="0"/>
          <w:numId w:val="11"/>
        </w:numPr>
        <w:rPr>
          <w:rFonts w:ascii="Garamond" w:hAnsi="Garamond"/>
          <w:sz w:val="32"/>
          <w:szCs w:val="32"/>
        </w:rPr>
      </w:pPr>
      <w:r w:rsidRPr="003505A6">
        <w:rPr>
          <w:rFonts w:ascii="Garamond" w:hAnsi="Garamond"/>
          <w:sz w:val="32"/>
          <w:szCs w:val="32"/>
        </w:rPr>
        <w:t xml:space="preserve">la </w:t>
      </w:r>
      <w:r w:rsidRPr="00C06C37">
        <w:rPr>
          <w:rFonts w:ascii="Garamond" w:hAnsi="Garamond"/>
          <w:sz w:val="32"/>
          <w:szCs w:val="32"/>
          <w:u w:val="single"/>
        </w:rPr>
        <w:t xml:space="preserve">sovrapposizione tra principi, criteri </w:t>
      </w:r>
      <w:r w:rsidR="00934ABD" w:rsidRPr="00C06C37">
        <w:rPr>
          <w:rFonts w:ascii="Garamond" w:hAnsi="Garamond"/>
          <w:sz w:val="32"/>
          <w:szCs w:val="32"/>
          <w:u w:val="single"/>
        </w:rPr>
        <w:t xml:space="preserve">direttivi </w:t>
      </w:r>
      <w:r w:rsidR="00E50749" w:rsidRPr="00C06C37">
        <w:rPr>
          <w:rFonts w:ascii="Garamond" w:hAnsi="Garamond"/>
          <w:sz w:val="32"/>
          <w:szCs w:val="32"/>
          <w:u w:val="single"/>
        </w:rPr>
        <w:t>ed oggetto della delega</w:t>
      </w:r>
      <w:r w:rsidR="00713580" w:rsidRPr="003505A6">
        <w:rPr>
          <w:rFonts w:ascii="Garamond" w:hAnsi="Garamond"/>
          <w:sz w:val="32"/>
          <w:szCs w:val="32"/>
        </w:rPr>
        <w:t>, rilev</w:t>
      </w:r>
      <w:r w:rsidR="00E50749" w:rsidRPr="003505A6">
        <w:rPr>
          <w:rFonts w:ascii="Garamond" w:hAnsi="Garamond"/>
          <w:sz w:val="32"/>
          <w:szCs w:val="32"/>
        </w:rPr>
        <w:t xml:space="preserve">ata in </w:t>
      </w:r>
      <w:r w:rsidR="00125760">
        <w:rPr>
          <w:rFonts w:ascii="Garamond" w:hAnsi="Garamond"/>
          <w:sz w:val="32"/>
          <w:szCs w:val="32"/>
        </w:rPr>
        <w:t>4</w:t>
      </w:r>
      <w:r w:rsidR="00E50749" w:rsidRPr="003505A6">
        <w:rPr>
          <w:rFonts w:ascii="Garamond" w:hAnsi="Garamond"/>
          <w:sz w:val="32"/>
          <w:szCs w:val="32"/>
        </w:rPr>
        <w:t xml:space="preserve"> pareri</w:t>
      </w:r>
      <w:r w:rsidR="001033C1" w:rsidRPr="003505A6">
        <w:rPr>
          <w:rFonts w:ascii="Garamond" w:hAnsi="Garamond"/>
          <w:sz w:val="32"/>
          <w:szCs w:val="32"/>
        </w:rPr>
        <w:t xml:space="preserve">, su </w:t>
      </w:r>
      <w:r w:rsidR="00125760">
        <w:rPr>
          <w:rFonts w:ascii="Garamond" w:hAnsi="Garamond"/>
          <w:sz w:val="32"/>
          <w:szCs w:val="32"/>
        </w:rPr>
        <w:t>2</w:t>
      </w:r>
      <w:r w:rsidR="001033C1" w:rsidRPr="003505A6">
        <w:rPr>
          <w:rFonts w:ascii="Garamond" w:hAnsi="Garamond"/>
          <w:sz w:val="32"/>
          <w:szCs w:val="32"/>
        </w:rPr>
        <w:t xml:space="preserve"> disegni di le</w:t>
      </w:r>
      <w:r w:rsidR="008D3A73" w:rsidRPr="003505A6">
        <w:rPr>
          <w:rFonts w:ascii="Garamond" w:hAnsi="Garamond"/>
          <w:sz w:val="32"/>
          <w:szCs w:val="32"/>
        </w:rPr>
        <w:t>g</w:t>
      </w:r>
      <w:r w:rsidR="001033C1" w:rsidRPr="003505A6">
        <w:rPr>
          <w:rFonts w:ascii="Garamond" w:hAnsi="Garamond"/>
          <w:sz w:val="32"/>
          <w:szCs w:val="32"/>
        </w:rPr>
        <w:t xml:space="preserve">ge governativi (C. </w:t>
      </w:r>
      <w:r w:rsidR="00125760">
        <w:rPr>
          <w:rFonts w:ascii="Garamond" w:hAnsi="Garamond"/>
          <w:sz w:val="32"/>
          <w:szCs w:val="32"/>
        </w:rPr>
        <w:t>3119</w:t>
      </w:r>
      <w:r w:rsidR="001033C1" w:rsidRPr="003505A6">
        <w:rPr>
          <w:rFonts w:ascii="Garamond" w:hAnsi="Garamond"/>
          <w:sz w:val="32"/>
          <w:szCs w:val="32"/>
        </w:rPr>
        <w:t xml:space="preserve">; C. </w:t>
      </w:r>
      <w:r w:rsidR="00125760">
        <w:rPr>
          <w:rFonts w:ascii="Garamond" w:hAnsi="Garamond"/>
          <w:sz w:val="32"/>
          <w:szCs w:val="32"/>
        </w:rPr>
        <w:t xml:space="preserve">2039 nuovo testo – consumo del suolo) e su due proposte di legge </w:t>
      </w:r>
      <w:r w:rsidR="00D5132A">
        <w:rPr>
          <w:rFonts w:ascii="Garamond" w:hAnsi="Garamond"/>
          <w:sz w:val="32"/>
          <w:szCs w:val="32"/>
        </w:rPr>
        <w:t xml:space="preserve">di iniziativa </w:t>
      </w:r>
      <w:r w:rsidR="00125760">
        <w:rPr>
          <w:rFonts w:ascii="Garamond" w:hAnsi="Garamond"/>
          <w:sz w:val="32"/>
          <w:szCs w:val="32"/>
        </w:rPr>
        <w:t>parlamentar</w:t>
      </w:r>
      <w:r w:rsidR="00D5132A">
        <w:rPr>
          <w:rFonts w:ascii="Garamond" w:hAnsi="Garamond"/>
          <w:sz w:val="32"/>
          <w:szCs w:val="32"/>
        </w:rPr>
        <w:t>e</w:t>
      </w:r>
      <w:r w:rsidR="00125760">
        <w:rPr>
          <w:rFonts w:ascii="Garamond" w:hAnsi="Garamond"/>
          <w:sz w:val="32"/>
          <w:szCs w:val="32"/>
        </w:rPr>
        <w:t xml:space="preserve"> (</w:t>
      </w:r>
      <w:r w:rsidR="001033C1" w:rsidRPr="003505A6">
        <w:rPr>
          <w:rFonts w:ascii="Garamond" w:hAnsi="Garamond"/>
          <w:sz w:val="32"/>
          <w:szCs w:val="32"/>
        </w:rPr>
        <w:t xml:space="preserve">C. </w:t>
      </w:r>
      <w:r w:rsidR="00125760">
        <w:rPr>
          <w:rFonts w:ascii="Garamond" w:hAnsi="Garamond"/>
          <w:sz w:val="32"/>
          <w:szCs w:val="32"/>
        </w:rPr>
        <w:t>3317 e abb</w:t>
      </w:r>
      <w:r w:rsidR="001033C1" w:rsidRPr="003505A6">
        <w:rPr>
          <w:rFonts w:ascii="Garamond" w:hAnsi="Garamond"/>
          <w:sz w:val="32"/>
          <w:szCs w:val="32"/>
        </w:rPr>
        <w:t xml:space="preserve">; C. </w:t>
      </w:r>
      <w:r w:rsidR="00125760">
        <w:rPr>
          <w:rFonts w:ascii="Garamond" w:hAnsi="Garamond"/>
          <w:sz w:val="32"/>
          <w:szCs w:val="32"/>
        </w:rPr>
        <w:t>1460-B – ratifica Convenzione su assistenza giudiziaria penale</w:t>
      </w:r>
      <w:r w:rsidR="001033C1" w:rsidRPr="003505A6">
        <w:rPr>
          <w:rFonts w:ascii="Garamond" w:hAnsi="Garamond"/>
          <w:sz w:val="32"/>
          <w:szCs w:val="32"/>
        </w:rPr>
        <w:t>)</w:t>
      </w:r>
      <w:r w:rsidR="00A03DB9">
        <w:rPr>
          <w:rFonts w:ascii="Garamond" w:hAnsi="Garamond"/>
          <w:sz w:val="32"/>
          <w:szCs w:val="32"/>
        </w:rPr>
        <w:t>;</w:t>
      </w:r>
      <w:r w:rsidR="00713580" w:rsidRPr="003505A6">
        <w:rPr>
          <w:rFonts w:ascii="Garamond" w:hAnsi="Garamond"/>
          <w:sz w:val="32"/>
          <w:szCs w:val="32"/>
        </w:rPr>
        <w:t xml:space="preserve"> </w:t>
      </w:r>
    </w:p>
    <w:p w:rsidR="002A6687" w:rsidRPr="003505A6" w:rsidRDefault="00713580" w:rsidP="005654AF">
      <w:pPr>
        <w:numPr>
          <w:ilvl w:val="0"/>
          <w:numId w:val="11"/>
        </w:numPr>
        <w:rPr>
          <w:rFonts w:ascii="Garamond" w:hAnsi="Garamond" w:cs="Arial"/>
          <w:sz w:val="32"/>
          <w:szCs w:val="32"/>
        </w:rPr>
      </w:pPr>
      <w:r w:rsidRPr="003505A6">
        <w:rPr>
          <w:rFonts w:ascii="Garamond" w:hAnsi="Garamond"/>
          <w:sz w:val="32"/>
          <w:szCs w:val="32"/>
        </w:rPr>
        <w:t xml:space="preserve">la </w:t>
      </w:r>
      <w:r w:rsidRPr="00A03DB9">
        <w:rPr>
          <w:rFonts w:ascii="Garamond" w:hAnsi="Garamond"/>
          <w:sz w:val="32"/>
          <w:szCs w:val="32"/>
          <w:u w:val="single"/>
        </w:rPr>
        <w:t>possibilità di scegliere tra più opzioni alternative</w:t>
      </w:r>
      <w:r w:rsidRPr="003505A6">
        <w:rPr>
          <w:rFonts w:ascii="Garamond" w:hAnsi="Garamond"/>
          <w:sz w:val="32"/>
          <w:szCs w:val="32"/>
        </w:rPr>
        <w:t xml:space="preserve"> </w:t>
      </w:r>
      <w:r w:rsidR="001033C1" w:rsidRPr="003505A6">
        <w:rPr>
          <w:rFonts w:ascii="Garamond" w:hAnsi="Garamond"/>
          <w:sz w:val="32"/>
          <w:szCs w:val="32"/>
        </w:rPr>
        <w:t xml:space="preserve">è rilevata in </w:t>
      </w:r>
      <w:r w:rsidR="00A03DB9">
        <w:rPr>
          <w:rFonts w:ascii="Garamond" w:hAnsi="Garamond"/>
          <w:sz w:val="32"/>
          <w:szCs w:val="32"/>
        </w:rPr>
        <w:t>1</w:t>
      </w:r>
      <w:r w:rsidR="001033C1" w:rsidRPr="003505A6">
        <w:rPr>
          <w:rFonts w:ascii="Garamond" w:hAnsi="Garamond"/>
          <w:sz w:val="32"/>
          <w:szCs w:val="32"/>
        </w:rPr>
        <w:t xml:space="preserve"> parer</w:t>
      </w:r>
      <w:r w:rsidR="00A03DB9">
        <w:rPr>
          <w:rFonts w:ascii="Garamond" w:hAnsi="Garamond"/>
          <w:sz w:val="32"/>
          <w:szCs w:val="32"/>
        </w:rPr>
        <w:t>e</w:t>
      </w:r>
      <w:r w:rsidR="001033C1" w:rsidRPr="003505A6">
        <w:rPr>
          <w:rFonts w:ascii="Garamond" w:hAnsi="Garamond"/>
          <w:sz w:val="32"/>
          <w:szCs w:val="32"/>
        </w:rPr>
        <w:t>, su</w:t>
      </w:r>
      <w:r w:rsidR="007700C0">
        <w:rPr>
          <w:rFonts w:ascii="Garamond" w:hAnsi="Garamond"/>
          <w:sz w:val="32"/>
          <w:szCs w:val="32"/>
        </w:rPr>
        <w:t>l</w:t>
      </w:r>
      <w:r w:rsidR="001033C1" w:rsidRPr="003505A6">
        <w:rPr>
          <w:rFonts w:ascii="Garamond" w:hAnsi="Garamond"/>
          <w:sz w:val="32"/>
          <w:szCs w:val="32"/>
        </w:rPr>
        <w:t xml:space="preserve">  disegn</w:t>
      </w:r>
      <w:r w:rsidR="00A03DB9">
        <w:rPr>
          <w:rFonts w:ascii="Garamond" w:hAnsi="Garamond"/>
          <w:sz w:val="32"/>
          <w:szCs w:val="32"/>
        </w:rPr>
        <w:t>o</w:t>
      </w:r>
      <w:r w:rsidR="001033C1" w:rsidRPr="003505A6">
        <w:rPr>
          <w:rFonts w:ascii="Garamond" w:hAnsi="Garamond"/>
          <w:sz w:val="32"/>
          <w:szCs w:val="32"/>
        </w:rPr>
        <w:t xml:space="preserve"> di </w:t>
      </w:r>
      <w:r w:rsidR="007700C0">
        <w:rPr>
          <w:rFonts w:ascii="Garamond" w:hAnsi="Garamond"/>
          <w:sz w:val="32"/>
          <w:szCs w:val="32"/>
        </w:rPr>
        <w:t>legge di delegazione europea 2015</w:t>
      </w:r>
      <w:r w:rsidR="001033C1" w:rsidRPr="003505A6">
        <w:rPr>
          <w:rFonts w:ascii="Garamond" w:hAnsi="Garamond"/>
          <w:sz w:val="32"/>
          <w:szCs w:val="32"/>
        </w:rPr>
        <w:t xml:space="preserve"> (</w:t>
      </w:r>
      <w:r w:rsidR="00216818" w:rsidRPr="003505A6">
        <w:rPr>
          <w:rFonts w:ascii="Garamond" w:hAnsi="Garamond"/>
          <w:sz w:val="32"/>
          <w:szCs w:val="32"/>
        </w:rPr>
        <w:t xml:space="preserve">C. </w:t>
      </w:r>
      <w:r w:rsidR="00A03DB9">
        <w:rPr>
          <w:rFonts w:ascii="Garamond" w:hAnsi="Garamond"/>
          <w:sz w:val="32"/>
          <w:szCs w:val="32"/>
        </w:rPr>
        <w:t>3540)</w:t>
      </w:r>
      <w:r w:rsidR="001033C1" w:rsidRPr="003505A6">
        <w:rPr>
          <w:rFonts w:ascii="Garamond" w:hAnsi="Garamond"/>
          <w:sz w:val="32"/>
          <w:szCs w:val="32"/>
        </w:rPr>
        <w:t>;</w:t>
      </w:r>
      <w:r w:rsidRPr="003505A6">
        <w:rPr>
          <w:rFonts w:ascii="Garamond" w:hAnsi="Garamond"/>
          <w:sz w:val="32"/>
          <w:szCs w:val="32"/>
        </w:rPr>
        <w:t xml:space="preserve"> </w:t>
      </w:r>
    </w:p>
    <w:p w:rsidR="00D27EAB" w:rsidRDefault="004713E0" w:rsidP="002D3B7D">
      <w:pPr>
        <w:numPr>
          <w:ilvl w:val="0"/>
          <w:numId w:val="11"/>
        </w:numPr>
        <w:rPr>
          <w:rFonts w:ascii="Garamond" w:hAnsi="Garamond"/>
          <w:sz w:val="32"/>
          <w:szCs w:val="32"/>
        </w:rPr>
      </w:pPr>
      <w:r w:rsidRPr="003505A6">
        <w:rPr>
          <w:rFonts w:ascii="Garamond" w:hAnsi="Garamond"/>
          <w:sz w:val="32"/>
          <w:szCs w:val="32"/>
        </w:rPr>
        <w:t xml:space="preserve">le </w:t>
      </w:r>
      <w:r w:rsidRPr="00A03DB9">
        <w:rPr>
          <w:rFonts w:ascii="Garamond" w:hAnsi="Garamond"/>
          <w:sz w:val="32"/>
          <w:szCs w:val="32"/>
          <w:u w:val="single"/>
        </w:rPr>
        <w:t>procedure di delega</w:t>
      </w:r>
      <w:r w:rsidRPr="003505A6">
        <w:rPr>
          <w:rFonts w:ascii="Garamond" w:hAnsi="Garamond"/>
          <w:sz w:val="32"/>
          <w:szCs w:val="32"/>
        </w:rPr>
        <w:t>. In particolare, l’attenzione del Comitato si è concentrata sulla necessità di individuare termini certi e conoscibili per l’esercizio della delega, evitando tecniche di “scorrimento” di tali termini. Ne</w:t>
      </w:r>
      <w:r w:rsidR="008948AB" w:rsidRPr="003505A6">
        <w:rPr>
          <w:rFonts w:ascii="Garamond" w:hAnsi="Garamond"/>
          <w:sz w:val="32"/>
          <w:szCs w:val="32"/>
        </w:rPr>
        <w:t>i pareri</w:t>
      </w:r>
      <w:r w:rsidRPr="003505A6">
        <w:rPr>
          <w:rFonts w:ascii="Garamond" w:hAnsi="Garamond"/>
          <w:sz w:val="32"/>
          <w:szCs w:val="32"/>
        </w:rPr>
        <w:t xml:space="preserve"> </w:t>
      </w:r>
      <w:r w:rsidR="008948AB" w:rsidRPr="003505A6">
        <w:rPr>
          <w:rFonts w:ascii="Garamond" w:hAnsi="Garamond"/>
          <w:sz w:val="32"/>
          <w:szCs w:val="32"/>
        </w:rPr>
        <w:t>su</w:t>
      </w:r>
      <w:r w:rsidR="00EE2CD5" w:rsidRPr="003505A6">
        <w:rPr>
          <w:rFonts w:ascii="Garamond" w:hAnsi="Garamond"/>
          <w:sz w:val="32"/>
          <w:szCs w:val="32"/>
        </w:rPr>
        <w:t xml:space="preserve">l disegno di legge di conversione C. </w:t>
      </w:r>
      <w:r w:rsidR="008D05BD">
        <w:rPr>
          <w:rFonts w:ascii="Garamond" w:hAnsi="Garamond"/>
          <w:sz w:val="32"/>
          <w:szCs w:val="32"/>
        </w:rPr>
        <w:t>349</w:t>
      </w:r>
      <w:r w:rsidR="00EE2CD5" w:rsidRPr="003505A6">
        <w:rPr>
          <w:rFonts w:ascii="Garamond" w:hAnsi="Garamond"/>
          <w:sz w:val="32"/>
          <w:szCs w:val="32"/>
        </w:rPr>
        <w:t>5</w:t>
      </w:r>
      <w:r w:rsidR="002D3B7D">
        <w:rPr>
          <w:rFonts w:ascii="Garamond" w:hAnsi="Garamond"/>
          <w:sz w:val="32"/>
          <w:szCs w:val="32"/>
        </w:rPr>
        <w:t>, sul</w:t>
      </w:r>
      <w:r w:rsidR="00D5132A">
        <w:rPr>
          <w:rFonts w:ascii="Garamond" w:hAnsi="Garamond"/>
          <w:sz w:val="32"/>
          <w:szCs w:val="32"/>
        </w:rPr>
        <w:t>la</w:t>
      </w:r>
      <w:r w:rsidR="002D3B7D">
        <w:rPr>
          <w:rFonts w:ascii="Garamond" w:hAnsi="Garamond"/>
          <w:sz w:val="32"/>
          <w:szCs w:val="32"/>
        </w:rPr>
        <w:t xml:space="preserve"> </w:t>
      </w:r>
      <w:r w:rsidR="00D5132A">
        <w:rPr>
          <w:rFonts w:ascii="Garamond" w:hAnsi="Garamond"/>
          <w:sz w:val="32"/>
          <w:szCs w:val="32"/>
        </w:rPr>
        <w:t>proposta</w:t>
      </w:r>
      <w:r w:rsidR="002D3B7D">
        <w:rPr>
          <w:rFonts w:ascii="Garamond" w:hAnsi="Garamond"/>
          <w:sz w:val="32"/>
          <w:szCs w:val="32"/>
        </w:rPr>
        <w:t xml:space="preserve"> di legge </w:t>
      </w:r>
      <w:r w:rsidR="00D5132A">
        <w:rPr>
          <w:rFonts w:ascii="Garamond" w:hAnsi="Garamond"/>
          <w:sz w:val="32"/>
          <w:szCs w:val="32"/>
        </w:rPr>
        <w:t xml:space="preserve">di iniziativa </w:t>
      </w:r>
      <w:r w:rsidR="002D3B7D">
        <w:rPr>
          <w:rFonts w:ascii="Garamond" w:hAnsi="Garamond"/>
          <w:sz w:val="32"/>
          <w:szCs w:val="32"/>
        </w:rPr>
        <w:t xml:space="preserve">parlamentare </w:t>
      </w:r>
      <w:r w:rsidR="00AB2587">
        <w:rPr>
          <w:rFonts w:ascii="Garamond" w:hAnsi="Garamond"/>
          <w:sz w:val="32"/>
          <w:szCs w:val="32"/>
        </w:rPr>
        <w:t xml:space="preserve">C. </w:t>
      </w:r>
      <w:r w:rsidR="002D3B7D">
        <w:rPr>
          <w:rFonts w:ascii="Garamond" w:hAnsi="Garamond"/>
          <w:sz w:val="32"/>
          <w:szCs w:val="32"/>
        </w:rPr>
        <w:t>3634</w:t>
      </w:r>
      <w:r w:rsidR="00EE2CD5" w:rsidRPr="003505A6">
        <w:rPr>
          <w:rFonts w:ascii="Garamond" w:hAnsi="Garamond"/>
          <w:sz w:val="32"/>
          <w:szCs w:val="32"/>
        </w:rPr>
        <w:t xml:space="preserve"> e su altri </w:t>
      </w:r>
      <w:r w:rsidR="008D05BD">
        <w:rPr>
          <w:rFonts w:ascii="Garamond" w:hAnsi="Garamond"/>
          <w:sz w:val="32"/>
          <w:szCs w:val="32"/>
        </w:rPr>
        <w:t>6</w:t>
      </w:r>
      <w:r w:rsidR="00EE2CD5" w:rsidRPr="003505A6">
        <w:rPr>
          <w:rFonts w:ascii="Garamond" w:hAnsi="Garamond"/>
          <w:sz w:val="32"/>
          <w:szCs w:val="32"/>
        </w:rPr>
        <w:t xml:space="preserve"> disegni di legge governativi (C. 29</w:t>
      </w:r>
      <w:r w:rsidR="008D05BD">
        <w:rPr>
          <w:rFonts w:ascii="Garamond" w:hAnsi="Garamond"/>
          <w:sz w:val="32"/>
          <w:szCs w:val="32"/>
        </w:rPr>
        <w:t>53</w:t>
      </w:r>
      <w:r w:rsidR="00EE2CD5" w:rsidRPr="003505A6">
        <w:rPr>
          <w:rFonts w:ascii="Garamond" w:hAnsi="Garamond"/>
          <w:sz w:val="32"/>
          <w:szCs w:val="32"/>
        </w:rPr>
        <w:t>; C. 3</w:t>
      </w:r>
      <w:r w:rsidR="008D05BD">
        <w:rPr>
          <w:rFonts w:ascii="Garamond" w:hAnsi="Garamond"/>
          <w:sz w:val="32"/>
          <w:szCs w:val="32"/>
        </w:rPr>
        <w:t>119</w:t>
      </w:r>
      <w:r w:rsidR="00EE2CD5" w:rsidRPr="003505A6">
        <w:rPr>
          <w:rFonts w:ascii="Garamond" w:hAnsi="Garamond"/>
          <w:sz w:val="32"/>
          <w:szCs w:val="32"/>
        </w:rPr>
        <w:t>; C. 2</w:t>
      </w:r>
      <w:r w:rsidR="008D05BD">
        <w:rPr>
          <w:rFonts w:ascii="Garamond" w:hAnsi="Garamond"/>
          <w:sz w:val="32"/>
          <w:szCs w:val="32"/>
        </w:rPr>
        <w:t>039 NT</w:t>
      </w:r>
      <w:r w:rsidR="00EE2CD5" w:rsidRPr="003505A6">
        <w:rPr>
          <w:rFonts w:ascii="Garamond" w:hAnsi="Garamond"/>
          <w:sz w:val="32"/>
          <w:szCs w:val="32"/>
        </w:rPr>
        <w:t>; C. 3</w:t>
      </w:r>
      <w:r w:rsidR="008D05BD">
        <w:rPr>
          <w:rFonts w:ascii="Garamond" w:hAnsi="Garamond"/>
          <w:sz w:val="32"/>
          <w:szCs w:val="32"/>
        </w:rPr>
        <w:t xml:space="preserve">672 – </w:t>
      </w:r>
      <w:r w:rsidR="008D05BD">
        <w:rPr>
          <w:rFonts w:ascii="Garamond" w:hAnsi="Garamond"/>
          <w:sz w:val="32"/>
          <w:szCs w:val="32"/>
        </w:rPr>
        <w:lastRenderedPageBreak/>
        <w:t>delega su magistratura ordinaria e giudici di pace; C. 3594; C. 3821 – legge europea 2015 - 2016</w:t>
      </w:r>
      <w:r w:rsidR="00EE2CD5" w:rsidRPr="003505A6">
        <w:rPr>
          <w:rFonts w:ascii="Garamond" w:hAnsi="Garamond"/>
          <w:sz w:val="32"/>
          <w:szCs w:val="32"/>
        </w:rPr>
        <w:t>)</w:t>
      </w:r>
      <w:r w:rsidR="008948AB" w:rsidRPr="003505A6">
        <w:rPr>
          <w:rFonts w:ascii="Garamond" w:hAnsi="Garamond"/>
          <w:sz w:val="32"/>
          <w:szCs w:val="32"/>
        </w:rPr>
        <w:t xml:space="preserve"> il </w:t>
      </w:r>
      <w:r w:rsidRPr="003505A6">
        <w:rPr>
          <w:rFonts w:ascii="Garamond" w:hAnsi="Garamond"/>
          <w:sz w:val="32"/>
          <w:szCs w:val="32"/>
        </w:rPr>
        <w:t>Comitato constata</w:t>
      </w:r>
      <w:r w:rsidR="008948AB" w:rsidRPr="003505A6">
        <w:rPr>
          <w:rFonts w:ascii="Garamond" w:hAnsi="Garamond"/>
          <w:sz w:val="32"/>
          <w:szCs w:val="32"/>
        </w:rPr>
        <w:t xml:space="preserve"> nelle premesse </w:t>
      </w:r>
      <w:r w:rsidR="007A486B" w:rsidRPr="003505A6">
        <w:rPr>
          <w:rFonts w:ascii="Garamond" w:hAnsi="Garamond"/>
          <w:sz w:val="32"/>
          <w:szCs w:val="32"/>
        </w:rPr>
        <w:t>(</w:t>
      </w:r>
      <w:hyperlink r:id="rId59" w:anchor="S04a01" w:history="1">
        <w:r w:rsidR="000741D7">
          <w:rPr>
            <w:rStyle w:val="Collegamentoipertestuale"/>
            <w:rFonts w:ascii="Garamond" w:hAnsi="Garamond"/>
            <w:sz w:val="32"/>
            <w:szCs w:val="32"/>
          </w:rPr>
          <w:t>Scheda 4, punto 1</w:t>
        </w:r>
      </w:hyperlink>
      <w:r w:rsidR="007A486B" w:rsidRPr="003505A6">
        <w:rPr>
          <w:rFonts w:ascii="Garamond" w:hAnsi="Garamond"/>
          <w:sz w:val="32"/>
          <w:szCs w:val="32"/>
        </w:rPr>
        <w:t xml:space="preserve">; </w:t>
      </w:r>
      <w:hyperlink r:id="rId60" w:anchor="S05a03" w:history="1">
        <w:r w:rsidR="000741D7">
          <w:rPr>
            <w:rStyle w:val="Collegamentoipertestuale"/>
            <w:rFonts w:ascii="Garamond" w:hAnsi="Garamond"/>
            <w:sz w:val="32"/>
            <w:szCs w:val="32"/>
          </w:rPr>
          <w:t>Scheda 5, punto 3</w:t>
        </w:r>
      </w:hyperlink>
      <w:r w:rsidR="007A486B" w:rsidRPr="003505A6">
        <w:rPr>
          <w:rFonts w:ascii="Garamond" w:hAnsi="Garamond"/>
          <w:sz w:val="32"/>
          <w:szCs w:val="32"/>
        </w:rPr>
        <w:t xml:space="preserve">; </w:t>
      </w:r>
      <w:hyperlink r:id="rId61" w:anchor="S08a08" w:history="1">
        <w:r w:rsidR="000741D7">
          <w:rPr>
            <w:rStyle w:val="Collegamentoipertestuale"/>
            <w:rFonts w:ascii="Garamond" w:hAnsi="Garamond"/>
            <w:sz w:val="32"/>
            <w:szCs w:val="32"/>
          </w:rPr>
          <w:t>Scheda 8, punto 8</w:t>
        </w:r>
      </w:hyperlink>
      <w:r w:rsidR="00EE2CD5" w:rsidRPr="003505A6">
        <w:rPr>
          <w:rFonts w:ascii="Garamond" w:hAnsi="Garamond"/>
          <w:sz w:val="32"/>
          <w:szCs w:val="32"/>
        </w:rPr>
        <w:t xml:space="preserve">; </w:t>
      </w:r>
      <w:hyperlink r:id="rId62" w:anchor="S10a08" w:history="1">
        <w:r w:rsidR="000741D7" w:rsidRPr="000741D7">
          <w:rPr>
            <w:rStyle w:val="Collegamentoipertestuale"/>
            <w:rFonts w:ascii="Garamond" w:hAnsi="Garamond"/>
            <w:sz w:val="32"/>
            <w:szCs w:val="32"/>
          </w:rPr>
          <w:t>Scheda 10, punto 8</w:t>
        </w:r>
      </w:hyperlink>
      <w:r w:rsidR="00EE2CD5" w:rsidRPr="003505A6">
        <w:rPr>
          <w:rFonts w:ascii="Garamond" w:hAnsi="Garamond"/>
          <w:sz w:val="32"/>
          <w:szCs w:val="32"/>
        </w:rPr>
        <w:t xml:space="preserve">; </w:t>
      </w:r>
      <w:hyperlink r:id="rId63" w:anchor="S13a10" w:history="1">
        <w:r w:rsidR="00CE623D" w:rsidRPr="00CE623D">
          <w:rPr>
            <w:rStyle w:val="Collegamentoipertestuale"/>
            <w:rFonts w:ascii="Garamond" w:hAnsi="Garamond"/>
            <w:sz w:val="32"/>
            <w:szCs w:val="32"/>
          </w:rPr>
          <w:t>Scheda 13, punto 10</w:t>
        </w:r>
      </w:hyperlink>
      <w:r w:rsidR="00CE623D">
        <w:rPr>
          <w:rFonts w:ascii="Garamond" w:hAnsi="Garamond"/>
          <w:sz w:val="32"/>
          <w:szCs w:val="32"/>
        </w:rPr>
        <w:t xml:space="preserve">; </w:t>
      </w:r>
      <w:hyperlink r:id="rId64" w:anchor="S14a03" w:history="1">
        <w:r w:rsidR="00CE623D" w:rsidRPr="00CE623D">
          <w:rPr>
            <w:rStyle w:val="Collegamentoipertestuale"/>
            <w:rFonts w:ascii="Garamond" w:hAnsi="Garamond"/>
            <w:sz w:val="32"/>
            <w:szCs w:val="32"/>
          </w:rPr>
          <w:t>Scheda 14, punto 3</w:t>
        </w:r>
      </w:hyperlink>
      <w:r w:rsidR="00CE623D">
        <w:rPr>
          <w:rFonts w:ascii="Garamond" w:hAnsi="Garamond"/>
          <w:sz w:val="32"/>
          <w:szCs w:val="32"/>
        </w:rPr>
        <w:t xml:space="preserve">; </w:t>
      </w:r>
      <w:hyperlink r:id="rId65" w:anchor="S18a03" w:history="1">
        <w:r w:rsidR="00CE623D" w:rsidRPr="00CE623D">
          <w:rPr>
            <w:rStyle w:val="Collegamentoipertestuale"/>
            <w:rFonts w:ascii="Garamond" w:hAnsi="Garamond"/>
            <w:sz w:val="32"/>
            <w:szCs w:val="32"/>
          </w:rPr>
          <w:t>Scheda 18, punto 3</w:t>
        </w:r>
      </w:hyperlink>
      <w:r w:rsidR="00CE623D">
        <w:rPr>
          <w:rFonts w:ascii="Garamond" w:hAnsi="Garamond"/>
          <w:sz w:val="32"/>
          <w:szCs w:val="32"/>
        </w:rPr>
        <w:t xml:space="preserve">; </w:t>
      </w:r>
      <w:hyperlink r:id="rId66" w:anchor="S20a03" w:history="1">
        <w:r w:rsidR="00CE623D" w:rsidRPr="00CE623D">
          <w:rPr>
            <w:rStyle w:val="Collegamentoipertestuale"/>
            <w:rFonts w:ascii="Garamond" w:hAnsi="Garamond"/>
            <w:sz w:val="32"/>
            <w:szCs w:val="32"/>
          </w:rPr>
          <w:t>Scheda 20, punto 3</w:t>
        </w:r>
      </w:hyperlink>
      <w:r w:rsidR="007A486B" w:rsidRPr="003505A6">
        <w:rPr>
          <w:rFonts w:ascii="Garamond" w:hAnsi="Garamond"/>
          <w:sz w:val="32"/>
          <w:szCs w:val="32"/>
        </w:rPr>
        <w:t xml:space="preserve">) </w:t>
      </w:r>
      <w:r w:rsidR="008948AB" w:rsidRPr="003505A6">
        <w:rPr>
          <w:rFonts w:ascii="Garamond" w:hAnsi="Garamond"/>
          <w:sz w:val="32"/>
          <w:szCs w:val="32"/>
        </w:rPr>
        <w:t>il ricorso alla tecnica dello scorrimento, consistente nella possibilità di prolungare il termine per l’esercizio della delega quando l'espressione dei pareri parlamentari scada nei trenta giorni che precedono o seguono la scadenza del termine stesso, ponendo in ciascun parere una condizione finalizzata</w:t>
      </w:r>
      <w:r w:rsidR="007A486B" w:rsidRPr="003505A6">
        <w:rPr>
          <w:rFonts w:ascii="Garamond" w:hAnsi="Garamond"/>
          <w:sz w:val="32"/>
          <w:szCs w:val="32"/>
        </w:rPr>
        <w:t xml:space="preserve"> ad individuare «</w:t>
      </w:r>
      <w:r w:rsidR="008948AB" w:rsidRPr="003505A6">
        <w:rPr>
          <w:rFonts w:ascii="Garamond" w:hAnsi="Garamond"/>
          <w:sz w:val="32"/>
          <w:szCs w:val="32"/>
        </w:rPr>
        <w:t>il termine per l'esercizio della delega in modo univoco senza possibilità di scorrimenti”.»</w:t>
      </w:r>
      <w:r w:rsidRPr="003505A6">
        <w:rPr>
          <w:rFonts w:ascii="Garamond" w:hAnsi="Garamond"/>
          <w:sz w:val="32"/>
          <w:szCs w:val="32"/>
        </w:rPr>
        <w:t>.</w:t>
      </w:r>
      <w:r w:rsidR="00713580" w:rsidRPr="003505A6">
        <w:rPr>
          <w:rFonts w:ascii="Garamond" w:hAnsi="Garamond"/>
          <w:sz w:val="32"/>
          <w:szCs w:val="32"/>
        </w:rPr>
        <w:t xml:space="preserve"> </w:t>
      </w:r>
      <w:r w:rsidR="002D3B7D">
        <w:rPr>
          <w:rFonts w:ascii="Garamond" w:hAnsi="Garamond"/>
          <w:sz w:val="32"/>
          <w:szCs w:val="32"/>
        </w:rPr>
        <w:t>In tutti i citati pareri il Comitato ha posto una condizione soppressiva della disposizione che prevede lo scorrimento dei termini</w:t>
      </w:r>
      <w:r w:rsidR="006D413C">
        <w:rPr>
          <w:rStyle w:val="Rimandonotaapidipagina"/>
          <w:rFonts w:ascii="Garamond" w:hAnsi="Garamond"/>
          <w:sz w:val="32"/>
          <w:szCs w:val="32"/>
        </w:rPr>
        <w:footnoteReference w:id="2"/>
      </w:r>
      <w:r w:rsidR="002D3B7D">
        <w:rPr>
          <w:rFonts w:ascii="Garamond" w:hAnsi="Garamond"/>
          <w:sz w:val="32"/>
          <w:szCs w:val="32"/>
        </w:rPr>
        <w:t xml:space="preserve">, fatta eccezione per il parere sul disegno di legge C. 2953, la </w:t>
      </w:r>
      <w:r w:rsidR="00C83551">
        <w:rPr>
          <w:rFonts w:ascii="Garamond" w:hAnsi="Garamond"/>
          <w:sz w:val="32"/>
          <w:szCs w:val="32"/>
        </w:rPr>
        <w:t xml:space="preserve">cui </w:t>
      </w:r>
      <w:r w:rsidR="002D3B7D">
        <w:rPr>
          <w:rFonts w:ascii="Garamond" w:hAnsi="Garamond"/>
          <w:sz w:val="32"/>
          <w:szCs w:val="32"/>
        </w:rPr>
        <w:t xml:space="preserve">condizione </w:t>
      </w:r>
      <w:r w:rsidR="00C83551">
        <w:rPr>
          <w:rFonts w:ascii="Garamond" w:hAnsi="Garamond"/>
          <w:sz w:val="32"/>
          <w:szCs w:val="32"/>
        </w:rPr>
        <w:t>invita più genericamente ad individuare «</w:t>
      </w:r>
      <w:r w:rsidR="002D3B7D" w:rsidRPr="002D3B7D">
        <w:rPr>
          <w:rFonts w:ascii="Garamond" w:hAnsi="Garamond"/>
          <w:sz w:val="32"/>
          <w:szCs w:val="32"/>
        </w:rPr>
        <w:t>il termine per l'esercizio della delega in modo univoco senza possibilità di “scorrimenti</w:t>
      </w:r>
      <w:r w:rsidR="002D3B7D">
        <w:rPr>
          <w:rFonts w:ascii="Garamond" w:hAnsi="Garamond"/>
          <w:sz w:val="32"/>
          <w:szCs w:val="32"/>
        </w:rPr>
        <w:t>”</w:t>
      </w:r>
      <w:r w:rsidR="00C83551">
        <w:rPr>
          <w:rFonts w:ascii="Garamond" w:hAnsi="Garamond"/>
          <w:sz w:val="32"/>
          <w:szCs w:val="32"/>
        </w:rPr>
        <w:t>»</w:t>
      </w:r>
      <w:r w:rsidR="00D27EAB" w:rsidRPr="003505A6">
        <w:rPr>
          <w:rFonts w:ascii="Garamond" w:hAnsi="Garamond"/>
          <w:sz w:val="32"/>
          <w:szCs w:val="32"/>
        </w:rPr>
        <w:t>.</w:t>
      </w:r>
    </w:p>
    <w:p w:rsidR="00C83551" w:rsidRDefault="00C83551" w:rsidP="00C83551">
      <w:pPr>
        <w:rPr>
          <w:rFonts w:ascii="Garamond" w:hAnsi="Garamond"/>
          <w:sz w:val="32"/>
          <w:szCs w:val="32"/>
        </w:rPr>
      </w:pPr>
    </w:p>
    <w:p w:rsidR="00C83551" w:rsidRPr="003505A6" w:rsidRDefault="00C83551" w:rsidP="00C83551">
      <w:pPr>
        <w:rPr>
          <w:rFonts w:ascii="Garamond" w:hAnsi="Garamond"/>
          <w:sz w:val="32"/>
          <w:szCs w:val="32"/>
        </w:rPr>
      </w:pPr>
      <w:r w:rsidRPr="00C83551">
        <w:rPr>
          <w:rFonts w:ascii="Garamond" w:hAnsi="Garamond"/>
          <w:sz w:val="32"/>
          <w:szCs w:val="32"/>
        </w:rPr>
        <w:t>Nelle premesse del parere espresso in seconda lettura sul disegno di legge n. 2617-B il Comitato annota che «all’articolo 1, comma 5, ultimo periodo, è stata espunta la disposizione volta ad esplicitare l’obbligo per il Governo di rispettare il termine per la trasmissione degli schemi dei decreti legislativi alle Camere fissato dal primo periodo del comma 5, pena la decadenza dall’esercizio della delega, trattandosi di un effetto comunque implicito alla previsione contenuta al primo periodo» (Scheda 15, punto 1).</w:t>
      </w:r>
    </w:p>
    <w:p w:rsidR="004713E0" w:rsidRPr="003505A6" w:rsidRDefault="004713E0" w:rsidP="00D27EAB">
      <w:pPr>
        <w:ind w:left="283" w:firstLine="0"/>
        <w:rPr>
          <w:rFonts w:ascii="Garamond" w:hAnsi="Garamond"/>
          <w:sz w:val="32"/>
          <w:szCs w:val="32"/>
        </w:rPr>
      </w:pPr>
    </w:p>
    <w:p w:rsidR="00713580" w:rsidRPr="003505A6" w:rsidRDefault="00713580" w:rsidP="00713580">
      <w:pPr>
        <w:ind w:left="567" w:firstLine="0"/>
        <w:rPr>
          <w:rFonts w:ascii="Garamond" w:hAnsi="Garamond"/>
          <w:color w:val="800000"/>
          <w:sz w:val="32"/>
          <w:szCs w:val="32"/>
        </w:rPr>
      </w:pPr>
    </w:p>
    <w:p w:rsidR="004713E0" w:rsidRPr="003505A6" w:rsidRDefault="004713E0" w:rsidP="004713E0">
      <w:pPr>
        <w:rPr>
          <w:rFonts w:ascii="Garamond" w:hAnsi="Garamond"/>
          <w:sz w:val="32"/>
          <w:szCs w:val="32"/>
        </w:rPr>
      </w:pPr>
      <w:r w:rsidRPr="003505A6">
        <w:rPr>
          <w:rFonts w:ascii="Garamond" w:hAnsi="Garamond"/>
          <w:sz w:val="32"/>
          <w:szCs w:val="32"/>
        </w:rPr>
        <w:lastRenderedPageBreak/>
        <w:t>La tabella seguente dà conto della frequenza dei vari rilievi negli atti esaminati.</w:t>
      </w:r>
    </w:p>
    <w:p w:rsidR="004713E0" w:rsidRPr="003505A6" w:rsidRDefault="004713E0" w:rsidP="004713E0">
      <w:pPr>
        <w:rPr>
          <w:rFonts w:ascii="Garamond" w:hAnsi="Garamond"/>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7"/>
        <w:gridCol w:w="2092"/>
        <w:gridCol w:w="1937"/>
      </w:tblGrid>
      <w:tr w:rsidR="004713E0" w:rsidRPr="003505A6" w:rsidTr="00D91BC6">
        <w:trPr>
          <w:trHeight w:val="1002"/>
          <w:tblHeader/>
          <w:jc w:val="center"/>
        </w:trPr>
        <w:tc>
          <w:tcPr>
            <w:tcW w:w="5000" w:type="pct"/>
            <w:gridSpan w:val="3"/>
            <w:shd w:val="clear" w:color="auto" w:fill="FFFFCC"/>
            <w:vAlign w:val="bottom"/>
          </w:tcPr>
          <w:p w:rsidR="004713E0" w:rsidRPr="003505A6" w:rsidRDefault="004713E0" w:rsidP="002D3B7D">
            <w:pPr>
              <w:keepNext/>
              <w:spacing w:line="240" w:lineRule="auto"/>
              <w:ind w:firstLine="0"/>
              <w:jc w:val="center"/>
              <w:rPr>
                <w:rFonts w:ascii="Garamond" w:hAnsi="Garamond" w:cs="Arial"/>
                <w:b/>
                <w:bCs/>
                <w:color w:val="0000FF"/>
                <w:sz w:val="32"/>
                <w:szCs w:val="32"/>
              </w:rPr>
            </w:pPr>
            <w:r w:rsidRPr="003505A6">
              <w:rPr>
                <w:rFonts w:ascii="Garamond" w:hAnsi="Garamond" w:cs="Arial"/>
                <w:b/>
                <w:bCs/>
                <w:color w:val="0000FF"/>
                <w:sz w:val="32"/>
                <w:szCs w:val="32"/>
              </w:rPr>
              <w:t>Rilievi riguardanti progetti di legge contenenti disposizioni di delega</w:t>
            </w:r>
          </w:p>
        </w:tc>
      </w:tr>
      <w:tr w:rsidR="004713E0" w:rsidRPr="003505A6" w:rsidTr="00D91BC6">
        <w:trPr>
          <w:trHeight w:val="1200"/>
          <w:tblHeader/>
          <w:jc w:val="center"/>
        </w:trPr>
        <w:tc>
          <w:tcPr>
            <w:tcW w:w="2506" w:type="pct"/>
            <w:shd w:val="clear" w:color="auto" w:fill="FFFFCC"/>
            <w:vAlign w:val="center"/>
          </w:tcPr>
          <w:p w:rsidR="004713E0" w:rsidRPr="003505A6" w:rsidRDefault="004713E0" w:rsidP="002D3B7D">
            <w:pPr>
              <w:keepNext/>
              <w:spacing w:line="240" w:lineRule="auto"/>
              <w:ind w:firstLine="0"/>
              <w:jc w:val="center"/>
              <w:rPr>
                <w:rFonts w:ascii="Garamond" w:hAnsi="Garamond" w:cs="Arial"/>
                <w:b/>
                <w:bCs/>
                <w:color w:val="0000FF"/>
                <w:sz w:val="28"/>
                <w:szCs w:val="28"/>
              </w:rPr>
            </w:pPr>
            <w:r w:rsidRPr="003505A6">
              <w:rPr>
                <w:rFonts w:ascii="Garamond" w:hAnsi="Garamond" w:cs="Arial"/>
                <w:b/>
                <w:bCs/>
                <w:color w:val="0000FF"/>
                <w:sz w:val="28"/>
                <w:szCs w:val="28"/>
              </w:rPr>
              <w:t>Tipologia dei rilievi formulati nei pareri</w:t>
            </w:r>
          </w:p>
        </w:tc>
        <w:tc>
          <w:tcPr>
            <w:tcW w:w="1295" w:type="pct"/>
            <w:shd w:val="clear" w:color="auto" w:fill="FFFFCC"/>
            <w:vAlign w:val="center"/>
          </w:tcPr>
          <w:p w:rsidR="004713E0" w:rsidRPr="003505A6" w:rsidRDefault="004713E0" w:rsidP="002D3B7D">
            <w:pPr>
              <w:keepNext/>
              <w:spacing w:line="240" w:lineRule="auto"/>
              <w:ind w:firstLine="0"/>
              <w:jc w:val="center"/>
              <w:rPr>
                <w:rFonts w:ascii="Garamond" w:hAnsi="Garamond" w:cs="Arial"/>
                <w:b/>
                <w:bCs/>
                <w:color w:val="0000FF"/>
                <w:sz w:val="28"/>
                <w:szCs w:val="28"/>
              </w:rPr>
            </w:pPr>
            <w:r w:rsidRPr="003505A6">
              <w:rPr>
                <w:rFonts w:ascii="Garamond" w:hAnsi="Garamond" w:cs="Arial"/>
                <w:b/>
                <w:bCs/>
                <w:color w:val="0000FF"/>
                <w:sz w:val="28"/>
                <w:szCs w:val="28"/>
              </w:rPr>
              <w:t>N. di pareri contenenti il rilievo</w:t>
            </w:r>
          </w:p>
        </w:tc>
        <w:tc>
          <w:tcPr>
            <w:tcW w:w="1199" w:type="pct"/>
            <w:shd w:val="clear" w:color="auto" w:fill="FFFFCC"/>
            <w:vAlign w:val="center"/>
          </w:tcPr>
          <w:p w:rsidR="004713E0" w:rsidRPr="003505A6" w:rsidRDefault="004713E0" w:rsidP="002D3B7D">
            <w:pPr>
              <w:keepNext/>
              <w:spacing w:line="240" w:lineRule="auto"/>
              <w:ind w:firstLine="0"/>
              <w:jc w:val="center"/>
              <w:rPr>
                <w:rFonts w:ascii="Garamond" w:hAnsi="Garamond" w:cs="Arial"/>
                <w:b/>
                <w:bCs/>
                <w:color w:val="0000FF"/>
                <w:sz w:val="28"/>
                <w:szCs w:val="28"/>
              </w:rPr>
            </w:pPr>
            <w:r w:rsidRPr="003505A6">
              <w:rPr>
                <w:rFonts w:ascii="Garamond" w:hAnsi="Garamond" w:cs="Arial"/>
                <w:b/>
                <w:bCs/>
                <w:color w:val="0000FF"/>
                <w:sz w:val="28"/>
                <w:szCs w:val="28"/>
              </w:rPr>
              <w:t>% rispetto al totale dei pareri resi</w:t>
            </w:r>
            <w:r w:rsidR="007A486B" w:rsidRPr="003505A6">
              <w:rPr>
                <w:rFonts w:ascii="Garamond" w:hAnsi="Garamond" w:cs="Arial"/>
                <w:b/>
                <w:bCs/>
                <w:color w:val="0000FF"/>
                <w:sz w:val="28"/>
                <w:szCs w:val="28"/>
              </w:rPr>
              <w:t xml:space="preserve"> su progetti di legge contenenti deleghe</w:t>
            </w:r>
          </w:p>
        </w:tc>
      </w:tr>
      <w:tr w:rsidR="00D91BC6" w:rsidRPr="003505A6" w:rsidTr="00075D9A">
        <w:trPr>
          <w:trHeight w:val="799"/>
          <w:tblHeader/>
          <w:jc w:val="center"/>
        </w:trPr>
        <w:tc>
          <w:tcPr>
            <w:tcW w:w="2506" w:type="pct"/>
            <w:shd w:val="clear" w:color="auto" w:fill="DBE5F1"/>
            <w:vAlign w:val="center"/>
          </w:tcPr>
          <w:p w:rsidR="00D91BC6" w:rsidRPr="003505A6" w:rsidRDefault="00D91BC6" w:rsidP="002D3B7D">
            <w:pPr>
              <w:keepNext/>
              <w:spacing w:line="240" w:lineRule="auto"/>
              <w:ind w:firstLine="0"/>
              <w:jc w:val="left"/>
              <w:rPr>
                <w:rFonts w:ascii="Garamond" w:hAnsi="Garamond" w:cs="Arial"/>
                <w:b/>
                <w:bCs/>
                <w:sz w:val="28"/>
                <w:szCs w:val="28"/>
              </w:rPr>
            </w:pPr>
            <w:r w:rsidRPr="003505A6">
              <w:rPr>
                <w:rFonts w:ascii="Garamond" w:hAnsi="Garamond" w:cs="Arial"/>
                <w:b/>
                <w:bCs/>
                <w:sz w:val="28"/>
                <w:szCs w:val="28"/>
              </w:rPr>
              <w:t>Principi e criteri direttivi generici o mancanti</w:t>
            </w:r>
          </w:p>
        </w:tc>
        <w:tc>
          <w:tcPr>
            <w:tcW w:w="1295" w:type="pct"/>
            <w:shd w:val="clear" w:color="auto" w:fill="auto"/>
            <w:noWrap/>
            <w:vAlign w:val="center"/>
          </w:tcPr>
          <w:p w:rsidR="00D91BC6" w:rsidRPr="003505A6" w:rsidRDefault="00D91BC6" w:rsidP="002D3B7D">
            <w:pPr>
              <w:keepNext/>
              <w:spacing w:line="240" w:lineRule="auto"/>
              <w:ind w:firstLine="0"/>
              <w:jc w:val="center"/>
              <w:rPr>
                <w:rFonts w:ascii="Garamond" w:hAnsi="Garamond" w:cs="Arial"/>
                <w:b/>
                <w:bCs/>
                <w:sz w:val="28"/>
                <w:szCs w:val="28"/>
              </w:rPr>
            </w:pPr>
            <w:r>
              <w:rPr>
                <w:rFonts w:ascii="Garamond" w:hAnsi="Garamond" w:cs="Arial"/>
                <w:b/>
                <w:bCs/>
                <w:sz w:val="28"/>
                <w:szCs w:val="28"/>
              </w:rPr>
              <w:t>6</w:t>
            </w:r>
          </w:p>
        </w:tc>
        <w:tc>
          <w:tcPr>
            <w:tcW w:w="1199" w:type="pct"/>
            <w:shd w:val="clear" w:color="auto" w:fill="auto"/>
            <w:vAlign w:val="center"/>
          </w:tcPr>
          <w:p w:rsidR="00D91BC6" w:rsidRPr="00D91BC6" w:rsidRDefault="00D91BC6" w:rsidP="002D3B7D">
            <w:pPr>
              <w:keepNext/>
              <w:spacing w:line="240" w:lineRule="auto"/>
              <w:ind w:firstLine="0"/>
              <w:jc w:val="center"/>
              <w:rPr>
                <w:rFonts w:ascii="Garamond" w:hAnsi="Garamond" w:cs="Arial"/>
                <w:b/>
                <w:bCs/>
                <w:i/>
                <w:sz w:val="28"/>
                <w:szCs w:val="28"/>
              </w:rPr>
            </w:pPr>
            <w:r w:rsidRPr="00D91BC6">
              <w:rPr>
                <w:rFonts w:ascii="Garamond" w:hAnsi="Garamond" w:cs="Arial"/>
                <w:b/>
                <w:bCs/>
                <w:i/>
                <w:sz w:val="28"/>
                <w:szCs w:val="28"/>
              </w:rPr>
              <w:t>42,86%</w:t>
            </w:r>
          </w:p>
        </w:tc>
      </w:tr>
      <w:tr w:rsidR="00D91BC6" w:rsidRPr="003505A6" w:rsidTr="00075D9A">
        <w:trPr>
          <w:trHeight w:val="799"/>
          <w:tblHeader/>
          <w:jc w:val="center"/>
        </w:trPr>
        <w:tc>
          <w:tcPr>
            <w:tcW w:w="2506" w:type="pct"/>
            <w:shd w:val="clear" w:color="auto" w:fill="DBE5F1"/>
            <w:vAlign w:val="center"/>
          </w:tcPr>
          <w:p w:rsidR="00D91BC6" w:rsidRPr="003505A6" w:rsidRDefault="00D91BC6" w:rsidP="002D3B7D">
            <w:pPr>
              <w:keepNext/>
              <w:spacing w:line="240" w:lineRule="auto"/>
              <w:ind w:firstLine="0"/>
              <w:jc w:val="left"/>
              <w:rPr>
                <w:rFonts w:ascii="Garamond" w:hAnsi="Garamond" w:cs="Arial"/>
                <w:b/>
                <w:bCs/>
                <w:sz w:val="28"/>
                <w:szCs w:val="28"/>
              </w:rPr>
            </w:pPr>
            <w:r w:rsidRPr="003505A6">
              <w:rPr>
                <w:rFonts w:ascii="Garamond" w:hAnsi="Garamond" w:cs="Arial"/>
                <w:b/>
                <w:bCs/>
                <w:sz w:val="28"/>
                <w:szCs w:val="28"/>
              </w:rPr>
              <w:t>Sovrapposizione tra principi, criteri e oggetto della delega</w:t>
            </w:r>
          </w:p>
        </w:tc>
        <w:tc>
          <w:tcPr>
            <w:tcW w:w="1295" w:type="pct"/>
            <w:shd w:val="clear" w:color="auto" w:fill="auto"/>
            <w:noWrap/>
            <w:vAlign w:val="center"/>
          </w:tcPr>
          <w:p w:rsidR="00D91BC6" w:rsidRPr="003505A6" w:rsidRDefault="00D91BC6" w:rsidP="002D3B7D">
            <w:pPr>
              <w:keepNext/>
              <w:spacing w:line="240" w:lineRule="auto"/>
              <w:ind w:firstLine="0"/>
              <w:jc w:val="center"/>
              <w:rPr>
                <w:rFonts w:ascii="Garamond" w:hAnsi="Garamond" w:cs="Arial"/>
                <w:b/>
                <w:bCs/>
                <w:sz w:val="28"/>
                <w:szCs w:val="28"/>
              </w:rPr>
            </w:pPr>
            <w:r>
              <w:rPr>
                <w:rFonts w:ascii="Garamond" w:hAnsi="Garamond" w:cs="Arial"/>
                <w:b/>
                <w:bCs/>
                <w:sz w:val="28"/>
                <w:szCs w:val="28"/>
              </w:rPr>
              <w:t>4</w:t>
            </w:r>
          </w:p>
        </w:tc>
        <w:tc>
          <w:tcPr>
            <w:tcW w:w="1199" w:type="pct"/>
            <w:shd w:val="clear" w:color="auto" w:fill="auto"/>
            <w:vAlign w:val="center"/>
          </w:tcPr>
          <w:p w:rsidR="00D91BC6" w:rsidRPr="00D91BC6" w:rsidRDefault="00D91BC6" w:rsidP="002D3B7D">
            <w:pPr>
              <w:keepNext/>
              <w:spacing w:line="240" w:lineRule="auto"/>
              <w:ind w:firstLine="0"/>
              <w:jc w:val="center"/>
              <w:rPr>
                <w:rFonts w:ascii="Garamond" w:hAnsi="Garamond" w:cs="Arial"/>
                <w:b/>
                <w:bCs/>
                <w:i/>
                <w:sz w:val="28"/>
                <w:szCs w:val="28"/>
              </w:rPr>
            </w:pPr>
            <w:r w:rsidRPr="00D91BC6">
              <w:rPr>
                <w:rFonts w:ascii="Garamond" w:hAnsi="Garamond" w:cs="Arial"/>
                <w:b/>
                <w:bCs/>
                <w:i/>
                <w:sz w:val="28"/>
                <w:szCs w:val="28"/>
              </w:rPr>
              <w:t>28,57%</w:t>
            </w:r>
          </w:p>
        </w:tc>
      </w:tr>
      <w:tr w:rsidR="00D91BC6" w:rsidRPr="003505A6" w:rsidTr="00075D9A">
        <w:trPr>
          <w:trHeight w:val="799"/>
          <w:tblHeader/>
          <w:jc w:val="center"/>
        </w:trPr>
        <w:tc>
          <w:tcPr>
            <w:tcW w:w="2506" w:type="pct"/>
            <w:shd w:val="clear" w:color="auto" w:fill="DBE5F1"/>
            <w:vAlign w:val="center"/>
          </w:tcPr>
          <w:p w:rsidR="00D91BC6" w:rsidRPr="003505A6" w:rsidRDefault="00D91BC6" w:rsidP="002D3B7D">
            <w:pPr>
              <w:keepNext/>
              <w:spacing w:line="240" w:lineRule="auto"/>
              <w:ind w:firstLine="0"/>
              <w:jc w:val="left"/>
              <w:rPr>
                <w:rFonts w:ascii="Garamond" w:hAnsi="Garamond" w:cs="Arial"/>
                <w:b/>
                <w:bCs/>
                <w:sz w:val="28"/>
                <w:szCs w:val="28"/>
              </w:rPr>
            </w:pPr>
            <w:r w:rsidRPr="003505A6">
              <w:rPr>
                <w:rFonts w:ascii="Garamond" w:hAnsi="Garamond" w:cs="Arial"/>
                <w:b/>
                <w:bCs/>
                <w:sz w:val="28"/>
                <w:szCs w:val="28"/>
              </w:rPr>
              <w:t>Procedure di delega</w:t>
            </w:r>
          </w:p>
        </w:tc>
        <w:tc>
          <w:tcPr>
            <w:tcW w:w="1295" w:type="pct"/>
            <w:shd w:val="clear" w:color="auto" w:fill="auto"/>
            <w:noWrap/>
            <w:vAlign w:val="center"/>
          </w:tcPr>
          <w:p w:rsidR="00D91BC6" w:rsidRPr="003505A6" w:rsidRDefault="00D91BC6" w:rsidP="002D3B7D">
            <w:pPr>
              <w:keepNext/>
              <w:spacing w:line="240" w:lineRule="auto"/>
              <w:ind w:firstLine="0"/>
              <w:jc w:val="center"/>
              <w:rPr>
                <w:rFonts w:ascii="Garamond" w:hAnsi="Garamond" w:cs="Arial"/>
                <w:b/>
                <w:bCs/>
                <w:i/>
                <w:iCs/>
                <w:sz w:val="28"/>
                <w:szCs w:val="28"/>
              </w:rPr>
            </w:pPr>
            <w:r>
              <w:rPr>
                <w:rFonts w:ascii="Garamond" w:hAnsi="Garamond" w:cs="Arial"/>
                <w:b/>
                <w:bCs/>
                <w:sz w:val="28"/>
                <w:szCs w:val="28"/>
              </w:rPr>
              <w:t>8</w:t>
            </w:r>
          </w:p>
        </w:tc>
        <w:tc>
          <w:tcPr>
            <w:tcW w:w="1199" w:type="pct"/>
            <w:shd w:val="clear" w:color="auto" w:fill="auto"/>
            <w:vAlign w:val="center"/>
          </w:tcPr>
          <w:p w:rsidR="00D91BC6" w:rsidRPr="00D91BC6" w:rsidRDefault="00D91BC6" w:rsidP="002D3B7D">
            <w:pPr>
              <w:keepNext/>
              <w:spacing w:line="240" w:lineRule="auto"/>
              <w:ind w:firstLine="0"/>
              <w:jc w:val="center"/>
              <w:rPr>
                <w:rFonts w:ascii="Garamond" w:hAnsi="Garamond" w:cs="Arial"/>
                <w:b/>
                <w:bCs/>
                <w:i/>
                <w:iCs/>
                <w:sz w:val="28"/>
                <w:szCs w:val="28"/>
              </w:rPr>
            </w:pPr>
            <w:r>
              <w:rPr>
                <w:rFonts w:ascii="Garamond" w:hAnsi="Garamond" w:cs="Arial"/>
                <w:b/>
                <w:bCs/>
                <w:i/>
                <w:iCs/>
                <w:sz w:val="28"/>
                <w:szCs w:val="28"/>
              </w:rPr>
              <w:t>57,14%</w:t>
            </w:r>
          </w:p>
        </w:tc>
      </w:tr>
    </w:tbl>
    <w:p w:rsidR="004713E0" w:rsidRPr="003505A6" w:rsidRDefault="004713E0" w:rsidP="004713E0">
      <w:pPr>
        <w:rPr>
          <w:rFonts w:ascii="Garamond" w:hAnsi="Garamond"/>
          <w:sz w:val="32"/>
          <w:szCs w:val="32"/>
        </w:rPr>
      </w:pPr>
    </w:p>
    <w:p w:rsidR="004713E0" w:rsidRPr="003505A6" w:rsidRDefault="004713E0" w:rsidP="004713E0">
      <w:pPr>
        <w:rPr>
          <w:rFonts w:ascii="Garamond" w:hAnsi="Garamond"/>
          <w:sz w:val="32"/>
          <w:szCs w:val="32"/>
        </w:rPr>
      </w:pPr>
    </w:p>
    <w:p w:rsidR="004713E0" w:rsidRPr="003505A6" w:rsidRDefault="004713E0" w:rsidP="004713E0">
      <w:pPr>
        <w:rPr>
          <w:rFonts w:ascii="Garamond" w:hAnsi="Garamond"/>
          <w:sz w:val="32"/>
          <w:szCs w:val="32"/>
        </w:rPr>
      </w:pPr>
    </w:p>
    <w:p w:rsidR="00E63DBD" w:rsidRPr="003505A6" w:rsidRDefault="004713E0" w:rsidP="004713E0">
      <w:pPr>
        <w:rPr>
          <w:rFonts w:ascii="Garamond" w:hAnsi="Garamond"/>
          <w:sz w:val="32"/>
          <w:szCs w:val="32"/>
        </w:rPr>
      </w:pPr>
      <w:r w:rsidRPr="004F6FB0">
        <w:rPr>
          <w:rFonts w:ascii="Garamond" w:hAnsi="Garamond"/>
          <w:sz w:val="32"/>
          <w:szCs w:val="32"/>
        </w:rPr>
        <w:t xml:space="preserve">La </w:t>
      </w:r>
      <w:hyperlink r:id="rId67" w:anchor="TABELLA06" w:history="1">
        <w:r w:rsidRPr="004F6FB0">
          <w:rPr>
            <w:rStyle w:val="Collegamentoipertestuale"/>
            <w:rFonts w:ascii="Garamond" w:hAnsi="Garamond"/>
            <w:sz w:val="32"/>
            <w:szCs w:val="32"/>
          </w:rPr>
          <w:t xml:space="preserve">tabella </w:t>
        </w:r>
        <w:r w:rsidR="00465C1A" w:rsidRPr="004F6FB0">
          <w:rPr>
            <w:rStyle w:val="Collegamentoipertestuale"/>
            <w:rFonts w:ascii="Garamond" w:hAnsi="Garamond"/>
            <w:sz w:val="32"/>
            <w:szCs w:val="32"/>
          </w:rPr>
          <w:t>6</w:t>
        </w:r>
      </w:hyperlink>
      <w:r w:rsidRPr="004F6FB0">
        <w:rPr>
          <w:rFonts w:ascii="Garamond" w:hAnsi="Garamond"/>
          <w:sz w:val="32"/>
          <w:szCs w:val="32"/>
        </w:rPr>
        <w:t xml:space="preserve"> dà conto nel dettaglio dei singoli pareri del</w:t>
      </w:r>
      <w:r w:rsidRPr="003505A6">
        <w:rPr>
          <w:rFonts w:ascii="Garamond" w:hAnsi="Garamond"/>
          <w:sz w:val="32"/>
          <w:szCs w:val="32"/>
        </w:rPr>
        <w:t xml:space="preserve"> Comitato</w:t>
      </w:r>
      <w:r w:rsidR="00D7132A">
        <w:rPr>
          <w:rFonts w:ascii="Garamond" w:hAnsi="Garamond"/>
          <w:sz w:val="32"/>
          <w:szCs w:val="32"/>
        </w:rPr>
        <w:t xml:space="preserve"> su atti contenenti deleghe</w:t>
      </w:r>
      <w:r w:rsidRPr="003505A6">
        <w:rPr>
          <w:rFonts w:ascii="Garamond" w:hAnsi="Garamond"/>
          <w:sz w:val="32"/>
          <w:szCs w:val="32"/>
        </w:rPr>
        <w:t>.</w:t>
      </w:r>
    </w:p>
    <w:p w:rsidR="00E63DBD" w:rsidRPr="003505A6" w:rsidRDefault="00E63DBD" w:rsidP="004713E0">
      <w:pPr>
        <w:rPr>
          <w:rFonts w:ascii="Garamond" w:hAnsi="Garamond"/>
          <w:sz w:val="32"/>
          <w:szCs w:val="32"/>
        </w:rPr>
      </w:pPr>
    </w:p>
    <w:p w:rsidR="00E63DBD" w:rsidRPr="003505A6" w:rsidRDefault="00E63DBD" w:rsidP="004713E0">
      <w:pPr>
        <w:rPr>
          <w:rFonts w:ascii="Garamond" w:hAnsi="Garamond"/>
          <w:sz w:val="32"/>
          <w:szCs w:val="32"/>
        </w:rPr>
      </w:pPr>
    </w:p>
    <w:p w:rsidR="004713E0" w:rsidRPr="003505A6" w:rsidRDefault="004713E0" w:rsidP="004713E0">
      <w:pPr>
        <w:rPr>
          <w:rFonts w:ascii="Garamond" w:hAnsi="Garamond"/>
          <w:sz w:val="24"/>
          <w:szCs w:val="24"/>
        </w:rPr>
      </w:pPr>
      <w:r w:rsidRPr="003505A6">
        <w:rPr>
          <w:rFonts w:ascii="Garamond" w:hAnsi="Garamond"/>
          <w:sz w:val="32"/>
          <w:szCs w:val="32"/>
        </w:rPr>
        <w:br w:type="page"/>
      </w:r>
    </w:p>
    <w:p w:rsidR="004713E0" w:rsidRPr="003505A6" w:rsidRDefault="004713E0" w:rsidP="004713E0">
      <w:pPr>
        <w:pStyle w:val="Titolo2"/>
        <w:spacing w:before="120" w:after="120"/>
        <w:ind w:left="0" w:firstLine="0"/>
        <w:rPr>
          <w:rFonts w:ascii="Garamond" w:hAnsi="Garamond"/>
          <w:i/>
          <w:color w:val="0000FF"/>
          <w:sz w:val="40"/>
          <w:szCs w:val="40"/>
        </w:rPr>
      </w:pPr>
      <w:bookmarkStart w:id="53" w:name="_Toc337653490"/>
      <w:bookmarkStart w:id="54" w:name="_Toc342035932"/>
      <w:bookmarkStart w:id="55" w:name="_Toc384976869"/>
      <w:bookmarkStart w:id="56" w:name="_Toc458677974"/>
      <w:r w:rsidRPr="003505A6">
        <w:rPr>
          <w:rFonts w:ascii="Garamond" w:hAnsi="Garamond"/>
          <w:i/>
          <w:color w:val="0000FF"/>
          <w:sz w:val="40"/>
          <w:szCs w:val="40"/>
        </w:rPr>
        <w:lastRenderedPageBreak/>
        <w:t>4.</w:t>
      </w:r>
      <w:r w:rsidR="00934ABD" w:rsidRPr="003505A6">
        <w:rPr>
          <w:rFonts w:ascii="Garamond" w:hAnsi="Garamond"/>
          <w:i/>
          <w:color w:val="0000FF"/>
          <w:sz w:val="40"/>
          <w:szCs w:val="40"/>
        </w:rPr>
        <w:t>8</w:t>
      </w:r>
      <w:r w:rsidRPr="003505A6">
        <w:rPr>
          <w:rFonts w:ascii="Garamond" w:hAnsi="Garamond"/>
          <w:i/>
          <w:color w:val="0000FF"/>
          <w:sz w:val="40"/>
          <w:szCs w:val="40"/>
        </w:rPr>
        <w:t>. Omogeneità/eterogeneità del contenuto</w:t>
      </w:r>
      <w:bookmarkEnd w:id="53"/>
      <w:bookmarkEnd w:id="54"/>
      <w:bookmarkEnd w:id="55"/>
      <w:bookmarkEnd w:id="56"/>
    </w:p>
    <w:p w:rsidR="004713E0" w:rsidRPr="003505A6" w:rsidRDefault="004713E0" w:rsidP="004713E0">
      <w:pPr>
        <w:rPr>
          <w:rFonts w:ascii="Garamond" w:hAnsi="Garamond"/>
          <w:sz w:val="32"/>
          <w:szCs w:val="32"/>
        </w:rPr>
      </w:pPr>
      <w:r w:rsidRPr="003505A6">
        <w:rPr>
          <w:rFonts w:ascii="Garamond" w:hAnsi="Garamond"/>
          <w:sz w:val="32"/>
          <w:szCs w:val="32"/>
        </w:rPr>
        <w:t>Il tema della omogeneità/eterogeneità dei contenuti dei provvedimenti sottoposti all’esame del Comitato ha sempre ricevuto particolare attenzione con specifico riguardo ai disegni di legge di conversione, anche in relazione al rispetto dell’articolo 15, comma 3 della legge n. 400 del 1988, in base al quale «</w:t>
      </w:r>
      <w:r w:rsidRPr="003505A6">
        <w:rPr>
          <w:rFonts w:ascii="Garamond" w:hAnsi="Garamond"/>
          <w:i/>
          <w:sz w:val="32"/>
          <w:szCs w:val="32"/>
        </w:rPr>
        <w:t>il loro contenuto deve essere specifico, omogeneo e corrispondente al titolo</w:t>
      </w:r>
      <w:r w:rsidRPr="003505A6">
        <w:rPr>
          <w:rFonts w:ascii="Garamond" w:hAnsi="Garamond"/>
          <w:sz w:val="32"/>
          <w:szCs w:val="32"/>
        </w:rPr>
        <w:t xml:space="preserve">». </w:t>
      </w:r>
    </w:p>
    <w:p w:rsidR="00747A71" w:rsidRDefault="004713E0" w:rsidP="00467045">
      <w:pPr>
        <w:rPr>
          <w:rFonts w:ascii="Garamond" w:hAnsi="Garamond"/>
          <w:sz w:val="32"/>
          <w:szCs w:val="32"/>
        </w:rPr>
      </w:pPr>
      <w:r w:rsidRPr="003505A6">
        <w:rPr>
          <w:rFonts w:ascii="Garamond" w:hAnsi="Garamond"/>
          <w:sz w:val="32"/>
          <w:szCs w:val="32"/>
        </w:rPr>
        <w:t xml:space="preserve">D’altra parte, proprio i disegni di legge di conversione appaiono </w:t>
      </w:r>
      <w:r w:rsidR="006D2F68" w:rsidRPr="003505A6">
        <w:rPr>
          <w:rFonts w:ascii="Garamond" w:hAnsi="Garamond"/>
          <w:sz w:val="32"/>
          <w:szCs w:val="32"/>
        </w:rPr>
        <w:t xml:space="preserve">storicamente </w:t>
      </w:r>
      <w:r w:rsidRPr="003505A6">
        <w:rPr>
          <w:rFonts w:ascii="Garamond" w:hAnsi="Garamond"/>
          <w:sz w:val="32"/>
          <w:szCs w:val="32"/>
        </w:rPr>
        <w:t xml:space="preserve">più problematici da questo punto di vista. </w:t>
      </w:r>
      <w:r w:rsidR="006D2F68" w:rsidRPr="00747A71">
        <w:rPr>
          <w:rFonts w:ascii="Garamond" w:hAnsi="Garamond"/>
          <w:sz w:val="32"/>
          <w:szCs w:val="32"/>
        </w:rPr>
        <w:t xml:space="preserve">Nei dieci mesi di riferimento del presente rapporto </w:t>
      </w:r>
      <w:r w:rsidR="00AC37EB" w:rsidRPr="00747A71">
        <w:rPr>
          <w:rFonts w:ascii="Garamond" w:hAnsi="Garamond"/>
          <w:b/>
          <w:sz w:val="32"/>
          <w:szCs w:val="32"/>
        </w:rPr>
        <w:t>9</w:t>
      </w:r>
      <w:r w:rsidR="00AC37EB" w:rsidRPr="00747A71">
        <w:rPr>
          <w:rFonts w:ascii="Garamond" w:hAnsi="Garamond"/>
          <w:sz w:val="32"/>
          <w:szCs w:val="32"/>
        </w:rPr>
        <w:t xml:space="preserve"> </w:t>
      </w:r>
      <w:r w:rsidR="006D2F68" w:rsidRPr="00747A71">
        <w:rPr>
          <w:rFonts w:ascii="Garamond" w:hAnsi="Garamond"/>
          <w:sz w:val="32"/>
          <w:szCs w:val="32"/>
        </w:rPr>
        <w:t>dei 1</w:t>
      </w:r>
      <w:r w:rsidR="00AC37EB" w:rsidRPr="00747A71">
        <w:rPr>
          <w:rFonts w:ascii="Garamond" w:hAnsi="Garamond"/>
          <w:sz w:val="32"/>
          <w:szCs w:val="32"/>
        </w:rPr>
        <w:t>2</w:t>
      </w:r>
      <w:r w:rsidR="006D2F68" w:rsidRPr="00747A71">
        <w:rPr>
          <w:rFonts w:ascii="Garamond" w:hAnsi="Garamond"/>
          <w:sz w:val="32"/>
          <w:szCs w:val="32"/>
        </w:rPr>
        <w:t xml:space="preserve"> decreti-legge esaminati</w:t>
      </w:r>
      <w:r w:rsidR="00AC37EB" w:rsidRPr="00747A71">
        <w:rPr>
          <w:rFonts w:ascii="Garamond" w:hAnsi="Garamond"/>
          <w:sz w:val="32"/>
          <w:szCs w:val="32"/>
        </w:rPr>
        <w:t xml:space="preserve"> hanno un contenuto omogeneo</w:t>
      </w:r>
      <w:r w:rsidR="00AC37EB">
        <w:rPr>
          <w:rFonts w:ascii="Garamond" w:hAnsi="Garamond"/>
          <w:sz w:val="32"/>
          <w:szCs w:val="32"/>
        </w:rPr>
        <w:t xml:space="preserve"> (in un caso “sostanzialmente omogeneo” e in due casi anche “corrispondente al titolo”); </w:t>
      </w:r>
      <w:r w:rsidR="00E32169">
        <w:rPr>
          <w:rFonts w:ascii="Garamond" w:hAnsi="Garamond"/>
          <w:sz w:val="32"/>
          <w:szCs w:val="32"/>
        </w:rPr>
        <w:t xml:space="preserve"> </w:t>
      </w:r>
      <w:r w:rsidR="00AC37EB">
        <w:rPr>
          <w:rFonts w:ascii="Garamond" w:hAnsi="Garamond"/>
          <w:b/>
          <w:sz w:val="32"/>
          <w:szCs w:val="32"/>
        </w:rPr>
        <w:t>2</w:t>
      </w:r>
      <w:r w:rsidR="00AC37EB">
        <w:rPr>
          <w:rFonts w:ascii="Garamond" w:hAnsi="Garamond"/>
          <w:sz w:val="32"/>
          <w:szCs w:val="32"/>
        </w:rPr>
        <w:t xml:space="preserve"> </w:t>
      </w:r>
      <w:r w:rsidR="00C83551">
        <w:rPr>
          <w:rFonts w:ascii="Garamond" w:hAnsi="Garamond"/>
          <w:sz w:val="32"/>
          <w:szCs w:val="32"/>
        </w:rPr>
        <w:t>decre</w:t>
      </w:r>
      <w:r w:rsidR="00E32169">
        <w:rPr>
          <w:rFonts w:ascii="Garamond" w:hAnsi="Garamond"/>
          <w:sz w:val="32"/>
          <w:szCs w:val="32"/>
        </w:rPr>
        <w:t xml:space="preserve">ti </w:t>
      </w:r>
      <w:r w:rsidR="00C83551">
        <w:rPr>
          <w:rFonts w:ascii="Garamond" w:hAnsi="Garamond"/>
          <w:sz w:val="32"/>
          <w:szCs w:val="32"/>
        </w:rPr>
        <w:t>presentano un</w:t>
      </w:r>
      <w:r w:rsidR="00E32169">
        <w:rPr>
          <w:rFonts w:ascii="Garamond" w:hAnsi="Garamond"/>
          <w:sz w:val="32"/>
          <w:szCs w:val="32"/>
        </w:rPr>
        <w:t xml:space="preserve"> contenuto </w:t>
      </w:r>
      <w:r w:rsidR="00C83551">
        <w:rPr>
          <w:rFonts w:ascii="Garamond" w:hAnsi="Garamond"/>
          <w:sz w:val="32"/>
          <w:szCs w:val="32"/>
        </w:rPr>
        <w:t xml:space="preserve">classificabile </w:t>
      </w:r>
      <w:r w:rsidR="00E32169">
        <w:rPr>
          <w:rFonts w:ascii="Garamond" w:hAnsi="Garamond"/>
          <w:sz w:val="32"/>
          <w:szCs w:val="32"/>
        </w:rPr>
        <w:t xml:space="preserve">implicitamente </w:t>
      </w:r>
      <w:r w:rsidR="00C83551">
        <w:rPr>
          <w:rFonts w:ascii="Garamond" w:hAnsi="Garamond"/>
          <w:sz w:val="32"/>
          <w:szCs w:val="32"/>
        </w:rPr>
        <w:t>come</w:t>
      </w:r>
      <w:r w:rsidR="00E32169">
        <w:rPr>
          <w:rFonts w:ascii="Garamond" w:hAnsi="Garamond"/>
          <w:sz w:val="32"/>
          <w:szCs w:val="32"/>
        </w:rPr>
        <w:t xml:space="preserve"> “disomogeneo con finalità univoca” (C. 3495, Territorio e proroga deleghe per la revisione del bilancio dello Stato; C. 3926, Enti territoriali e territorio); infine, </w:t>
      </w:r>
      <w:r w:rsidR="00467045" w:rsidRPr="003505A6">
        <w:rPr>
          <w:rFonts w:ascii="Garamond" w:hAnsi="Garamond"/>
          <w:sz w:val="32"/>
          <w:szCs w:val="32"/>
        </w:rPr>
        <w:t xml:space="preserve">il contenuto del decreto-legge n. </w:t>
      </w:r>
      <w:r w:rsidR="00C83551">
        <w:rPr>
          <w:rFonts w:ascii="Garamond" w:hAnsi="Garamond"/>
          <w:sz w:val="32"/>
          <w:szCs w:val="32"/>
        </w:rPr>
        <w:t>210</w:t>
      </w:r>
      <w:r w:rsidR="00467045" w:rsidRPr="003505A6">
        <w:rPr>
          <w:rFonts w:ascii="Garamond" w:hAnsi="Garamond"/>
          <w:sz w:val="32"/>
          <w:szCs w:val="32"/>
        </w:rPr>
        <w:t>/201</w:t>
      </w:r>
      <w:r w:rsidR="00C83551">
        <w:rPr>
          <w:rFonts w:ascii="Garamond" w:hAnsi="Garamond"/>
          <w:sz w:val="32"/>
          <w:szCs w:val="32"/>
        </w:rPr>
        <w:t>5</w:t>
      </w:r>
      <w:r w:rsidR="00467045" w:rsidRPr="003505A6">
        <w:rPr>
          <w:rFonts w:ascii="Garamond" w:hAnsi="Garamond"/>
          <w:sz w:val="32"/>
          <w:szCs w:val="32"/>
        </w:rPr>
        <w:t xml:space="preserve"> </w:t>
      </w:r>
      <w:r w:rsidR="00C83551">
        <w:rPr>
          <w:rFonts w:ascii="Garamond" w:hAnsi="Garamond"/>
          <w:sz w:val="32"/>
          <w:szCs w:val="32"/>
        </w:rPr>
        <w:t>(C. 3513 – “milleproroghe”)</w:t>
      </w:r>
      <w:r w:rsidR="00467045" w:rsidRPr="003505A6">
        <w:rPr>
          <w:rFonts w:ascii="Garamond" w:hAnsi="Garamond"/>
          <w:sz w:val="32"/>
          <w:szCs w:val="32"/>
        </w:rPr>
        <w:t xml:space="preserve"> è considerato fisiologicamente eterogeneo: reca infatti disposizioni che intervengono «su numerosi ambiti materiali, ma che risultano legate tra loro dalla comune funzione di prorogare o differire termini previsti da disposizioni legislative vigenti, ovvero di introdurre regimi transitori» (</w:t>
      </w:r>
      <w:hyperlink r:id="rId68" w:anchor="S06a01" w:history="1">
        <w:r w:rsidR="001C17FC" w:rsidRPr="001C17FC">
          <w:rPr>
            <w:rStyle w:val="Collegamentoipertestuale"/>
            <w:rFonts w:ascii="Garamond" w:hAnsi="Garamond"/>
            <w:sz w:val="32"/>
            <w:szCs w:val="32"/>
          </w:rPr>
          <w:t>Scheda 6, punto 1</w:t>
        </w:r>
      </w:hyperlink>
      <w:r w:rsidR="00467045" w:rsidRPr="003505A6">
        <w:rPr>
          <w:rFonts w:ascii="Garamond" w:hAnsi="Garamond"/>
          <w:sz w:val="32"/>
          <w:szCs w:val="32"/>
        </w:rPr>
        <w:t>)</w:t>
      </w:r>
      <w:r w:rsidR="007E7E3A">
        <w:rPr>
          <w:rFonts w:ascii="Garamond" w:hAnsi="Garamond"/>
          <w:sz w:val="32"/>
          <w:szCs w:val="32"/>
        </w:rPr>
        <w:t xml:space="preserve">. </w:t>
      </w:r>
    </w:p>
    <w:p w:rsidR="00467045" w:rsidRDefault="00747A71" w:rsidP="00467045">
      <w:pPr>
        <w:rPr>
          <w:rFonts w:ascii="Garamond" w:hAnsi="Garamond"/>
          <w:sz w:val="32"/>
          <w:szCs w:val="32"/>
        </w:rPr>
      </w:pPr>
      <w:r w:rsidRPr="004F6FB0">
        <w:rPr>
          <w:rFonts w:ascii="Garamond" w:hAnsi="Garamond"/>
          <w:sz w:val="32"/>
          <w:szCs w:val="32"/>
        </w:rPr>
        <w:t xml:space="preserve">Nel paragrafo </w:t>
      </w:r>
      <w:r w:rsidR="00976B38">
        <w:rPr>
          <w:rFonts w:ascii="Garamond" w:hAnsi="Garamond"/>
          <w:sz w:val="32"/>
          <w:szCs w:val="32"/>
        </w:rPr>
        <w:t>4.6</w:t>
      </w:r>
      <w:r w:rsidRPr="004F6FB0">
        <w:rPr>
          <w:rFonts w:ascii="Garamond" w:hAnsi="Garamond"/>
          <w:sz w:val="32"/>
          <w:szCs w:val="32"/>
        </w:rPr>
        <w:t xml:space="preserve"> si sono richiamati i pareri nei quali il</w:t>
      </w:r>
      <w:r>
        <w:rPr>
          <w:rFonts w:ascii="Garamond" w:hAnsi="Garamond"/>
          <w:sz w:val="32"/>
          <w:szCs w:val="32"/>
        </w:rPr>
        <w:t xml:space="preserve"> Comitato, richiamando la giurisprudenza della Corte costituzionale, ha posto la questione dell’omogeneità con il contenuto del decreto-legge delle disposizioni incidenti su deleghe legislative.</w:t>
      </w:r>
    </w:p>
    <w:p w:rsidR="007E7E3A" w:rsidRPr="003505A6" w:rsidRDefault="007E7E3A" w:rsidP="00467045">
      <w:pPr>
        <w:rPr>
          <w:rFonts w:ascii="Garamond" w:hAnsi="Garamond"/>
          <w:sz w:val="32"/>
          <w:szCs w:val="32"/>
        </w:rPr>
      </w:pPr>
    </w:p>
    <w:p w:rsidR="00AB472F" w:rsidRDefault="00AB472F" w:rsidP="004713E0">
      <w:pPr>
        <w:rPr>
          <w:rFonts w:ascii="Garamond" w:hAnsi="Garamond"/>
          <w:sz w:val="32"/>
          <w:szCs w:val="32"/>
        </w:rPr>
      </w:pPr>
    </w:p>
    <w:p w:rsidR="00747A71" w:rsidRDefault="006D6764" w:rsidP="00747A71">
      <w:pPr>
        <w:rPr>
          <w:rFonts w:ascii="Garamond" w:hAnsi="Garamond"/>
          <w:sz w:val="32"/>
          <w:szCs w:val="32"/>
        </w:rPr>
      </w:pPr>
      <w:r>
        <w:rPr>
          <w:rFonts w:ascii="Garamond" w:hAnsi="Garamond"/>
          <w:sz w:val="32"/>
          <w:szCs w:val="32"/>
        </w:rPr>
        <w:t xml:space="preserve">Per quanto riguarda </w:t>
      </w:r>
      <w:r w:rsidR="00C646EB">
        <w:rPr>
          <w:rFonts w:ascii="Garamond" w:hAnsi="Garamond"/>
          <w:sz w:val="32"/>
          <w:szCs w:val="32"/>
        </w:rPr>
        <w:t xml:space="preserve">i </w:t>
      </w:r>
      <w:r w:rsidR="00747A71">
        <w:rPr>
          <w:rFonts w:ascii="Garamond" w:hAnsi="Garamond"/>
          <w:sz w:val="32"/>
          <w:szCs w:val="32"/>
        </w:rPr>
        <w:t xml:space="preserve">progetti di legge </w:t>
      </w:r>
      <w:r w:rsidR="00C646EB" w:rsidRPr="00C646EB">
        <w:rPr>
          <w:rFonts w:ascii="Garamond" w:hAnsi="Garamond"/>
          <w:sz w:val="32"/>
          <w:szCs w:val="32"/>
          <w:u w:val="single"/>
        </w:rPr>
        <w:t>contenenti deleghe</w:t>
      </w:r>
      <w:r w:rsidR="00C646EB">
        <w:rPr>
          <w:rFonts w:ascii="Garamond" w:hAnsi="Garamond"/>
          <w:sz w:val="32"/>
          <w:szCs w:val="32"/>
        </w:rPr>
        <w:t xml:space="preserve">, la maggior parte di essi tende ad avere un contenuto omogeneo, sia tra i disegni di legge governativi, sia tra i progetti di legge parlamentari; costituisce una eccezione il “collegato agricolo” </w:t>
      </w:r>
      <w:r w:rsidR="00C646EB">
        <w:rPr>
          <w:rFonts w:ascii="Garamond" w:hAnsi="Garamond"/>
          <w:sz w:val="32"/>
          <w:szCs w:val="32"/>
        </w:rPr>
        <w:lastRenderedPageBreak/>
        <w:t>(C. 3119), il contenuto del quale è definito nel parere del Comitato “estremamente ampio e complesso”.</w:t>
      </w:r>
      <w:r w:rsidR="00747A71">
        <w:rPr>
          <w:rFonts w:ascii="Garamond" w:hAnsi="Garamond"/>
          <w:sz w:val="32"/>
          <w:szCs w:val="32"/>
        </w:rPr>
        <w:t xml:space="preserve"> </w:t>
      </w:r>
    </w:p>
    <w:p w:rsidR="00747A71" w:rsidRPr="00747A71" w:rsidRDefault="00747A71" w:rsidP="00747A71">
      <w:pPr>
        <w:rPr>
          <w:rFonts w:ascii="Garamond" w:hAnsi="Garamond"/>
          <w:sz w:val="32"/>
          <w:szCs w:val="32"/>
        </w:rPr>
      </w:pPr>
      <w:r>
        <w:rPr>
          <w:rFonts w:ascii="Garamond" w:hAnsi="Garamond"/>
          <w:sz w:val="32"/>
          <w:szCs w:val="32"/>
        </w:rPr>
        <w:t xml:space="preserve">Nel parere sul disegno di legge europea 2015-2016 (C. 3821), il Comitato annota nelle premesse che </w:t>
      </w:r>
      <w:r w:rsidRPr="00747A71">
        <w:rPr>
          <w:rFonts w:ascii="Garamond" w:hAnsi="Garamond"/>
          <w:sz w:val="32"/>
          <w:szCs w:val="32"/>
        </w:rPr>
        <w:t>«il disegno di legge, che si compone di 37 articoli, reca un contenuto in larghissima parte corrispondente al modello delineato dalla legge n. 234 del 2012 - che ha riformato il procedimento per l’adempimento degli obblighi europei e l’adeguamento dell’ordinamento interno a quello dell’Unione Europea, prevedendo tra l’altro una separazione in due distinti atti dei contenuti della legge comunitaria prevista dalla legge n. 11 del 2005 - e contiene, in conformità a quanto stabilito dall’articolo 30, comma 3, della succitata legge n. 234 del 2012, norme di immediata applicazione del diritto europeo, anche per far fronte alle procedure di infrazione ed al contenzioso, mediante uno strumento che fisiologicamente interviene su diversi settori normativi;</w:t>
      </w:r>
    </w:p>
    <w:p w:rsidR="00AB472F" w:rsidRPr="003505A6" w:rsidRDefault="00747A71" w:rsidP="00747A71">
      <w:pPr>
        <w:rPr>
          <w:rFonts w:ascii="Garamond" w:hAnsi="Garamond"/>
          <w:sz w:val="32"/>
          <w:szCs w:val="32"/>
        </w:rPr>
      </w:pPr>
      <w:r w:rsidRPr="00747A71">
        <w:rPr>
          <w:rFonts w:ascii="Garamond" w:hAnsi="Garamond"/>
          <w:sz w:val="32"/>
          <w:szCs w:val="32"/>
        </w:rPr>
        <w:t>ai contenuti propri della legge europea, come disegnati dall’articolo 30, comma 3, della legge n. 234 del 2012, non appare invece riconducibile la disposizione di delega al Governo contenuta all’articolo 24, comma 11 e seguenti, in materia di incentivi in favore delle imprese marittime che, in base all’articolo 30, comma 2, della richiamata legge n. 234, dovrebbe essere inserita nell’ambito della legge di delegazione europea»</w:t>
      </w:r>
      <w:r>
        <w:rPr>
          <w:rFonts w:ascii="Garamond" w:hAnsi="Garamond"/>
          <w:sz w:val="32"/>
          <w:szCs w:val="32"/>
        </w:rPr>
        <w:t xml:space="preserve"> </w:t>
      </w:r>
      <w:r w:rsidRPr="00C12C57">
        <w:rPr>
          <w:rFonts w:ascii="Garamond" w:hAnsi="Garamond"/>
          <w:sz w:val="32"/>
          <w:szCs w:val="32"/>
        </w:rPr>
        <w:t>(</w:t>
      </w:r>
      <w:hyperlink r:id="rId69" w:anchor="S20a01" w:history="1">
        <w:r w:rsidRPr="00C12C57">
          <w:rPr>
            <w:rStyle w:val="Collegamentoipertestuale"/>
            <w:rFonts w:ascii="Garamond" w:hAnsi="Garamond"/>
            <w:sz w:val="32"/>
            <w:szCs w:val="32"/>
          </w:rPr>
          <w:t>Scheda 20, punto 1</w:t>
        </w:r>
      </w:hyperlink>
      <w:r w:rsidRPr="00C12C57">
        <w:rPr>
          <w:rFonts w:ascii="Garamond" w:hAnsi="Garamond"/>
          <w:sz w:val="32"/>
          <w:szCs w:val="32"/>
        </w:rPr>
        <w:t>). Ne consegue la seguente condizione: «per</w:t>
      </w:r>
      <w:r w:rsidRPr="00747A71">
        <w:rPr>
          <w:rFonts w:ascii="Garamond" w:hAnsi="Garamond"/>
          <w:sz w:val="32"/>
          <w:szCs w:val="32"/>
        </w:rPr>
        <w:t xml:space="preserve"> quanto detto in premessa, ove non sia possibile trasferire nell’ambito del disegno di legge di delegazione europea (S. 2345), all’esame del Senato, i contenuti dell’articolo 24, commi da 11 a 15 – che, recando una disposizione di delega al Governo, non appaiono riconducibili ai contenuti propri della legge europea, come disegnati dall’articolo 30, comma 3, della legge n. 234 del 2012 – al fine di meglio individuare il termine ultimo per l’esercizio della suddetta delega, al comma 13, si valuti la soppressione dell’ultimo periodo, che consente il ricorso alla “tecnica dello scorrimento” del termine per </w:t>
      </w:r>
      <w:r w:rsidRPr="00747A71">
        <w:rPr>
          <w:rFonts w:ascii="Garamond" w:hAnsi="Garamond"/>
          <w:sz w:val="32"/>
          <w:szCs w:val="32"/>
        </w:rPr>
        <w:lastRenderedPageBreak/>
        <w:t>l’esercizio della delega, contestualmente individuando in modo univoco, al comma 11, un termine congruo per il suo esercizio</w:t>
      </w:r>
      <w:r>
        <w:rPr>
          <w:rFonts w:ascii="Garamond" w:hAnsi="Garamond"/>
          <w:sz w:val="32"/>
          <w:szCs w:val="32"/>
        </w:rPr>
        <w:t>».</w:t>
      </w:r>
    </w:p>
    <w:p w:rsidR="004713E0" w:rsidRPr="003505A6" w:rsidRDefault="004713E0" w:rsidP="004713E0">
      <w:pPr>
        <w:rPr>
          <w:rFonts w:ascii="Garamond" w:hAnsi="Garamond"/>
          <w:sz w:val="32"/>
          <w:szCs w:val="32"/>
        </w:rPr>
      </w:pPr>
    </w:p>
    <w:p w:rsidR="004713E0" w:rsidRPr="003505A6" w:rsidRDefault="004713E0" w:rsidP="004713E0">
      <w:pPr>
        <w:rPr>
          <w:rFonts w:ascii="Garamond" w:hAnsi="Garamond"/>
          <w:sz w:val="32"/>
          <w:szCs w:val="32"/>
        </w:rPr>
      </w:pPr>
    </w:p>
    <w:p w:rsidR="00B80024" w:rsidRPr="003505A6" w:rsidRDefault="00B80024" w:rsidP="00E63DBD">
      <w:pPr>
        <w:pStyle w:val="Titolo2"/>
        <w:spacing w:before="240" w:after="120"/>
        <w:rPr>
          <w:rFonts w:ascii="Garamond" w:hAnsi="Garamond"/>
          <w:i/>
          <w:color w:val="0000FF"/>
          <w:sz w:val="40"/>
          <w:szCs w:val="40"/>
        </w:rPr>
        <w:sectPr w:rsidR="00B80024" w:rsidRPr="003505A6" w:rsidSect="00B80024">
          <w:pgSz w:w="11906" w:h="16838" w:code="9"/>
          <w:pgMar w:top="1985" w:right="1985" w:bottom="1985" w:left="1985" w:header="1134" w:footer="1134" w:gutter="0"/>
          <w:cols w:sep="1" w:space="284"/>
          <w:titlePg/>
        </w:sectPr>
      </w:pPr>
      <w:bookmarkStart w:id="57" w:name="_Toc342035933"/>
      <w:bookmarkStart w:id="58" w:name="_Toc384976870"/>
    </w:p>
    <w:p w:rsidR="004713E0" w:rsidRPr="003505A6" w:rsidRDefault="004713E0" w:rsidP="00E63DBD">
      <w:pPr>
        <w:pStyle w:val="Titolo2"/>
        <w:spacing w:before="240" w:after="120"/>
        <w:rPr>
          <w:rFonts w:ascii="Garamond" w:hAnsi="Garamond"/>
          <w:i/>
          <w:color w:val="0000FF"/>
          <w:sz w:val="40"/>
          <w:szCs w:val="40"/>
        </w:rPr>
      </w:pPr>
      <w:bookmarkStart w:id="59" w:name="_Toc458677975"/>
      <w:r w:rsidRPr="007700C0">
        <w:rPr>
          <w:rFonts w:ascii="Garamond" w:hAnsi="Garamond"/>
          <w:i/>
          <w:color w:val="0000FF"/>
          <w:sz w:val="40"/>
          <w:szCs w:val="40"/>
        </w:rPr>
        <w:lastRenderedPageBreak/>
        <w:t>4.</w:t>
      </w:r>
      <w:r w:rsidR="007D4AAE" w:rsidRPr="007700C0">
        <w:rPr>
          <w:rFonts w:ascii="Garamond" w:hAnsi="Garamond"/>
          <w:i/>
          <w:color w:val="0000FF"/>
          <w:sz w:val="40"/>
          <w:szCs w:val="40"/>
        </w:rPr>
        <w:t>9</w:t>
      </w:r>
      <w:r w:rsidRPr="007700C0">
        <w:rPr>
          <w:rFonts w:ascii="Garamond" w:hAnsi="Garamond"/>
          <w:i/>
          <w:color w:val="0000FF"/>
          <w:sz w:val="40"/>
          <w:szCs w:val="40"/>
        </w:rPr>
        <w:t>. Richiami alla legge n. 212 del 2000</w:t>
      </w:r>
      <w:bookmarkEnd w:id="50"/>
      <w:bookmarkEnd w:id="51"/>
      <w:bookmarkEnd w:id="57"/>
      <w:bookmarkEnd w:id="58"/>
      <w:bookmarkEnd w:id="59"/>
    </w:p>
    <w:p w:rsidR="00747A71" w:rsidRDefault="004713E0" w:rsidP="00E16EE8">
      <w:pPr>
        <w:rPr>
          <w:rStyle w:val="StileGrassetto"/>
          <w:rFonts w:ascii="Garamond" w:hAnsi="Garamond"/>
          <w:b w:val="0"/>
          <w:sz w:val="32"/>
          <w:szCs w:val="32"/>
        </w:rPr>
      </w:pPr>
      <w:r w:rsidRPr="003505A6">
        <w:rPr>
          <w:rFonts w:ascii="Garamond" w:hAnsi="Garamond"/>
          <w:sz w:val="32"/>
          <w:szCs w:val="32"/>
        </w:rPr>
        <w:t xml:space="preserve">Il Comitato, nel periodo di riferimento, ha effettuato espliciti richiami allo </w:t>
      </w:r>
      <w:r w:rsidRPr="003505A6">
        <w:rPr>
          <w:rStyle w:val="StileGrassetto"/>
          <w:rFonts w:ascii="Garamond" w:hAnsi="Garamond"/>
          <w:b w:val="0"/>
          <w:sz w:val="32"/>
          <w:szCs w:val="32"/>
        </w:rPr>
        <w:t xml:space="preserve">Statuto del contribuente </w:t>
      </w:r>
      <w:r w:rsidR="00747A71">
        <w:rPr>
          <w:rStyle w:val="StileGrassetto"/>
          <w:rFonts w:ascii="Garamond" w:hAnsi="Garamond"/>
          <w:b w:val="0"/>
          <w:sz w:val="32"/>
          <w:szCs w:val="32"/>
        </w:rPr>
        <w:t>nei</w:t>
      </w:r>
      <w:r w:rsidRPr="003505A6">
        <w:rPr>
          <w:rStyle w:val="StileGrassetto"/>
          <w:rFonts w:ascii="Garamond" w:hAnsi="Garamond"/>
          <w:b w:val="0"/>
          <w:sz w:val="32"/>
          <w:szCs w:val="32"/>
        </w:rPr>
        <w:t xml:space="preserve"> parer</w:t>
      </w:r>
      <w:r w:rsidR="00747A71">
        <w:rPr>
          <w:rStyle w:val="StileGrassetto"/>
          <w:rFonts w:ascii="Garamond" w:hAnsi="Garamond"/>
          <w:b w:val="0"/>
          <w:sz w:val="32"/>
          <w:szCs w:val="32"/>
        </w:rPr>
        <w:t>i</w:t>
      </w:r>
      <w:r w:rsidRPr="003505A6">
        <w:rPr>
          <w:rStyle w:val="StileGrassetto"/>
          <w:rFonts w:ascii="Garamond" w:hAnsi="Garamond"/>
          <w:b w:val="0"/>
          <w:sz w:val="32"/>
          <w:szCs w:val="32"/>
        </w:rPr>
        <w:t xml:space="preserve"> relativ</w:t>
      </w:r>
      <w:r w:rsidR="00747A71">
        <w:rPr>
          <w:rStyle w:val="StileGrassetto"/>
          <w:rFonts w:ascii="Garamond" w:hAnsi="Garamond"/>
          <w:b w:val="0"/>
          <w:sz w:val="32"/>
          <w:szCs w:val="32"/>
        </w:rPr>
        <w:t>i</w:t>
      </w:r>
      <w:r w:rsidRPr="003505A6">
        <w:rPr>
          <w:rStyle w:val="StileGrassetto"/>
          <w:rFonts w:ascii="Garamond" w:hAnsi="Garamond"/>
          <w:b w:val="0"/>
          <w:sz w:val="32"/>
          <w:szCs w:val="32"/>
        </w:rPr>
        <w:t xml:space="preserve"> a</w:t>
      </w:r>
      <w:r w:rsidR="00BA3CB5" w:rsidRPr="003505A6">
        <w:rPr>
          <w:rStyle w:val="StileGrassetto"/>
          <w:rFonts w:ascii="Garamond" w:hAnsi="Garamond"/>
          <w:b w:val="0"/>
          <w:sz w:val="32"/>
          <w:szCs w:val="32"/>
        </w:rPr>
        <w:t>l</w:t>
      </w:r>
      <w:r w:rsidR="00747A71">
        <w:rPr>
          <w:rStyle w:val="StileGrassetto"/>
          <w:rFonts w:ascii="Garamond" w:hAnsi="Garamond"/>
          <w:b w:val="0"/>
          <w:sz w:val="32"/>
          <w:szCs w:val="32"/>
        </w:rPr>
        <w:t>la legge europea 2015-2016 (A. C. 3821) e al</w:t>
      </w:r>
      <w:r w:rsidR="00BA3CB5" w:rsidRPr="003505A6">
        <w:rPr>
          <w:rStyle w:val="StileGrassetto"/>
          <w:rFonts w:ascii="Garamond" w:hAnsi="Garamond"/>
          <w:b w:val="0"/>
          <w:sz w:val="32"/>
          <w:szCs w:val="32"/>
        </w:rPr>
        <w:t xml:space="preserve"> decreto-legge n. </w:t>
      </w:r>
      <w:r w:rsidR="00747A71">
        <w:rPr>
          <w:rStyle w:val="StileGrassetto"/>
          <w:rFonts w:ascii="Garamond" w:hAnsi="Garamond"/>
          <w:b w:val="0"/>
          <w:sz w:val="32"/>
          <w:szCs w:val="32"/>
        </w:rPr>
        <w:t>59</w:t>
      </w:r>
      <w:r w:rsidR="00BA3CB5" w:rsidRPr="003505A6">
        <w:rPr>
          <w:rStyle w:val="StileGrassetto"/>
          <w:rFonts w:ascii="Garamond" w:hAnsi="Garamond"/>
          <w:b w:val="0"/>
          <w:sz w:val="32"/>
          <w:szCs w:val="32"/>
        </w:rPr>
        <w:t>/201</w:t>
      </w:r>
      <w:r w:rsidR="00747A71">
        <w:rPr>
          <w:rStyle w:val="StileGrassetto"/>
          <w:rFonts w:ascii="Garamond" w:hAnsi="Garamond"/>
          <w:b w:val="0"/>
          <w:sz w:val="32"/>
          <w:szCs w:val="32"/>
        </w:rPr>
        <w:t>6</w:t>
      </w:r>
      <w:r w:rsidR="00BA3CB5" w:rsidRPr="003505A6">
        <w:rPr>
          <w:rStyle w:val="StileGrassetto"/>
          <w:rFonts w:ascii="Garamond" w:hAnsi="Garamond"/>
          <w:b w:val="0"/>
          <w:sz w:val="32"/>
          <w:szCs w:val="32"/>
        </w:rPr>
        <w:t xml:space="preserve"> (C. </w:t>
      </w:r>
      <w:r w:rsidR="00747A71">
        <w:rPr>
          <w:rStyle w:val="StileGrassetto"/>
          <w:rFonts w:ascii="Garamond" w:hAnsi="Garamond"/>
          <w:b w:val="0"/>
          <w:sz w:val="32"/>
          <w:szCs w:val="32"/>
        </w:rPr>
        <w:t>3892</w:t>
      </w:r>
      <w:r w:rsidR="00BA3CB5" w:rsidRPr="003505A6">
        <w:rPr>
          <w:rStyle w:val="StileGrassetto"/>
          <w:rFonts w:ascii="Garamond" w:hAnsi="Garamond"/>
          <w:b w:val="0"/>
          <w:sz w:val="32"/>
          <w:szCs w:val="32"/>
        </w:rPr>
        <w:t xml:space="preserve"> – </w:t>
      </w:r>
      <w:r w:rsidR="00747A71">
        <w:rPr>
          <w:rStyle w:val="StileGrassetto"/>
          <w:rFonts w:ascii="Garamond" w:hAnsi="Garamond"/>
          <w:b w:val="0"/>
          <w:sz w:val="32"/>
          <w:szCs w:val="32"/>
        </w:rPr>
        <w:t>investitori in banche in liquidazione).</w:t>
      </w:r>
    </w:p>
    <w:p w:rsidR="006D413C" w:rsidRDefault="00BA3CB5" w:rsidP="00E16EE8">
      <w:pPr>
        <w:rPr>
          <w:rFonts w:ascii="Garamond" w:hAnsi="Garamond"/>
          <w:bCs/>
          <w:sz w:val="32"/>
          <w:szCs w:val="32"/>
        </w:rPr>
      </w:pPr>
      <w:r w:rsidRPr="003505A6">
        <w:rPr>
          <w:rStyle w:val="StileGrassetto"/>
          <w:rFonts w:ascii="Garamond" w:hAnsi="Garamond"/>
          <w:b w:val="0"/>
          <w:sz w:val="32"/>
          <w:szCs w:val="32"/>
        </w:rPr>
        <w:t xml:space="preserve"> </w:t>
      </w:r>
      <w:r w:rsidR="006D413C">
        <w:rPr>
          <w:rStyle w:val="StileGrassetto"/>
          <w:rFonts w:ascii="Garamond" w:hAnsi="Garamond"/>
          <w:b w:val="0"/>
          <w:sz w:val="32"/>
          <w:szCs w:val="32"/>
        </w:rPr>
        <w:t xml:space="preserve">Nelle premesse del primo parere il Comitato annota che </w:t>
      </w:r>
      <w:r w:rsidR="006D413C" w:rsidRPr="006D413C">
        <w:rPr>
          <w:rFonts w:ascii="Garamond" w:hAnsi="Garamond"/>
          <w:bCs/>
          <w:sz w:val="32"/>
          <w:szCs w:val="32"/>
        </w:rPr>
        <w:t xml:space="preserve">«alcune delle disposizioni del disegno di legge </w:t>
      </w:r>
      <w:r w:rsidR="006D413C" w:rsidRPr="00045010">
        <w:rPr>
          <w:rFonts w:ascii="Garamond" w:hAnsi="Garamond"/>
          <w:bCs/>
          <w:sz w:val="32"/>
          <w:szCs w:val="32"/>
        </w:rPr>
        <w:t xml:space="preserve">hanno efficacia retroattiva; tra di esse, quelle che intervengono nella materia tributaria derogano implicitamente all’articolo 3, comma 1, dello statuto del contribuente di cui alla legge 27 </w:t>
      </w:r>
      <w:r w:rsidR="006D413C" w:rsidRPr="006D413C">
        <w:rPr>
          <w:rFonts w:ascii="Garamond" w:hAnsi="Garamond"/>
          <w:bCs/>
          <w:sz w:val="32"/>
          <w:szCs w:val="32"/>
        </w:rPr>
        <w:t>luglio 2000, n. 212, in base al quale “le disposizioni tributarie non hanno effetto retroattivo” (si vedano, in proposito, l’articolo 23, comma 2, l’articolo 26, comma 3, e l’articolo 28); con specifico riguardo all’articolo 28, comma 6, che prevede che le disposizioni dell’articolo 10 del decreto legislativo 18 aprile 2005, n. 84, di attuazione della direttiva 2003/48/CE, in materia di tassazione dei redditi da risparmio sotto forma di pagamenti di interessi, di cui il medesimo articolo dispone l’abrogazione dal 1° gennaio 2016, “continuano ad applicarsi con riguardo alla ritenuta alla fonte applicata nel 2016 e negli anni precedenti”, non è chiaro a quali anni si intenda fare riferimento e, in particolare, se si intenda fare riferimento a tutti gli anni di vigenza del decreto legislativo n. 84 del 2005»</w:t>
      </w:r>
      <w:r w:rsidR="006D413C">
        <w:rPr>
          <w:rFonts w:ascii="Garamond" w:hAnsi="Garamond"/>
          <w:bCs/>
          <w:sz w:val="32"/>
          <w:szCs w:val="32"/>
        </w:rPr>
        <w:t>. La conseguente condizione si limita a «</w:t>
      </w:r>
      <w:r w:rsidR="006D413C" w:rsidRPr="006D413C">
        <w:rPr>
          <w:rFonts w:ascii="Garamond" w:hAnsi="Garamond"/>
          <w:bCs/>
          <w:sz w:val="32"/>
          <w:szCs w:val="32"/>
        </w:rPr>
        <w:t>chiarire a quali anni si intenda fare riferimento</w:t>
      </w:r>
      <w:r w:rsidR="006D413C">
        <w:rPr>
          <w:rFonts w:ascii="Garamond" w:hAnsi="Garamond"/>
          <w:bCs/>
          <w:sz w:val="32"/>
          <w:szCs w:val="32"/>
        </w:rPr>
        <w:t>».</w:t>
      </w:r>
    </w:p>
    <w:p w:rsidR="001E5DE6" w:rsidRPr="003505A6" w:rsidRDefault="001E5DE6" w:rsidP="001E5DE6">
      <w:pPr>
        <w:rPr>
          <w:rFonts w:ascii="Garamond" w:hAnsi="Garamond"/>
          <w:bCs/>
          <w:sz w:val="32"/>
          <w:szCs w:val="32"/>
        </w:rPr>
      </w:pPr>
      <w:r>
        <w:rPr>
          <w:rStyle w:val="StileGrassetto"/>
          <w:rFonts w:ascii="Garamond" w:hAnsi="Garamond"/>
          <w:b w:val="0"/>
          <w:sz w:val="32"/>
          <w:szCs w:val="32"/>
        </w:rPr>
        <w:t xml:space="preserve">Nel parere </w:t>
      </w:r>
      <w:r w:rsidR="007700C0">
        <w:rPr>
          <w:rStyle w:val="StileGrassetto"/>
          <w:rFonts w:ascii="Garamond" w:hAnsi="Garamond"/>
          <w:b w:val="0"/>
          <w:sz w:val="32"/>
          <w:szCs w:val="32"/>
        </w:rPr>
        <w:t xml:space="preserve">sul decreto-legge n. 59/2016 </w:t>
      </w:r>
      <w:r>
        <w:rPr>
          <w:rStyle w:val="StileGrassetto"/>
          <w:rFonts w:ascii="Garamond" w:hAnsi="Garamond"/>
          <w:b w:val="0"/>
          <w:sz w:val="32"/>
          <w:szCs w:val="32"/>
        </w:rPr>
        <w:t>il Comitato rileva nell</w:t>
      </w:r>
      <w:r w:rsidR="007311ED">
        <w:rPr>
          <w:rStyle w:val="StileGrassetto"/>
          <w:rFonts w:ascii="Garamond" w:hAnsi="Garamond"/>
          <w:b w:val="0"/>
          <w:sz w:val="32"/>
          <w:szCs w:val="32"/>
        </w:rPr>
        <w:t>e</w:t>
      </w:r>
      <w:r>
        <w:rPr>
          <w:rStyle w:val="StileGrassetto"/>
          <w:rFonts w:ascii="Garamond" w:hAnsi="Garamond"/>
          <w:b w:val="0"/>
          <w:sz w:val="32"/>
          <w:szCs w:val="32"/>
        </w:rPr>
        <w:t xml:space="preserve"> premess</w:t>
      </w:r>
      <w:r w:rsidR="007311ED">
        <w:rPr>
          <w:rStyle w:val="StileGrassetto"/>
          <w:rFonts w:ascii="Garamond" w:hAnsi="Garamond"/>
          <w:b w:val="0"/>
          <w:sz w:val="32"/>
          <w:szCs w:val="32"/>
        </w:rPr>
        <w:t>e</w:t>
      </w:r>
      <w:r>
        <w:rPr>
          <w:rStyle w:val="StileGrassetto"/>
          <w:rFonts w:ascii="Garamond" w:hAnsi="Garamond"/>
          <w:b w:val="0"/>
          <w:sz w:val="32"/>
          <w:szCs w:val="32"/>
        </w:rPr>
        <w:t xml:space="preserve"> che «</w:t>
      </w:r>
      <w:r w:rsidRPr="001E5DE6">
        <w:rPr>
          <w:rFonts w:ascii="Garamond" w:hAnsi="Garamond"/>
          <w:bCs/>
          <w:sz w:val="32"/>
          <w:szCs w:val="32"/>
        </w:rPr>
        <w:t xml:space="preserve">le disposizioni contenute all’articolo 11, comma 7, dispongono </w:t>
      </w:r>
      <w:r w:rsidRPr="00045010">
        <w:rPr>
          <w:rFonts w:ascii="Garamond" w:hAnsi="Garamond"/>
          <w:bCs/>
          <w:sz w:val="32"/>
          <w:szCs w:val="32"/>
        </w:rPr>
        <w:t xml:space="preserve">retroattivamente, a decorrere dal periodo d’imposta in corso al 31 dicembre 2015, il versamento di un canone annuo a carico delle imprese che intendano continuare ad avvalersi della trasformabilità in credito di imposta delle DTA qualificate (imposte differite attive), ove ad esse non corrisponda un effettivo pagamento anticipato di imposte, derogando così implicitamente all’articolo 3, comma 1, dello statuto del contribuente di cui alla legge 27 luglio 2000, n. 212, </w:t>
      </w:r>
      <w:r w:rsidRPr="00045010">
        <w:rPr>
          <w:rFonts w:ascii="Garamond" w:hAnsi="Garamond"/>
          <w:bCs/>
          <w:sz w:val="32"/>
          <w:szCs w:val="32"/>
        </w:rPr>
        <w:lastRenderedPageBreak/>
        <w:t>in base al quale “le disposizioni tributarie non hanno</w:t>
      </w:r>
      <w:r w:rsidRPr="001E5DE6">
        <w:rPr>
          <w:rFonts w:ascii="Garamond" w:hAnsi="Garamond"/>
          <w:bCs/>
          <w:sz w:val="32"/>
          <w:szCs w:val="32"/>
        </w:rPr>
        <w:t xml:space="preserve"> effetto retroattivo” nonché all’articolo 4 del medesimo statuto, in base al quale “Non si può disporre con decreto-legge l'istituzione di nuovi tributi ne' prevedere l'applicazione di tributi esistenti ad altre categorie di soggetti”»</w:t>
      </w:r>
      <w:r>
        <w:rPr>
          <w:rFonts w:ascii="Garamond" w:hAnsi="Garamond"/>
          <w:bCs/>
          <w:sz w:val="32"/>
          <w:szCs w:val="32"/>
        </w:rPr>
        <w:t xml:space="preserve"> </w:t>
      </w:r>
      <w:r w:rsidRPr="00C12C57">
        <w:rPr>
          <w:rFonts w:ascii="Garamond" w:hAnsi="Garamond"/>
          <w:bCs/>
          <w:sz w:val="32"/>
          <w:szCs w:val="32"/>
        </w:rPr>
        <w:t>(</w:t>
      </w:r>
      <w:hyperlink r:id="rId70" w:anchor="S21a03" w:history="1">
        <w:r w:rsidRPr="00C12C57">
          <w:rPr>
            <w:rStyle w:val="Collegamentoipertestuale"/>
            <w:rFonts w:ascii="Garamond" w:hAnsi="Garamond"/>
            <w:bCs/>
            <w:sz w:val="32"/>
            <w:szCs w:val="32"/>
          </w:rPr>
          <w:t>Scheda 21, punto 3</w:t>
        </w:r>
      </w:hyperlink>
      <w:r w:rsidRPr="00C12C57">
        <w:rPr>
          <w:rFonts w:ascii="Garamond" w:hAnsi="Garamond"/>
          <w:bCs/>
          <w:sz w:val="32"/>
          <w:szCs w:val="32"/>
        </w:rPr>
        <w:t>).</w:t>
      </w:r>
    </w:p>
    <w:p w:rsidR="00BA3CB5" w:rsidRPr="003505A6" w:rsidRDefault="00BA3CB5" w:rsidP="00E16EE8">
      <w:pPr>
        <w:rPr>
          <w:rFonts w:ascii="Garamond" w:hAnsi="Garamond"/>
          <w:sz w:val="32"/>
          <w:szCs w:val="32"/>
        </w:rPr>
      </w:pPr>
    </w:p>
    <w:p w:rsidR="00E63DBD" w:rsidRPr="003505A6" w:rsidRDefault="00E63DBD" w:rsidP="00BA3CB5">
      <w:pPr>
        <w:rPr>
          <w:rFonts w:ascii="Garamond" w:hAnsi="Garamond"/>
          <w:sz w:val="32"/>
          <w:szCs w:val="32"/>
        </w:rPr>
      </w:pPr>
    </w:p>
    <w:p w:rsidR="00B80024" w:rsidRPr="003505A6" w:rsidRDefault="00B80024" w:rsidP="004713E0">
      <w:pPr>
        <w:pStyle w:val="Titolo2"/>
        <w:rPr>
          <w:rFonts w:ascii="Garamond" w:hAnsi="Garamond"/>
          <w:i/>
          <w:color w:val="0000FF"/>
          <w:sz w:val="40"/>
          <w:szCs w:val="40"/>
        </w:rPr>
        <w:sectPr w:rsidR="00B80024" w:rsidRPr="003505A6" w:rsidSect="00B80024">
          <w:pgSz w:w="11906" w:h="16838" w:code="9"/>
          <w:pgMar w:top="1985" w:right="1985" w:bottom="1985" w:left="1985" w:header="1134" w:footer="1134" w:gutter="0"/>
          <w:cols w:sep="1" w:space="284"/>
          <w:titlePg/>
        </w:sectPr>
      </w:pPr>
      <w:bookmarkStart w:id="60" w:name="_4.10._Profili_di"/>
      <w:bookmarkStart w:id="61" w:name="_Toc342035934"/>
      <w:bookmarkStart w:id="62" w:name="_Toc384976871"/>
      <w:bookmarkEnd w:id="60"/>
    </w:p>
    <w:p w:rsidR="004713E0" w:rsidRPr="003505A6" w:rsidRDefault="004713E0" w:rsidP="004713E0">
      <w:pPr>
        <w:pStyle w:val="Titolo2"/>
        <w:rPr>
          <w:rFonts w:ascii="Garamond" w:hAnsi="Garamond"/>
          <w:i/>
          <w:color w:val="0000FF"/>
          <w:sz w:val="40"/>
          <w:szCs w:val="40"/>
        </w:rPr>
      </w:pPr>
      <w:bookmarkStart w:id="63" w:name="P4_10"/>
      <w:bookmarkStart w:id="64" w:name="_Toc458677976"/>
      <w:r w:rsidRPr="007700C0">
        <w:rPr>
          <w:rFonts w:ascii="Garamond" w:hAnsi="Garamond"/>
          <w:i/>
          <w:color w:val="0000FF"/>
          <w:sz w:val="40"/>
          <w:szCs w:val="40"/>
        </w:rPr>
        <w:lastRenderedPageBreak/>
        <w:t>4.1</w:t>
      </w:r>
      <w:r w:rsidR="007D4AAE" w:rsidRPr="007700C0">
        <w:rPr>
          <w:rFonts w:ascii="Garamond" w:hAnsi="Garamond"/>
          <w:i/>
          <w:color w:val="0000FF"/>
          <w:sz w:val="40"/>
          <w:szCs w:val="40"/>
        </w:rPr>
        <w:t>0</w:t>
      </w:r>
      <w:bookmarkEnd w:id="63"/>
      <w:r w:rsidRPr="007700C0">
        <w:rPr>
          <w:rFonts w:ascii="Garamond" w:hAnsi="Garamond"/>
          <w:i/>
          <w:color w:val="0000FF"/>
          <w:sz w:val="40"/>
          <w:szCs w:val="40"/>
        </w:rPr>
        <w:t>. Profili di coordinamento con disposizioni di rango costituzionale</w:t>
      </w:r>
      <w:bookmarkEnd w:id="61"/>
      <w:bookmarkEnd w:id="62"/>
      <w:bookmarkEnd w:id="64"/>
    </w:p>
    <w:p w:rsidR="00175CC6" w:rsidRPr="003505A6" w:rsidRDefault="001E5DE6" w:rsidP="001E5DE6">
      <w:pPr>
        <w:keepNext/>
        <w:rPr>
          <w:rFonts w:ascii="Garamond" w:hAnsi="Garamond"/>
          <w:sz w:val="32"/>
          <w:szCs w:val="32"/>
        </w:rPr>
      </w:pPr>
      <w:r>
        <w:rPr>
          <w:rFonts w:ascii="Garamond" w:hAnsi="Garamond"/>
          <w:b/>
          <w:color w:val="993300"/>
          <w:sz w:val="32"/>
          <w:szCs w:val="32"/>
        </w:rPr>
        <w:t>6</w:t>
      </w:r>
      <w:r w:rsidR="004713E0" w:rsidRPr="003505A6">
        <w:rPr>
          <w:rFonts w:ascii="Garamond" w:hAnsi="Garamond"/>
          <w:sz w:val="32"/>
          <w:szCs w:val="32"/>
        </w:rPr>
        <w:t xml:space="preserve"> dei </w:t>
      </w:r>
      <w:r w:rsidR="002D0F44" w:rsidRPr="003505A6">
        <w:rPr>
          <w:rFonts w:ascii="Garamond" w:hAnsi="Garamond"/>
          <w:b/>
          <w:color w:val="0000FF"/>
          <w:sz w:val="32"/>
          <w:szCs w:val="32"/>
        </w:rPr>
        <w:t>2</w:t>
      </w:r>
      <w:r>
        <w:rPr>
          <w:rFonts w:ascii="Garamond" w:hAnsi="Garamond"/>
          <w:b/>
          <w:color w:val="0000FF"/>
          <w:sz w:val="32"/>
          <w:szCs w:val="32"/>
        </w:rPr>
        <w:t>6</w:t>
      </w:r>
      <w:r w:rsidR="004713E0" w:rsidRPr="003505A6">
        <w:rPr>
          <w:rFonts w:ascii="Garamond" w:hAnsi="Garamond"/>
          <w:sz w:val="32"/>
          <w:szCs w:val="32"/>
        </w:rPr>
        <w:t xml:space="preserve"> pareri resi dal Comitato nel periodo di riferimento contengono rich</w:t>
      </w:r>
      <w:r w:rsidR="00175CC6" w:rsidRPr="003505A6">
        <w:rPr>
          <w:rFonts w:ascii="Garamond" w:hAnsi="Garamond"/>
          <w:sz w:val="32"/>
          <w:szCs w:val="32"/>
        </w:rPr>
        <w:t>iami a norme della Costituzione:</w:t>
      </w:r>
    </w:p>
    <w:p w:rsidR="00175CC6" w:rsidRPr="003505A6" w:rsidRDefault="00FA06F9" w:rsidP="002010DB">
      <w:pPr>
        <w:keepNext/>
        <w:rPr>
          <w:rFonts w:ascii="Garamond" w:hAnsi="Garamond"/>
          <w:sz w:val="32"/>
          <w:szCs w:val="32"/>
        </w:rPr>
      </w:pPr>
      <w:r w:rsidRPr="003505A6">
        <w:rPr>
          <w:rFonts w:ascii="Garamond" w:hAnsi="Garamond"/>
          <w:sz w:val="32"/>
          <w:szCs w:val="32"/>
        </w:rPr>
        <w:t xml:space="preserve">▪ </w:t>
      </w:r>
      <w:r w:rsidR="001E5DE6">
        <w:rPr>
          <w:rFonts w:ascii="Garamond" w:hAnsi="Garamond"/>
          <w:sz w:val="32"/>
          <w:szCs w:val="32"/>
        </w:rPr>
        <w:t xml:space="preserve">i </w:t>
      </w:r>
      <w:r w:rsidR="007700C0">
        <w:rPr>
          <w:rFonts w:ascii="Garamond" w:hAnsi="Garamond"/>
          <w:sz w:val="32"/>
          <w:szCs w:val="32"/>
        </w:rPr>
        <w:t xml:space="preserve">più volte citati </w:t>
      </w:r>
      <w:r w:rsidR="001E5DE6">
        <w:rPr>
          <w:rFonts w:ascii="Garamond" w:hAnsi="Garamond"/>
          <w:sz w:val="32"/>
          <w:szCs w:val="32"/>
        </w:rPr>
        <w:t>pareri sui disegni</w:t>
      </w:r>
      <w:r w:rsidR="00B31743">
        <w:rPr>
          <w:rFonts w:ascii="Garamond" w:hAnsi="Garamond"/>
          <w:sz w:val="32"/>
          <w:szCs w:val="32"/>
        </w:rPr>
        <w:t xml:space="preserve"> di legge di conversione dei</w:t>
      </w:r>
      <w:r w:rsidR="00175CC6" w:rsidRPr="003505A6">
        <w:rPr>
          <w:rFonts w:ascii="Garamond" w:hAnsi="Garamond"/>
          <w:sz w:val="32"/>
          <w:szCs w:val="32"/>
        </w:rPr>
        <w:t xml:space="preserve"> decret</w:t>
      </w:r>
      <w:r w:rsidR="00B31743">
        <w:rPr>
          <w:rFonts w:ascii="Garamond" w:hAnsi="Garamond"/>
          <w:sz w:val="32"/>
          <w:szCs w:val="32"/>
        </w:rPr>
        <w:t>i</w:t>
      </w:r>
      <w:r w:rsidR="00175CC6" w:rsidRPr="003505A6">
        <w:rPr>
          <w:rFonts w:ascii="Garamond" w:hAnsi="Garamond"/>
          <w:sz w:val="32"/>
          <w:szCs w:val="32"/>
        </w:rPr>
        <w:t xml:space="preserve">-legge </w:t>
      </w:r>
      <w:r w:rsidR="00B31743">
        <w:rPr>
          <w:rFonts w:ascii="Garamond" w:hAnsi="Garamond"/>
          <w:sz w:val="32"/>
          <w:szCs w:val="32"/>
        </w:rPr>
        <w:t xml:space="preserve">n. 185 del 2015 (C. 3495 – interventi nel territorio e proroga deleghe revisione del bilancio), </w:t>
      </w:r>
      <w:r w:rsidR="00175CC6" w:rsidRPr="003505A6">
        <w:rPr>
          <w:rFonts w:ascii="Garamond" w:hAnsi="Garamond"/>
          <w:sz w:val="32"/>
          <w:szCs w:val="32"/>
        </w:rPr>
        <w:t>n. 4</w:t>
      </w:r>
      <w:r w:rsidR="001E5DE6">
        <w:rPr>
          <w:rFonts w:ascii="Garamond" w:hAnsi="Garamond"/>
          <w:sz w:val="32"/>
          <w:szCs w:val="32"/>
        </w:rPr>
        <w:t>2</w:t>
      </w:r>
      <w:r w:rsidR="00175CC6" w:rsidRPr="003505A6">
        <w:rPr>
          <w:rFonts w:ascii="Garamond" w:hAnsi="Garamond"/>
          <w:sz w:val="32"/>
          <w:szCs w:val="32"/>
        </w:rPr>
        <w:t xml:space="preserve"> del 201</w:t>
      </w:r>
      <w:r w:rsidR="001E5DE6">
        <w:rPr>
          <w:rFonts w:ascii="Garamond" w:hAnsi="Garamond"/>
          <w:sz w:val="32"/>
          <w:szCs w:val="32"/>
        </w:rPr>
        <w:t>6</w:t>
      </w:r>
      <w:r w:rsidR="00175CC6" w:rsidRPr="003505A6">
        <w:rPr>
          <w:rFonts w:ascii="Garamond" w:hAnsi="Garamond"/>
          <w:sz w:val="32"/>
          <w:szCs w:val="32"/>
        </w:rPr>
        <w:t xml:space="preserve"> (C. </w:t>
      </w:r>
      <w:r w:rsidR="001E5DE6">
        <w:rPr>
          <w:rFonts w:ascii="Garamond" w:hAnsi="Garamond"/>
          <w:sz w:val="32"/>
          <w:szCs w:val="32"/>
        </w:rPr>
        <w:t>3822</w:t>
      </w:r>
      <w:r w:rsidR="00175CC6" w:rsidRPr="003505A6">
        <w:rPr>
          <w:rFonts w:ascii="Garamond" w:hAnsi="Garamond"/>
          <w:sz w:val="32"/>
          <w:szCs w:val="32"/>
        </w:rPr>
        <w:t xml:space="preserve"> – </w:t>
      </w:r>
      <w:r w:rsidR="001E5DE6">
        <w:rPr>
          <w:rFonts w:ascii="Garamond" w:hAnsi="Garamond"/>
          <w:sz w:val="32"/>
          <w:szCs w:val="32"/>
        </w:rPr>
        <w:t>sistema scolastico e ricerca</w:t>
      </w:r>
      <w:r w:rsidR="00175CC6" w:rsidRPr="003505A6">
        <w:rPr>
          <w:rFonts w:ascii="Garamond" w:hAnsi="Garamond"/>
          <w:sz w:val="32"/>
          <w:szCs w:val="32"/>
        </w:rPr>
        <w:t>)</w:t>
      </w:r>
      <w:r w:rsidR="001E5DE6">
        <w:rPr>
          <w:rFonts w:ascii="Garamond" w:hAnsi="Garamond"/>
          <w:sz w:val="32"/>
          <w:szCs w:val="32"/>
        </w:rPr>
        <w:t xml:space="preserve"> e n. 67 del 2016 (C. 3953 – partecipazione italiana a missioni internazionali)</w:t>
      </w:r>
      <w:r w:rsidR="00175CC6" w:rsidRPr="003505A6">
        <w:rPr>
          <w:rFonts w:ascii="Garamond" w:hAnsi="Garamond"/>
          <w:sz w:val="32"/>
          <w:szCs w:val="32"/>
        </w:rPr>
        <w:t>, con riguardo a</w:t>
      </w:r>
      <w:r w:rsidR="001E5DE6">
        <w:rPr>
          <w:rFonts w:ascii="Garamond" w:hAnsi="Garamond"/>
          <w:sz w:val="32"/>
          <w:szCs w:val="32"/>
        </w:rPr>
        <w:t xml:space="preserve">ll’introduzione negli stessi di disposizioni incidenti su deleghe legislative, </w:t>
      </w:r>
      <w:r w:rsidR="00B31743">
        <w:rPr>
          <w:rFonts w:ascii="Garamond" w:hAnsi="Garamond"/>
          <w:sz w:val="32"/>
          <w:szCs w:val="32"/>
        </w:rPr>
        <w:t>richiamano</w:t>
      </w:r>
      <w:r w:rsidR="001E5DE6">
        <w:rPr>
          <w:rFonts w:ascii="Garamond" w:hAnsi="Garamond"/>
          <w:sz w:val="32"/>
          <w:szCs w:val="32"/>
        </w:rPr>
        <w:t xml:space="preserve"> i</w:t>
      </w:r>
      <w:r w:rsidR="00175CC6" w:rsidRPr="003505A6">
        <w:rPr>
          <w:rFonts w:ascii="Garamond" w:hAnsi="Garamond"/>
          <w:sz w:val="32"/>
          <w:szCs w:val="32"/>
        </w:rPr>
        <w:t xml:space="preserve"> limiti di contenuto dei decreti-legge</w:t>
      </w:r>
      <w:r w:rsidR="00B31743">
        <w:rPr>
          <w:rFonts w:ascii="Garamond" w:hAnsi="Garamond"/>
          <w:sz w:val="32"/>
          <w:szCs w:val="32"/>
        </w:rPr>
        <w:t xml:space="preserve"> imposti</w:t>
      </w:r>
      <w:r w:rsidR="00175CC6" w:rsidRPr="003505A6">
        <w:rPr>
          <w:rFonts w:ascii="Garamond" w:hAnsi="Garamond"/>
          <w:sz w:val="32"/>
          <w:szCs w:val="32"/>
        </w:rPr>
        <w:t xml:space="preserve"> dall’articolo 15, comma 2, lettera a) della leg</w:t>
      </w:r>
      <w:r w:rsidR="001E5DE6">
        <w:rPr>
          <w:rFonts w:ascii="Garamond" w:hAnsi="Garamond"/>
          <w:sz w:val="32"/>
          <w:szCs w:val="32"/>
        </w:rPr>
        <w:t>g</w:t>
      </w:r>
      <w:r w:rsidR="00175CC6" w:rsidRPr="003505A6">
        <w:rPr>
          <w:rFonts w:ascii="Garamond" w:hAnsi="Garamond"/>
          <w:sz w:val="32"/>
          <w:szCs w:val="32"/>
        </w:rPr>
        <w:t xml:space="preserve">e n. 400 del 1988, </w:t>
      </w:r>
      <w:r w:rsidR="00B31743">
        <w:rPr>
          <w:rFonts w:ascii="Garamond" w:hAnsi="Garamond"/>
          <w:sz w:val="32"/>
          <w:szCs w:val="32"/>
        </w:rPr>
        <w:t xml:space="preserve">facendo riferimento sia all’articolo 76, sia all’articolo </w:t>
      </w:r>
      <w:r w:rsidR="00B31743" w:rsidRPr="00C12C57">
        <w:rPr>
          <w:rFonts w:ascii="Garamond" w:hAnsi="Garamond"/>
          <w:sz w:val="32"/>
          <w:szCs w:val="32"/>
        </w:rPr>
        <w:t>77, secondo comma, della Costituzione</w:t>
      </w:r>
      <w:r w:rsidR="00175CC6" w:rsidRPr="00C12C57">
        <w:rPr>
          <w:rFonts w:ascii="Garamond" w:hAnsi="Garamond"/>
          <w:sz w:val="32"/>
          <w:szCs w:val="32"/>
        </w:rPr>
        <w:t xml:space="preserve"> (</w:t>
      </w:r>
      <w:hyperlink r:id="rId71" w:anchor="S04a02" w:history="1">
        <w:r w:rsidR="00175CC6" w:rsidRPr="00C12C57">
          <w:rPr>
            <w:rStyle w:val="Collegamentoipertestuale"/>
            <w:rFonts w:ascii="Garamond" w:hAnsi="Garamond"/>
            <w:sz w:val="32"/>
            <w:szCs w:val="32"/>
          </w:rPr>
          <w:t xml:space="preserve">Scheda </w:t>
        </w:r>
        <w:r w:rsidR="00B31743" w:rsidRPr="00C12C57">
          <w:rPr>
            <w:rStyle w:val="Collegamentoipertestuale"/>
            <w:rFonts w:ascii="Garamond" w:hAnsi="Garamond"/>
            <w:sz w:val="32"/>
            <w:szCs w:val="32"/>
          </w:rPr>
          <w:t>4</w:t>
        </w:r>
        <w:r w:rsidR="00175CC6" w:rsidRPr="00C12C57">
          <w:rPr>
            <w:rStyle w:val="Collegamentoipertestuale"/>
            <w:rFonts w:ascii="Garamond" w:hAnsi="Garamond"/>
            <w:sz w:val="32"/>
            <w:szCs w:val="32"/>
          </w:rPr>
          <w:t xml:space="preserve">, punto </w:t>
        </w:r>
        <w:r w:rsidR="00B31743" w:rsidRPr="00C12C57">
          <w:rPr>
            <w:rStyle w:val="Collegamentoipertestuale"/>
            <w:rFonts w:ascii="Garamond" w:hAnsi="Garamond"/>
            <w:sz w:val="32"/>
            <w:szCs w:val="32"/>
          </w:rPr>
          <w:t>2</w:t>
        </w:r>
      </w:hyperlink>
      <w:r w:rsidR="00B31743" w:rsidRPr="00C12C57">
        <w:rPr>
          <w:rFonts w:ascii="Garamond" w:hAnsi="Garamond"/>
          <w:sz w:val="32"/>
          <w:szCs w:val="32"/>
        </w:rPr>
        <w:t xml:space="preserve">; </w:t>
      </w:r>
      <w:hyperlink r:id="rId72" w:anchor="S16a02" w:history="1">
        <w:r w:rsidR="00B31743" w:rsidRPr="00C12C57">
          <w:rPr>
            <w:rStyle w:val="Collegamentoipertestuale"/>
            <w:rFonts w:ascii="Garamond" w:hAnsi="Garamond"/>
            <w:sz w:val="32"/>
            <w:szCs w:val="32"/>
          </w:rPr>
          <w:t>Scheda 16, punto 2</w:t>
        </w:r>
      </w:hyperlink>
      <w:r w:rsidR="00B31743" w:rsidRPr="00C12C57">
        <w:rPr>
          <w:rFonts w:ascii="Garamond" w:hAnsi="Garamond"/>
          <w:sz w:val="32"/>
          <w:szCs w:val="32"/>
        </w:rPr>
        <w:t xml:space="preserve">; </w:t>
      </w:r>
      <w:hyperlink r:id="rId73" w:anchor="S24a02bis" w:history="1">
        <w:r w:rsidR="00B31743" w:rsidRPr="00C12C57">
          <w:rPr>
            <w:rStyle w:val="Collegamentoipertestuale"/>
            <w:rFonts w:ascii="Garamond" w:hAnsi="Garamond"/>
            <w:sz w:val="32"/>
            <w:szCs w:val="32"/>
          </w:rPr>
          <w:t>Scheda 24, punto 2-</w:t>
        </w:r>
        <w:r w:rsidR="00B31743" w:rsidRPr="00C12C57">
          <w:rPr>
            <w:rStyle w:val="Collegamentoipertestuale"/>
            <w:rFonts w:ascii="Garamond" w:hAnsi="Garamond"/>
            <w:i/>
            <w:sz w:val="32"/>
            <w:szCs w:val="32"/>
          </w:rPr>
          <w:t>bis</w:t>
        </w:r>
      </w:hyperlink>
      <w:r w:rsidR="00175CC6" w:rsidRPr="00C12C57">
        <w:rPr>
          <w:rFonts w:ascii="Garamond" w:hAnsi="Garamond"/>
          <w:sz w:val="32"/>
          <w:szCs w:val="32"/>
        </w:rPr>
        <w:t>);</w:t>
      </w:r>
    </w:p>
    <w:p w:rsidR="00B31743" w:rsidRPr="00272035" w:rsidRDefault="00FA06F9" w:rsidP="00B31743">
      <w:pPr>
        <w:keepNext/>
        <w:rPr>
          <w:rFonts w:ascii="Garamond" w:hAnsi="Garamond"/>
          <w:sz w:val="32"/>
          <w:szCs w:val="32"/>
        </w:rPr>
      </w:pPr>
      <w:r w:rsidRPr="003505A6">
        <w:rPr>
          <w:rFonts w:ascii="Garamond" w:hAnsi="Garamond"/>
          <w:sz w:val="32"/>
          <w:szCs w:val="32"/>
        </w:rPr>
        <w:t xml:space="preserve">▪ </w:t>
      </w:r>
      <w:r w:rsidR="00B31743">
        <w:rPr>
          <w:rFonts w:ascii="Garamond" w:hAnsi="Garamond"/>
          <w:sz w:val="32"/>
          <w:szCs w:val="32"/>
        </w:rPr>
        <w:t xml:space="preserve">i pareri sul disegno di legge n. 2039 (consumo del suolo) e sulla proposta di legge n. 2212 (gestione acque pubbliche e servizio idrico) richiamano l’articolo 120, secondo comma, della Costituzione, sull’esercizio del potere sostitutivo da parte del Governo. Le premesse del primo </w:t>
      </w:r>
      <w:r w:rsidR="00175CC6" w:rsidRPr="003505A6">
        <w:rPr>
          <w:rFonts w:ascii="Garamond" w:hAnsi="Garamond"/>
          <w:sz w:val="32"/>
          <w:szCs w:val="32"/>
        </w:rPr>
        <w:t>parere</w:t>
      </w:r>
      <w:r w:rsidR="00B31743">
        <w:rPr>
          <w:rFonts w:ascii="Garamond" w:hAnsi="Garamond"/>
          <w:sz w:val="32"/>
          <w:szCs w:val="32"/>
        </w:rPr>
        <w:t>, dopo essersi soffermate sulla complessità delle procedure attuative previste (</w:t>
      </w:r>
      <w:r w:rsidR="007311ED">
        <w:rPr>
          <w:rFonts w:ascii="Garamond" w:hAnsi="Garamond"/>
          <w:sz w:val="32"/>
          <w:szCs w:val="32"/>
        </w:rPr>
        <w:t>cfr. il paragrafo 4.5</w:t>
      </w:r>
      <w:r w:rsidR="00B31743">
        <w:rPr>
          <w:rFonts w:ascii="Garamond" w:hAnsi="Garamond"/>
          <w:sz w:val="32"/>
          <w:szCs w:val="32"/>
        </w:rPr>
        <w:t xml:space="preserve">), segnalano </w:t>
      </w:r>
      <w:bookmarkStart w:id="65" w:name="_GoBack"/>
      <w:bookmarkEnd w:id="65"/>
      <w:r w:rsidR="00B31743">
        <w:rPr>
          <w:rFonts w:ascii="Garamond" w:hAnsi="Garamond"/>
          <w:sz w:val="32"/>
          <w:szCs w:val="32"/>
        </w:rPr>
        <w:t xml:space="preserve">che </w:t>
      </w:r>
      <w:r w:rsidR="00B31743" w:rsidRPr="00B31743">
        <w:rPr>
          <w:rFonts w:ascii="Garamond" w:hAnsi="Garamond"/>
          <w:sz w:val="32"/>
          <w:szCs w:val="32"/>
        </w:rPr>
        <w:t xml:space="preserve">«la procedura contempla inoltre quattro casi di esercizio del </w:t>
      </w:r>
      <w:r w:rsidR="00B31743" w:rsidRPr="00272035">
        <w:rPr>
          <w:rFonts w:ascii="Garamond" w:hAnsi="Garamond"/>
          <w:sz w:val="32"/>
          <w:szCs w:val="32"/>
        </w:rPr>
        <w:t xml:space="preserve">potere sostitutivo del Governo in caso di inerzia degli enti territoriali e in caso di mancata adozione di deliberazioni della Conferenza unificata. Alcune delle suddette procedure risultano delineate in difformità rispetto a quelle previste dall'articolo 8, comma 1, della legge n. 131 del 2003, in attuazione all'articolo 120, secondo comma, della Costituzione; in particolare: </w:t>
      </w:r>
    </w:p>
    <w:p w:rsidR="00B31743" w:rsidRPr="00B31743" w:rsidRDefault="00B31743" w:rsidP="00B31743">
      <w:pPr>
        <w:keepNext/>
        <w:rPr>
          <w:rFonts w:ascii="Garamond" w:hAnsi="Garamond"/>
          <w:sz w:val="32"/>
          <w:szCs w:val="32"/>
        </w:rPr>
      </w:pPr>
      <w:r w:rsidRPr="00272035">
        <w:rPr>
          <w:rFonts w:ascii="Garamond" w:hAnsi="Garamond"/>
          <w:sz w:val="32"/>
          <w:szCs w:val="32"/>
        </w:rPr>
        <w:t>l'articolo 3, comma 2, prevede un'ipotesi di potere sostitutivo</w:t>
      </w:r>
      <w:r w:rsidRPr="00B31743">
        <w:rPr>
          <w:rFonts w:ascii="Garamond" w:hAnsi="Garamond"/>
          <w:sz w:val="32"/>
          <w:szCs w:val="32"/>
        </w:rPr>
        <w:t xml:space="preserve"> del Governo da esercitarsi con decreto del Presidente del Consiglio dei ministri, in caso di mancata adozione, nel termine di 180 giorni, della deliberazione della Conferenza unificata </w:t>
      </w:r>
      <w:r w:rsidRPr="00B31743">
        <w:rPr>
          <w:rFonts w:ascii="Garamond" w:hAnsi="Garamond"/>
          <w:sz w:val="32"/>
          <w:szCs w:val="32"/>
        </w:rPr>
        <w:lastRenderedPageBreak/>
        <w:t xml:space="preserve">volta a stabilire criteri e modalità per la definizione della riduzione progressiva del consumo del suolo a livello nazionale; </w:t>
      </w:r>
    </w:p>
    <w:p w:rsidR="00B31743" w:rsidRPr="00B31743" w:rsidRDefault="00B31743" w:rsidP="00B31743">
      <w:pPr>
        <w:keepNext/>
        <w:rPr>
          <w:rFonts w:ascii="Garamond" w:hAnsi="Garamond"/>
          <w:sz w:val="32"/>
          <w:szCs w:val="32"/>
        </w:rPr>
      </w:pPr>
      <w:r w:rsidRPr="00B31743">
        <w:rPr>
          <w:rFonts w:ascii="Garamond" w:hAnsi="Garamond"/>
          <w:sz w:val="32"/>
          <w:szCs w:val="32"/>
        </w:rPr>
        <w:t>l'articolo 3, comma 6, introduce un'ipotesi di potere sostitutivo del Governo, anche in tal caso da esercitarsi con decreto del Presidente del Consiglio dei ministri, in caso di mancata adozione nel termine previsto della deliberazione della Conferenza unificata che stabilisce la ripartizione tra le regioni della r</w:t>
      </w:r>
      <w:r w:rsidR="005654AF">
        <w:rPr>
          <w:rFonts w:ascii="Garamond" w:hAnsi="Garamond"/>
          <w:sz w:val="32"/>
          <w:szCs w:val="32"/>
        </w:rPr>
        <w:t>iduzione del consumo del suolo;</w:t>
      </w:r>
    </w:p>
    <w:p w:rsidR="00B31743" w:rsidRPr="00B31743" w:rsidRDefault="00B31743" w:rsidP="00B31743">
      <w:pPr>
        <w:keepNext/>
        <w:rPr>
          <w:rFonts w:ascii="Garamond" w:hAnsi="Garamond"/>
          <w:sz w:val="32"/>
          <w:szCs w:val="32"/>
        </w:rPr>
      </w:pPr>
      <w:r w:rsidRPr="00B31743">
        <w:rPr>
          <w:rFonts w:ascii="Garamond" w:hAnsi="Garamond"/>
          <w:sz w:val="32"/>
          <w:szCs w:val="32"/>
        </w:rPr>
        <w:t xml:space="preserve">l'articolo 3, comma 9, introduce un'ipotesi di potere sostitutivo, anche in questo caso da esercitarsi con decreto del Presidente del Consiglio dei ministri, previa deliberazione del Consiglio dei ministri, su proposta del Ministro di settore, sentiti l'ISPRA e il Consiglio per la ricerca in agricoltura e per l'analisi dell'economia agraria – destinatari di una preventiva diffida – con il parere della Conferenza unificata, in caso di mancata adozione, da parte degli enti interessati, delle determinazioni volte alla </w:t>
      </w:r>
      <w:r w:rsidR="005654AF">
        <w:rPr>
          <w:rFonts w:ascii="Garamond" w:hAnsi="Garamond"/>
          <w:sz w:val="32"/>
          <w:szCs w:val="32"/>
        </w:rPr>
        <w:t>riduzione di consumo del suolo;</w:t>
      </w:r>
    </w:p>
    <w:p w:rsidR="00B31743" w:rsidRDefault="00B31743" w:rsidP="00B31743">
      <w:pPr>
        <w:keepNext/>
        <w:rPr>
          <w:rFonts w:ascii="Garamond" w:hAnsi="Garamond"/>
          <w:sz w:val="32"/>
          <w:szCs w:val="32"/>
        </w:rPr>
      </w:pPr>
      <w:r w:rsidRPr="00B31743">
        <w:rPr>
          <w:rFonts w:ascii="Garamond" w:hAnsi="Garamond"/>
          <w:sz w:val="32"/>
          <w:szCs w:val="32"/>
        </w:rPr>
        <w:t>infine, l'articolo 4, comma 4, introduce un'ulteriore ipotesi di potere sostitutivo, anche in questo caso da esercitarsi con decreto del Presidente del Consiglio dei ministri, previa intesa in sede di Conferenza unificata, in caso di mancata adozione, da parte delle regioni, di disposizioni volte ad incentivare i comuni ad adottare iniziative di rigenerazione urbana»</w:t>
      </w:r>
      <w:r>
        <w:rPr>
          <w:rFonts w:ascii="Garamond" w:hAnsi="Garamond"/>
          <w:sz w:val="32"/>
          <w:szCs w:val="32"/>
        </w:rPr>
        <w:t>.</w:t>
      </w:r>
    </w:p>
    <w:p w:rsidR="00740E9A" w:rsidRDefault="00B31743" w:rsidP="00B31743">
      <w:pPr>
        <w:keepNext/>
        <w:rPr>
          <w:rFonts w:ascii="Garamond" w:hAnsi="Garamond"/>
          <w:sz w:val="32"/>
          <w:szCs w:val="32"/>
        </w:rPr>
      </w:pPr>
      <w:r>
        <w:rPr>
          <w:rFonts w:ascii="Garamond" w:hAnsi="Garamond"/>
          <w:sz w:val="32"/>
          <w:szCs w:val="32"/>
        </w:rPr>
        <w:t>La condizione è così formulata: «</w:t>
      </w:r>
      <w:r w:rsidRPr="00B31743">
        <w:rPr>
          <w:rFonts w:ascii="Garamond" w:hAnsi="Garamond"/>
          <w:sz w:val="32"/>
          <w:szCs w:val="32"/>
        </w:rPr>
        <w:t>per quanto detto in premessa, si riformulino le disposizioni contenute all'articolo 3, commi 2 e 6, e all'articolo 4, comma 4, al fine di disciplinare l'esercizio del potere sostitutivo del Governo alla luce della procedura di attuazione dell'articolo 120 della Costituzione come delineata dall'articolo 8 della legge n.</w:t>
      </w:r>
      <w:r w:rsidRPr="00B31743">
        <w:rPr>
          <w:rFonts w:ascii="Garamond" w:hAnsi="Garamond"/>
          <w:sz w:val="32"/>
          <w:szCs w:val="32"/>
        </w:rPr>
        <w:t> </w:t>
      </w:r>
      <w:r w:rsidRPr="00B31743">
        <w:rPr>
          <w:rFonts w:ascii="Garamond" w:hAnsi="Garamond"/>
          <w:sz w:val="32"/>
          <w:szCs w:val="32"/>
        </w:rPr>
        <w:t>131 del 2003</w:t>
      </w:r>
      <w:r w:rsidR="00740E9A">
        <w:rPr>
          <w:rFonts w:ascii="Garamond" w:hAnsi="Garamond"/>
          <w:sz w:val="32"/>
          <w:szCs w:val="32"/>
        </w:rPr>
        <w:t>».</w:t>
      </w:r>
    </w:p>
    <w:p w:rsidR="004500B9" w:rsidRPr="003505A6" w:rsidRDefault="00740E9A" w:rsidP="00740E9A">
      <w:pPr>
        <w:keepNext/>
        <w:rPr>
          <w:rFonts w:ascii="Garamond" w:hAnsi="Garamond"/>
          <w:sz w:val="32"/>
          <w:szCs w:val="32"/>
        </w:rPr>
      </w:pPr>
      <w:r>
        <w:rPr>
          <w:rFonts w:ascii="Garamond" w:hAnsi="Garamond"/>
          <w:sz w:val="32"/>
          <w:szCs w:val="32"/>
        </w:rPr>
        <w:t>Il secondo parere inserisce il rilievo sull’esercizio dei poteri sostitutivi del Gove</w:t>
      </w:r>
      <w:r w:rsidR="00272035">
        <w:rPr>
          <w:rFonts w:ascii="Garamond" w:hAnsi="Garamond"/>
          <w:sz w:val="32"/>
          <w:szCs w:val="32"/>
        </w:rPr>
        <w:t>r</w:t>
      </w:r>
      <w:r>
        <w:rPr>
          <w:rFonts w:ascii="Garamond" w:hAnsi="Garamond"/>
          <w:sz w:val="32"/>
          <w:szCs w:val="32"/>
        </w:rPr>
        <w:t>no nell’ambito di un più ampio ragionamento sull’indefinitezza di diverse p</w:t>
      </w:r>
      <w:r w:rsidR="00272035">
        <w:rPr>
          <w:rFonts w:ascii="Garamond" w:hAnsi="Garamond"/>
          <w:sz w:val="32"/>
          <w:szCs w:val="32"/>
        </w:rPr>
        <w:t>r</w:t>
      </w:r>
      <w:r>
        <w:rPr>
          <w:rFonts w:ascii="Garamond" w:hAnsi="Garamond"/>
          <w:sz w:val="32"/>
          <w:szCs w:val="32"/>
        </w:rPr>
        <w:t>evisi</w:t>
      </w:r>
      <w:r w:rsidR="00272035">
        <w:rPr>
          <w:rFonts w:ascii="Garamond" w:hAnsi="Garamond"/>
          <w:sz w:val="32"/>
          <w:szCs w:val="32"/>
        </w:rPr>
        <w:t>o</w:t>
      </w:r>
      <w:r>
        <w:rPr>
          <w:rFonts w:ascii="Garamond" w:hAnsi="Garamond"/>
          <w:sz w:val="32"/>
          <w:szCs w:val="32"/>
        </w:rPr>
        <w:t>ni relative all’</w:t>
      </w:r>
      <w:r w:rsidR="00272035">
        <w:rPr>
          <w:rFonts w:ascii="Garamond" w:hAnsi="Garamond"/>
          <w:sz w:val="32"/>
          <w:szCs w:val="32"/>
        </w:rPr>
        <w:t>attua</w:t>
      </w:r>
      <w:r>
        <w:rPr>
          <w:rFonts w:ascii="Garamond" w:hAnsi="Garamond"/>
          <w:sz w:val="32"/>
          <w:szCs w:val="32"/>
        </w:rPr>
        <w:t>z</w:t>
      </w:r>
      <w:r w:rsidR="00272035">
        <w:rPr>
          <w:rFonts w:ascii="Garamond" w:hAnsi="Garamond"/>
          <w:sz w:val="32"/>
          <w:szCs w:val="32"/>
        </w:rPr>
        <w:t>i</w:t>
      </w:r>
      <w:r>
        <w:rPr>
          <w:rFonts w:ascii="Garamond" w:hAnsi="Garamond"/>
          <w:sz w:val="32"/>
          <w:szCs w:val="32"/>
        </w:rPr>
        <w:t xml:space="preserve">one </w:t>
      </w:r>
      <w:r w:rsidR="00272035">
        <w:rPr>
          <w:rFonts w:ascii="Garamond" w:hAnsi="Garamond"/>
          <w:sz w:val="32"/>
          <w:szCs w:val="32"/>
        </w:rPr>
        <w:t>della legge, formulando la seg</w:t>
      </w:r>
      <w:r>
        <w:rPr>
          <w:rFonts w:ascii="Garamond" w:hAnsi="Garamond"/>
          <w:sz w:val="32"/>
          <w:szCs w:val="32"/>
        </w:rPr>
        <w:t>uente condizione, analoga a quella già citata: «</w:t>
      </w:r>
      <w:r w:rsidRPr="00740E9A">
        <w:rPr>
          <w:rFonts w:ascii="Garamond" w:hAnsi="Garamond"/>
          <w:sz w:val="32"/>
          <w:szCs w:val="32"/>
        </w:rPr>
        <w:t xml:space="preserve">all’articolo 6, comma 9, si riconfiguri l’esercizio del potere sostitutivo alla luce della procedura di </w:t>
      </w:r>
      <w:r w:rsidRPr="00740E9A">
        <w:rPr>
          <w:rFonts w:ascii="Garamond" w:hAnsi="Garamond"/>
          <w:sz w:val="32"/>
          <w:szCs w:val="32"/>
        </w:rPr>
        <w:lastRenderedPageBreak/>
        <w:t>attuazione dell’articolo 120 della Costituzione come delineata dall’articolo 8 della legge n. 131 del 2003</w:t>
      </w:r>
      <w:r>
        <w:rPr>
          <w:rFonts w:ascii="Garamond" w:hAnsi="Garamond"/>
          <w:sz w:val="32"/>
          <w:szCs w:val="32"/>
        </w:rPr>
        <w:t>»</w:t>
      </w:r>
      <w:r w:rsidR="00B31743" w:rsidRPr="00B31743">
        <w:rPr>
          <w:rFonts w:ascii="Garamond" w:hAnsi="Garamond"/>
          <w:sz w:val="32"/>
          <w:szCs w:val="32"/>
        </w:rPr>
        <w:t xml:space="preserve">; </w:t>
      </w:r>
    </w:p>
    <w:p w:rsidR="004713E0" w:rsidRPr="003505A6" w:rsidRDefault="00740E9A" w:rsidP="004713E0">
      <w:pPr>
        <w:rPr>
          <w:rFonts w:ascii="Garamond" w:hAnsi="Garamond"/>
          <w:sz w:val="32"/>
          <w:szCs w:val="32"/>
        </w:rPr>
      </w:pPr>
      <w:r w:rsidRPr="003505A6">
        <w:rPr>
          <w:rFonts w:ascii="Garamond" w:hAnsi="Garamond"/>
          <w:sz w:val="32"/>
          <w:szCs w:val="32"/>
        </w:rPr>
        <w:t xml:space="preserve">▪ </w:t>
      </w:r>
      <w:r>
        <w:rPr>
          <w:rFonts w:ascii="Garamond" w:hAnsi="Garamond"/>
          <w:sz w:val="32"/>
          <w:szCs w:val="32"/>
        </w:rPr>
        <w:t>infine, un’osservazione del parere sulla proposta di legge n. 1460-B (ratifica della convenzione sull’assistenza giudiziaria penale), chiama in causa l’articolo 26 della Costituzione, sull’estradizione del cittadino (“consentita  soltanto ove sia espressamente prevista dalle convenzioni internazionali” e comunque non ammessa per reati politici): «</w:t>
      </w:r>
      <w:r w:rsidRPr="00740E9A">
        <w:rPr>
          <w:rFonts w:ascii="Garamond" w:hAnsi="Garamond"/>
          <w:sz w:val="32"/>
          <w:szCs w:val="32"/>
        </w:rPr>
        <w:t>all’articolo 4, comma 1, lettera d), numero 6), ove si fa riferimento ai casi di estradizione anche in assenza di Convenzione, si dovrebbe esplicitare, in conformità a quanto stabilito dall’articolo 26 della Costituzione, e come peraltro stabilito in termini generali al numero 2) della medesima lettera d), che tali fattispecie non riguardano i cittadini</w:t>
      </w:r>
      <w:r w:rsidR="005654AF">
        <w:rPr>
          <w:rFonts w:ascii="Garamond" w:hAnsi="Garamond"/>
          <w:sz w:val="32"/>
          <w:szCs w:val="32"/>
        </w:rPr>
        <w:t>».</w:t>
      </w:r>
    </w:p>
    <w:p w:rsidR="004713E0" w:rsidRPr="003505A6" w:rsidRDefault="00054A2C" w:rsidP="00EA442B">
      <w:pPr>
        <w:spacing w:line="240" w:lineRule="auto"/>
        <w:rPr>
          <w:rFonts w:ascii="Garamond" w:hAnsi="Garamond"/>
          <w:b/>
          <w:i/>
          <w:color w:val="0000FF"/>
          <w:sz w:val="28"/>
          <w:szCs w:val="28"/>
        </w:rPr>
      </w:pPr>
      <w:r w:rsidRPr="003505A6">
        <w:rPr>
          <w:rFonts w:ascii="Garamond" w:hAnsi="Garamond"/>
          <w:sz w:val="32"/>
          <w:szCs w:val="32"/>
        </w:rPr>
        <w:br w:type="page"/>
      </w:r>
    </w:p>
    <w:p w:rsidR="004713E0" w:rsidRPr="003505A6" w:rsidRDefault="004713E0" w:rsidP="00E63DBD">
      <w:pPr>
        <w:pStyle w:val="Titolo2"/>
        <w:spacing w:before="120"/>
        <w:rPr>
          <w:rFonts w:ascii="Garamond" w:hAnsi="Garamond"/>
          <w:i/>
          <w:color w:val="0000FF"/>
          <w:sz w:val="40"/>
          <w:szCs w:val="40"/>
        </w:rPr>
      </w:pPr>
      <w:bookmarkStart w:id="66" w:name="_4.11._La_giurisprudenza"/>
      <w:bookmarkStart w:id="67" w:name="P4_11"/>
      <w:bookmarkStart w:id="68" w:name="_Toc342035935"/>
      <w:bookmarkStart w:id="69" w:name="_Toc384976872"/>
      <w:bookmarkStart w:id="70" w:name="_Toc458677977"/>
      <w:bookmarkEnd w:id="66"/>
      <w:r w:rsidRPr="004631DC">
        <w:rPr>
          <w:rFonts w:ascii="Garamond" w:hAnsi="Garamond"/>
          <w:i/>
          <w:color w:val="0000FF"/>
          <w:sz w:val="40"/>
          <w:szCs w:val="40"/>
        </w:rPr>
        <w:lastRenderedPageBreak/>
        <w:t>4.1</w:t>
      </w:r>
      <w:r w:rsidR="007D4AAE" w:rsidRPr="004631DC">
        <w:rPr>
          <w:rFonts w:ascii="Garamond" w:hAnsi="Garamond"/>
          <w:i/>
          <w:color w:val="0000FF"/>
          <w:sz w:val="40"/>
          <w:szCs w:val="40"/>
        </w:rPr>
        <w:t>1</w:t>
      </w:r>
      <w:bookmarkEnd w:id="67"/>
      <w:r w:rsidRPr="004631DC">
        <w:rPr>
          <w:rFonts w:ascii="Garamond" w:hAnsi="Garamond"/>
          <w:i/>
          <w:color w:val="0000FF"/>
          <w:sz w:val="40"/>
          <w:szCs w:val="40"/>
        </w:rPr>
        <w:t>. La giurisprudenza della Corte costituzionale</w:t>
      </w:r>
      <w:bookmarkEnd w:id="68"/>
      <w:bookmarkEnd w:id="69"/>
      <w:bookmarkEnd w:id="70"/>
    </w:p>
    <w:p w:rsidR="00D61396" w:rsidRPr="003505A6" w:rsidRDefault="00606326" w:rsidP="00D61396">
      <w:pPr>
        <w:ind w:firstLine="180"/>
        <w:rPr>
          <w:rFonts w:ascii="Garamond" w:hAnsi="Garamond"/>
          <w:sz w:val="32"/>
          <w:szCs w:val="32"/>
        </w:rPr>
      </w:pPr>
      <w:r w:rsidRPr="003505A6">
        <w:rPr>
          <w:rFonts w:ascii="Garamond" w:hAnsi="Garamond"/>
          <w:sz w:val="32"/>
          <w:szCs w:val="32"/>
        </w:rPr>
        <w:t>Ne</w:t>
      </w:r>
      <w:r w:rsidR="004713E0" w:rsidRPr="003505A6">
        <w:rPr>
          <w:rFonts w:ascii="Garamond" w:hAnsi="Garamond"/>
          <w:sz w:val="32"/>
          <w:szCs w:val="32"/>
        </w:rPr>
        <w:t xml:space="preserve">l </w:t>
      </w:r>
      <w:r w:rsidR="00272035">
        <w:rPr>
          <w:rFonts w:ascii="Garamond" w:hAnsi="Garamond"/>
          <w:sz w:val="32"/>
          <w:szCs w:val="32"/>
        </w:rPr>
        <w:t>quart</w:t>
      </w:r>
      <w:r w:rsidR="004713E0" w:rsidRPr="003505A6">
        <w:rPr>
          <w:rFonts w:ascii="Garamond" w:hAnsi="Garamond"/>
          <w:sz w:val="32"/>
          <w:szCs w:val="32"/>
        </w:rPr>
        <w:t>o turno di presidenza del Comitato</w:t>
      </w:r>
      <w:r w:rsidRPr="003505A6">
        <w:rPr>
          <w:rFonts w:ascii="Garamond" w:hAnsi="Garamond"/>
          <w:sz w:val="32"/>
          <w:szCs w:val="32"/>
        </w:rPr>
        <w:t>, in tendenziale continuità con la linea emersa nei precedenti dieci mesi, sono stati abbastanza frequenti i richiami</w:t>
      </w:r>
      <w:r w:rsidR="00A34363" w:rsidRPr="003505A6">
        <w:rPr>
          <w:rFonts w:ascii="Garamond" w:hAnsi="Garamond"/>
          <w:sz w:val="32"/>
          <w:szCs w:val="32"/>
        </w:rPr>
        <w:t xml:space="preserve"> alla giurisprudenza della Corte costituzionale, </w:t>
      </w:r>
      <w:r w:rsidRPr="003505A6">
        <w:rPr>
          <w:rFonts w:ascii="Garamond" w:hAnsi="Garamond"/>
          <w:sz w:val="32"/>
          <w:szCs w:val="32"/>
        </w:rPr>
        <w:t>che ricorrono</w:t>
      </w:r>
      <w:r w:rsidR="0093331E" w:rsidRPr="003505A6">
        <w:rPr>
          <w:rFonts w:ascii="Garamond" w:hAnsi="Garamond"/>
          <w:sz w:val="32"/>
          <w:szCs w:val="32"/>
        </w:rPr>
        <w:t xml:space="preserve"> in </w:t>
      </w:r>
      <w:r w:rsidRPr="003505A6">
        <w:rPr>
          <w:rFonts w:ascii="Garamond" w:hAnsi="Garamond"/>
          <w:b/>
          <w:color w:val="0033CC"/>
          <w:sz w:val="32"/>
          <w:szCs w:val="32"/>
        </w:rPr>
        <w:t>7</w:t>
      </w:r>
      <w:r w:rsidR="0093331E" w:rsidRPr="003505A6">
        <w:rPr>
          <w:rFonts w:ascii="Garamond" w:hAnsi="Garamond"/>
          <w:sz w:val="32"/>
          <w:szCs w:val="32"/>
        </w:rPr>
        <w:t xml:space="preserve"> dei </w:t>
      </w:r>
      <w:r w:rsidRPr="003505A6">
        <w:rPr>
          <w:rFonts w:ascii="Garamond" w:hAnsi="Garamond"/>
          <w:b/>
          <w:color w:val="0033CC"/>
          <w:sz w:val="32"/>
          <w:szCs w:val="32"/>
        </w:rPr>
        <w:t>2</w:t>
      </w:r>
      <w:r w:rsidR="00012EE4">
        <w:rPr>
          <w:rFonts w:ascii="Garamond" w:hAnsi="Garamond"/>
          <w:b/>
          <w:color w:val="0033CC"/>
          <w:sz w:val="32"/>
          <w:szCs w:val="32"/>
        </w:rPr>
        <w:t>6</w:t>
      </w:r>
      <w:r w:rsidR="0093331E" w:rsidRPr="003505A6">
        <w:rPr>
          <w:rFonts w:ascii="Garamond" w:hAnsi="Garamond"/>
          <w:sz w:val="32"/>
          <w:szCs w:val="32"/>
        </w:rPr>
        <w:t xml:space="preserve"> pareri: </w:t>
      </w:r>
      <w:r w:rsidR="00012EE4">
        <w:rPr>
          <w:rFonts w:ascii="Garamond" w:hAnsi="Garamond"/>
          <w:b/>
          <w:sz w:val="32"/>
          <w:szCs w:val="32"/>
        </w:rPr>
        <w:t>3</w:t>
      </w:r>
      <w:r w:rsidR="0093331E" w:rsidRPr="003505A6">
        <w:rPr>
          <w:rFonts w:ascii="Garamond" w:hAnsi="Garamond"/>
          <w:sz w:val="32"/>
          <w:szCs w:val="32"/>
        </w:rPr>
        <w:t xml:space="preserve"> richiama</w:t>
      </w:r>
      <w:r w:rsidR="00012EE4">
        <w:rPr>
          <w:rFonts w:ascii="Garamond" w:hAnsi="Garamond"/>
          <w:sz w:val="32"/>
          <w:szCs w:val="32"/>
        </w:rPr>
        <w:t>no</w:t>
      </w:r>
      <w:r w:rsidR="0093331E" w:rsidRPr="003505A6">
        <w:rPr>
          <w:rFonts w:ascii="Garamond" w:hAnsi="Garamond"/>
          <w:sz w:val="32"/>
          <w:szCs w:val="32"/>
        </w:rPr>
        <w:t xml:space="preserve"> </w:t>
      </w:r>
      <w:r w:rsidR="00A34363" w:rsidRPr="003505A6">
        <w:rPr>
          <w:rFonts w:ascii="Garamond" w:hAnsi="Garamond"/>
          <w:sz w:val="32"/>
          <w:szCs w:val="32"/>
        </w:rPr>
        <w:t xml:space="preserve">sentenze </w:t>
      </w:r>
      <w:r w:rsidR="00A115E1" w:rsidRPr="003505A6">
        <w:rPr>
          <w:rFonts w:ascii="Garamond" w:hAnsi="Garamond"/>
          <w:sz w:val="32"/>
          <w:szCs w:val="32"/>
        </w:rPr>
        <w:t>comunque riconducibili al tema de</w:t>
      </w:r>
      <w:r w:rsidR="00A34363" w:rsidRPr="003505A6">
        <w:rPr>
          <w:rFonts w:ascii="Garamond" w:hAnsi="Garamond"/>
          <w:sz w:val="32"/>
          <w:szCs w:val="32"/>
        </w:rPr>
        <w:t>i limiti di contenuto della decretazione d’urgenza</w:t>
      </w:r>
      <w:r w:rsidR="0093331E" w:rsidRPr="003505A6">
        <w:rPr>
          <w:rFonts w:ascii="Garamond" w:hAnsi="Garamond"/>
          <w:sz w:val="32"/>
          <w:szCs w:val="32"/>
        </w:rPr>
        <w:t>;</w:t>
      </w:r>
      <w:r w:rsidR="00A115E1" w:rsidRPr="003505A6">
        <w:rPr>
          <w:rFonts w:ascii="Garamond" w:hAnsi="Garamond"/>
          <w:sz w:val="32"/>
          <w:szCs w:val="32"/>
        </w:rPr>
        <w:t xml:space="preserve"> </w:t>
      </w:r>
      <w:r w:rsidR="00012EE4">
        <w:rPr>
          <w:rFonts w:ascii="Garamond" w:hAnsi="Garamond"/>
          <w:b/>
          <w:sz w:val="32"/>
          <w:szCs w:val="32"/>
        </w:rPr>
        <w:t>1</w:t>
      </w:r>
      <w:r w:rsidR="0093331E" w:rsidRPr="003505A6">
        <w:rPr>
          <w:rFonts w:ascii="Garamond" w:hAnsi="Garamond"/>
          <w:sz w:val="32"/>
          <w:szCs w:val="32"/>
        </w:rPr>
        <w:t xml:space="preserve"> richiama </w:t>
      </w:r>
      <w:r w:rsidR="00012EE4">
        <w:rPr>
          <w:rFonts w:ascii="Garamond" w:hAnsi="Garamond"/>
          <w:sz w:val="32"/>
          <w:szCs w:val="32"/>
        </w:rPr>
        <w:t xml:space="preserve">due </w:t>
      </w:r>
      <w:r w:rsidR="0093331E" w:rsidRPr="003505A6">
        <w:rPr>
          <w:rFonts w:ascii="Garamond" w:hAnsi="Garamond"/>
          <w:sz w:val="32"/>
          <w:szCs w:val="32"/>
        </w:rPr>
        <w:t>sentenze</w:t>
      </w:r>
      <w:r w:rsidR="00A34363" w:rsidRPr="003505A6">
        <w:rPr>
          <w:rFonts w:ascii="Garamond" w:hAnsi="Garamond"/>
          <w:sz w:val="32"/>
          <w:szCs w:val="32"/>
        </w:rPr>
        <w:t xml:space="preserve"> </w:t>
      </w:r>
      <w:r w:rsidR="0093331E" w:rsidRPr="003505A6">
        <w:rPr>
          <w:rFonts w:ascii="Garamond" w:hAnsi="Garamond"/>
          <w:sz w:val="32"/>
          <w:szCs w:val="32"/>
        </w:rPr>
        <w:t>concernenti la formulazione di</w:t>
      </w:r>
      <w:r w:rsidR="00A34363" w:rsidRPr="003505A6">
        <w:rPr>
          <w:rFonts w:ascii="Garamond" w:hAnsi="Garamond"/>
          <w:sz w:val="32"/>
          <w:szCs w:val="32"/>
        </w:rPr>
        <w:t xml:space="preserve"> disposizioni di delega</w:t>
      </w:r>
      <w:r w:rsidR="0093331E" w:rsidRPr="003505A6">
        <w:rPr>
          <w:rFonts w:ascii="Garamond" w:hAnsi="Garamond"/>
          <w:sz w:val="32"/>
          <w:szCs w:val="32"/>
        </w:rPr>
        <w:t>zione legislativa</w:t>
      </w:r>
      <w:r w:rsidR="00012EE4">
        <w:rPr>
          <w:rFonts w:ascii="Garamond" w:hAnsi="Garamond"/>
          <w:sz w:val="32"/>
          <w:szCs w:val="32"/>
        </w:rPr>
        <w:t xml:space="preserve">; </w:t>
      </w:r>
      <w:r w:rsidR="00012EE4" w:rsidRPr="00012EE4">
        <w:rPr>
          <w:rFonts w:ascii="Garamond" w:hAnsi="Garamond"/>
          <w:b/>
          <w:sz w:val="32"/>
          <w:szCs w:val="32"/>
        </w:rPr>
        <w:t>3</w:t>
      </w:r>
      <w:r w:rsidR="00D61396" w:rsidRPr="003505A6">
        <w:rPr>
          <w:rFonts w:ascii="Garamond" w:hAnsi="Garamond"/>
          <w:sz w:val="32"/>
          <w:szCs w:val="32"/>
        </w:rPr>
        <w:t xml:space="preserve"> richiamano </w:t>
      </w:r>
      <w:r w:rsidR="00012EE4">
        <w:rPr>
          <w:rFonts w:ascii="Garamond" w:hAnsi="Garamond"/>
          <w:sz w:val="32"/>
          <w:szCs w:val="32"/>
        </w:rPr>
        <w:t xml:space="preserve">una </w:t>
      </w:r>
      <w:r w:rsidR="00D61396" w:rsidRPr="003505A6">
        <w:rPr>
          <w:rFonts w:ascii="Garamond" w:hAnsi="Garamond"/>
          <w:sz w:val="32"/>
          <w:szCs w:val="32"/>
        </w:rPr>
        <w:t>sentenz</w:t>
      </w:r>
      <w:r w:rsidR="00012EE4">
        <w:rPr>
          <w:rFonts w:ascii="Garamond" w:hAnsi="Garamond"/>
          <w:sz w:val="32"/>
          <w:szCs w:val="32"/>
        </w:rPr>
        <w:t>a</w:t>
      </w:r>
      <w:r w:rsidR="00D61396" w:rsidRPr="003505A6">
        <w:rPr>
          <w:rFonts w:ascii="Garamond" w:hAnsi="Garamond"/>
          <w:sz w:val="32"/>
          <w:szCs w:val="32"/>
        </w:rPr>
        <w:t xml:space="preserve"> </w:t>
      </w:r>
      <w:r w:rsidR="00012EE4">
        <w:rPr>
          <w:rFonts w:ascii="Garamond" w:hAnsi="Garamond"/>
          <w:sz w:val="32"/>
          <w:szCs w:val="32"/>
        </w:rPr>
        <w:t>dell</w:t>
      </w:r>
      <w:r w:rsidR="008C6601">
        <w:rPr>
          <w:rFonts w:ascii="Garamond" w:hAnsi="Garamond"/>
          <w:sz w:val="32"/>
          <w:szCs w:val="32"/>
        </w:rPr>
        <w:t>a Corte costituzionale ed una d</w:t>
      </w:r>
      <w:r w:rsidR="00012EE4">
        <w:rPr>
          <w:rFonts w:ascii="Garamond" w:hAnsi="Garamond"/>
          <w:sz w:val="32"/>
          <w:szCs w:val="32"/>
        </w:rPr>
        <w:t>e</w:t>
      </w:r>
      <w:r w:rsidR="008C6601">
        <w:rPr>
          <w:rFonts w:ascii="Garamond" w:hAnsi="Garamond"/>
          <w:sz w:val="32"/>
          <w:szCs w:val="32"/>
        </w:rPr>
        <w:t>l</w:t>
      </w:r>
      <w:r w:rsidR="00012EE4">
        <w:rPr>
          <w:rFonts w:ascii="Garamond" w:hAnsi="Garamond"/>
          <w:sz w:val="32"/>
          <w:szCs w:val="32"/>
        </w:rPr>
        <w:t xml:space="preserve"> Consiglio di Stato </w:t>
      </w:r>
      <w:r w:rsidR="00D61396" w:rsidRPr="003505A6">
        <w:rPr>
          <w:rFonts w:ascii="Garamond" w:hAnsi="Garamond"/>
          <w:sz w:val="32"/>
          <w:szCs w:val="32"/>
        </w:rPr>
        <w:t>attinenti a</w:t>
      </w:r>
      <w:r w:rsidR="00012EE4">
        <w:rPr>
          <w:rFonts w:ascii="Garamond" w:hAnsi="Garamond"/>
          <w:sz w:val="32"/>
          <w:szCs w:val="32"/>
        </w:rPr>
        <w:t>lla previsione di atti atipici, qualificati di natura non regolamentare</w:t>
      </w:r>
      <w:r w:rsidR="00D61396" w:rsidRPr="003505A6">
        <w:rPr>
          <w:rFonts w:ascii="Garamond" w:hAnsi="Garamond"/>
          <w:sz w:val="32"/>
          <w:szCs w:val="32"/>
        </w:rPr>
        <w:t>.</w:t>
      </w:r>
    </w:p>
    <w:p w:rsidR="000E5C94" w:rsidRPr="003505A6" w:rsidRDefault="000E5C94" w:rsidP="004713E0">
      <w:pPr>
        <w:ind w:firstLine="180"/>
        <w:rPr>
          <w:rFonts w:ascii="Garamond" w:hAnsi="Garamond"/>
          <w:sz w:val="32"/>
          <w:szCs w:val="32"/>
        </w:rPr>
      </w:pPr>
    </w:p>
    <w:p w:rsidR="00B96849" w:rsidRPr="003505A6" w:rsidRDefault="00B96849" w:rsidP="00617A19">
      <w:pPr>
        <w:pStyle w:val="Titolo2"/>
        <w:rPr>
          <w:rFonts w:ascii="Garamond" w:hAnsi="Garamond"/>
          <w:i/>
          <w:iCs/>
          <w:color w:val="0000FF"/>
          <w:sz w:val="28"/>
          <w:szCs w:val="28"/>
        </w:rPr>
      </w:pPr>
      <w:bookmarkStart w:id="71" w:name="_Toc458677978"/>
      <w:r w:rsidRPr="003505A6">
        <w:rPr>
          <w:rFonts w:ascii="Garamond" w:hAnsi="Garamond"/>
          <w:i/>
          <w:iCs/>
          <w:color w:val="0000FF"/>
          <w:sz w:val="28"/>
          <w:szCs w:val="28"/>
        </w:rPr>
        <w:t>4.11.1. Limiti di contenuto dei decreti-legge</w:t>
      </w:r>
      <w:bookmarkEnd w:id="71"/>
    </w:p>
    <w:p w:rsidR="00CA41DD" w:rsidRPr="003505A6" w:rsidRDefault="00012EE4" w:rsidP="008C6601">
      <w:pPr>
        <w:ind w:firstLine="180"/>
        <w:rPr>
          <w:rFonts w:ascii="Garamond" w:hAnsi="Garamond"/>
          <w:sz w:val="32"/>
          <w:szCs w:val="32"/>
        </w:rPr>
      </w:pPr>
      <w:r>
        <w:rPr>
          <w:rFonts w:ascii="Garamond" w:hAnsi="Garamond"/>
          <w:sz w:val="32"/>
          <w:szCs w:val="32"/>
        </w:rPr>
        <w:t xml:space="preserve">Sui tre pareri che richiamano la giurisprudenza costituzionale sui limiti di contenuto e l’omogeneità </w:t>
      </w:r>
      <w:r w:rsidR="00B96849" w:rsidRPr="003505A6">
        <w:rPr>
          <w:rFonts w:ascii="Garamond" w:hAnsi="Garamond"/>
          <w:sz w:val="32"/>
          <w:szCs w:val="32"/>
        </w:rPr>
        <w:t>dei decr</w:t>
      </w:r>
      <w:r w:rsidR="00ED4C6B" w:rsidRPr="003505A6">
        <w:rPr>
          <w:rFonts w:ascii="Garamond" w:hAnsi="Garamond"/>
          <w:sz w:val="32"/>
          <w:szCs w:val="32"/>
        </w:rPr>
        <w:t>et</w:t>
      </w:r>
      <w:r w:rsidR="00B96849" w:rsidRPr="003505A6">
        <w:rPr>
          <w:rFonts w:ascii="Garamond" w:hAnsi="Garamond"/>
          <w:sz w:val="32"/>
          <w:szCs w:val="32"/>
        </w:rPr>
        <w:t xml:space="preserve">i-legge </w:t>
      </w:r>
      <w:r>
        <w:rPr>
          <w:rFonts w:ascii="Garamond" w:hAnsi="Garamond"/>
          <w:sz w:val="32"/>
          <w:szCs w:val="32"/>
        </w:rPr>
        <w:t xml:space="preserve">mi sono già soffermato nel paragrafo </w:t>
      </w:r>
      <w:r w:rsidR="008C6601">
        <w:rPr>
          <w:rFonts w:ascii="Garamond" w:hAnsi="Garamond"/>
          <w:sz w:val="32"/>
          <w:szCs w:val="32"/>
        </w:rPr>
        <w:t xml:space="preserve">4.6, con </w:t>
      </w:r>
      <w:r>
        <w:rPr>
          <w:rFonts w:ascii="Garamond" w:hAnsi="Garamond"/>
          <w:sz w:val="32"/>
          <w:szCs w:val="32"/>
        </w:rPr>
        <w:t>riguard</w:t>
      </w:r>
      <w:r w:rsidR="008C6601">
        <w:rPr>
          <w:rFonts w:ascii="Garamond" w:hAnsi="Garamond"/>
          <w:sz w:val="32"/>
          <w:szCs w:val="32"/>
        </w:rPr>
        <w:t>o</w:t>
      </w:r>
      <w:r>
        <w:rPr>
          <w:rFonts w:ascii="Garamond" w:hAnsi="Garamond"/>
          <w:sz w:val="32"/>
          <w:szCs w:val="32"/>
        </w:rPr>
        <w:t xml:space="preserve"> </w:t>
      </w:r>
      <w:r w:rsidR="008C6601">
        <w:rPr>
          <w:rFonts w:ascii="Garamond" w:hAnsi="Garamond"/>
          <w:sz w:val="32"/>
          <w:szCs w:val="32"/>
        </w:rPr>
        <w:t>al</w:t>
      </w:r>
      <w:r>
        <w:rPr>
          <w:rFonts w:ascii="Garamond" w:hAnsi="Garamond"/>
          <w:sz w:val="32"/>
          <w:szCs w:val="32"/>
        </w:rPr>
        <w:t xml:space="preserve">la presenza di disposizioni di delega </w:t>
      </w:r>
      <w:r w:rsidR="008C6601">
        <w:rPr>
          <w:rFonts w:ascii="Garamond" w:hAnsi="Garamond"/>
          <w:sz w:val="32"/>
          <w:szCs w:val="32"/>
        </w:rPr>
        <w:t xml:space="preserve">nei disegni di legge di conversione. In tali pareri, come già segnalato, il Comitato si confronta sia con la consolidata linea maturata alla Camera, volta a considerare inammissibile l’introduzione, nel disegno di legge di conversione, di previsioni sostanziali, soprattutto se incidenti su disposizioni di delega, sia con la più flessibile giurisprudenza della Corte costituzionale, che ne consente l’inserimento, a patto che tali previsioni siano omogenee con il contenuto dei decreti-legge. </w:t>
      </w:r>
    </w:p>
    <w:p w:rsidR="000E5C94" w:rsidRPr="003505A6" w:rsidRDefault="000E5C94" w:rsidP="004713E0">
      <w:pPr>
        <w:ind w:firstLine="180"/>
        <w:rPr>
          <w:rFonts w:ascii="Garamond" w:hAnsi="Garamond"/>
          <w:sz w:val="32"/>
          <w:szCs w:val="32"/>
        </w:rPr>
      </w:pPr>
    </w:p>
    <w:p w:rsidR="000E5C94" w:rsidRPr="003505A6" w:rsidRDefault="008C6601" w:rsidP="00617A19">
      <w:pPr>
        <w:pStyle w:val="Titolo2"/>
        <w:rPr>
          <w:rFonts w:ascii="Garamond" w:hAnsi="Garamond"/>
          <w:i/>
          <w:iCs/>
          <w:color w:val="0000FF"/>
          <w:sz w:val="28"/>
          <w:szCs w:val="28"/>
        </w:rPr>
      </w:pPr>
      <w:bookmarkStart w:id="72" w:name="_Toc458677979"/>
      <w:r>
        <w:rPr>
          <w:rFonts w:ascii="Garamond" w:hAnsi="Garamond"/>
          <w:i/>
          <w:iCs/>
          <w:color w:val="0000FF"/>
          <w:sz w:val="28"/>
          <w:szCs w:val="28"/>
        </w:rPr>
        <w:t>4.11.2. La formulazione di disposizioni di delega</w:t>
      </w:r>
      <w:bookmarkEnd w:id="72"/>
    </w:p>
    <w:p w:rsidR="008C6601" w:rsidRDefault="008C6601" w:rsidP="008C6601">
      <w:pPr>
        <w:spacing w:after="120"/>
        <w:rPr>
          <w:rFonts w:ascii="Garamond" w:hAnsi="Garamond"/>
          <w:sz w:val="32"/>
          <w:szCs w:val="32"/>
        </w:rPr>
      </w:pPr>
      <w:r>
        <w:rPr>
          <w:rFonts w:ascii="Garamond" w:hAnsi="Garamond"/>
          <w:sz w:val="32"/>
          <w:szCs w:val="32"/>
        </w:rPr>
        <w:t xml:space="preserve">Nel parere sul disegno di legge di delegazione europea 2015 (C. 3540) il Comitato svolge nelle premesse un ampio </w:t>
      </w:r>
      <w:r>
        <w:rPr>
          <w:rFonts w:ascii="Garamond" w:hAnsi="Garamond"/>
          <w:sz w:val="32"/>
          <w:szCs w:val="32"/>
        </w:rPr>
        <w:lastRenderedPageBreak/>
        <w:t xml:space="preserve">ragionamento sulla genericità di taluni principi e criteri direttivi, che in qualche caso lasciano aperte più opzioni, dilatando la discrezionalità del legislatore delegato: </w:t>
      </w:r>
      <w:r w:rsidRPr="008C6601">
        <w:rPr>
          <w:rFonts w:ascii="Garamond" w:hAnsi="Garamond"/>
          <w:sz w:val="32"/>
          <w:szCs w:val="32"/>
        </w:rPr>
        <w:t xml:space="preserve">«taluni </w:t>
      </w:r>
      <w:r w:rsidRPr="00045010">
        <w:rPr>
          <w:rFonts w:ascii="Garamond" w:hAnsi="Garamond"/>
          <w:sz w:val="32"/>
          <w:szCs w:val="32"/>
        </w:rPr>
        <w:t xml:space="preserve">principi e criteri direttivi sono formulati con espressioni che fanno riferimento a mere eventualità ossia a opzioni alternative selezionabili dal Governo delegato; in particolare, l’articolo 13, comma 1, nell’enucleare i </w:t>
      </w:r>
      <w:r w:rsidRPr="00045010">
        <w:rPr>
          <w:rFonts w:ascii="Garamond" w:hAnsi="Garamond"/>
          <w:iCs/>
          <w:sz w:val="32"/>
          <w:szCs w:val="32"/>
        </w:rPr>
        <w:t>princìpi e criteri direttivi per l'attuazione della direttiva 2014/92/UE, sulla comparabilità delle</w:t>
      </w:r>
      <w:r w:rsidRPr="008C6601">
        <w:rPr>
          <w:rFonts w:ascii="Garamond" w:hAnsi="Garamond"/>
          <w:iCs/>
          <w:sz w:val="32"/>
          <w:szCs w:val="32"/>
        </w:rPr>
        <w:t xml:space="preserve"> spese relative al conto di pagamento, sul trasferimento del conto di pagamento e sull'accesso al conto di pagamento</w:t>
      </w:r>
      <w:r w:rsidRPr="008C6601">
        <w:rPr>
          <w:rFonts w:ascii="Garamond" w:hAnsi="Garamond"/>
          <w:sz w:val="32"/>
          <w:szCs w:val="32"/>
        </w:rPr>
        <w:t xml:space="preserve">: alla lettera </w:t>
      </w:r>
      <w:r w:rsidRPr="008C6601">
        <w:rPr>
          <w:rFonts w:ascii="Garamond" w:hAnsi="Garamond"/>
          <w:i/>
          <w:sz w:val="32"/>
          <w:szCs w:val="32"/>
        </w:rPr>
        <w:t>h</w:t>
      </w:r>
      <w:r w:rsidRPr="008C6601">
        <w:rPr>
          <w:rFonts w:ascii="Garamond" w:hAnsi="Garamond"/>
          <w:sz w:val="32"/>
          <w:szCs w:val="32"/>
        </w:rPr>
        <w:t xml:space="preserve">), numero 1), </w:t>
      </w:r>
      <w:r w:rsidRPr="008C6601">
        <w:rPr>
          <w:rFonts w:ascii="Garamond" w:hAnsi="Garamond"/>
          <w:iCs/>
          <w:sz w:val="32"/>
          <w:szCs w:val="32"/>
        </w:rPr>
        <w:t>affida al Governo il compito di “</w:t>
      </w:r>
      <w:r w:rsidRPr="008C6601">
        <w:rPr>
          <w:rFonts w:ascii="Garamond" w:hAnsi="Garamond"/>
          <w:i/>
          <w:iCs/>
          <w:sz w:val="32"/>
          <w:szCs w:val="32"/>
        </w:rPr>
        <w:t>valutare</w:t>
      </w:r>
      <w:r w:rsidRPr="008C6601">
        <w:rPr>
          <w:rFonts w:ascii="Garamond" w:hAnsi="Garamond"/>
          <w:iCs/>
          <w:sz w:val="32"/>
          <w:szCs w:val="32"/>
        </w:rPr>
        <w:t xml:space="preserve"> l'estensione della disciplina recata dagli articoli 2 e 2-</w:t>
      </w:r>
      <w:r w:rsidRPr="008C6601">
        <w:rPr>
          <w:rFonts w:ascii="Garamond" w:hAnsi="Garamond"/>
          <w:i/>
          <w:iCs/>
          <w:sz w:val="32"/>
          <w:szCs w:val="32"/>
        </w:rPr>
        <w:t>bis</w:t>
      </w:r>
      <w:r w:rsidRPr="008C6601">
        <w:rPr>
          <w:rFonts w:ascii="Garamond" w:hAnsi="Garamond"/>
          <w:iCs/>
          <w:sz w:val="32"/>
          <w:szCs w:val="32"/>
        </w:rPr>
        <w:t xml:space="preserve"> del decreto-legge 24 gennaio 2015, n. 3, (…) anche” a casi ulteriori rispetto a quelli ivi contemplati</w:t>
      </w:r>
      <w:r w:rsidRPr="008C6601">
        <w:rPr>
          <w:rFonts w:ascii="Garamond" w:hAnsi="Garamond"/>
          <w:sz w:val="32"/>
          <w:szCs w:val="32"/>
        </w:rPr>
        <w:t xml:space="preserve">; alla lettera </w:t>
      </w:r>
      <w:r w:rsidRPr="008C6601">
        <w:rPr>
          <w:rFonts w:ascii="Garamond" w:hAnsi="Garamond"/>
          <w:i/>
          <w:sz w:val="32"/>
          <w:szCs w:val="32"/>
        </w:rPr>
        <w:t>h)</w:t>
      </w:r>
      <w:r w:rsidRPr="008C6601">
        <w:rPr>
          <w:rFonts w:ascii="Garamond" w:hAnsi="Garamond"/>
          <w:sz w:val="32"/>
          <w:szCs w:val="32"/>
        </w:rPr>
        <w:t>, numero 4), delega il Governo a “</w:t>
      </w:r>
      <w:r w:rsidRPr="008C6601">
        <w:rPr>
          <w:rFonts w:ascii="Garamond" w:hAnsi="Garamond"/>
          <w:i/>
          <w:sz w:val="32"/>
          <w:szCs w:val="32"/>
        </w:rPr>
        <w:t>valutare</w:t>
      </w:r>
      <w:r w:rsidRPr="008C6601">
        <w:rPr>
          <w:rFonts w:ascii="Garamond" w:hAnsi="Garamond"/>
          <w:sz w:val="32"/>
          <w:szCs w:val="32"/>
        </w:rPr>
        <w:t xml:space="preserve"> se introdurre meccanismi di trasferimento alternativi (…)”; alla lettera </w:t>
      </w:r>
      <w:r w:rsidRPr="008C6601">
        <w:rPr>
          <w:rFonts w:ascii="Garamond" w:hAnsi="Garamond"/>
          <w:i/>
          <w:sz w:val="32"/>
          <w:szCs w:val="32"/>
        </w:rPr>
        <w:t>i</w:t>
      </w:r>
      <w:r w:rsidRPr="008C6601">
        <w:rPr>
          <w:rFonts w:ascii="Garamond" w:hAnsi="Garamond"/>
          <w:sz w:val="32"/>
          <w:szCs w:val="32"/>
        </w:rPr>
        <w:t xml:space="preserve">), numero 5), delega il Governo a “prevedere, </w:t>
      </w:r>
      <w:r w:rsidRPr="008C6601">
        <w:rPr>
          <w:rFonts w:ascii="Garamond" w:hAnsi="Garamond"/>
          <w:i/>
          <w:sz w:val="32"/>
          <w:szCs w:val="32"/>
        </w:rPr>
        <w:t>ove opportuno</w:t>
      </w:r>
      <w:r w:rsidRPr="008C6601">
        <w:rPr>
          <w:rFonts w:ascii="Garamond" w:hAnsi="Garamond"/>
          <w:sz w:val="32"/>
          <w:szCs w:val="32"/>
        </w:rPr>
        <w:t xml:space="preserve">, un numero minimo di operazioni comprese nel canone annuo (…)”. In altri casi, l’eventualità si riferisce all’attribuzione di funzioni e di potestà normative: in particolare, l’articolo 10, comma 1, lettera </w:t>
      </w:r>
      <w:r w:rsidRPr="008C6601">
        <w:rPr>
          <w:rFonts w:ascii="Garamond" w:hAnsi="Garamond"/>
          <w:i/>
          <w:sz w:val="32"/>
          <w:szCs w:val="32"/>
        </w:rPr>
        <w:t>d</w:t>
      </w:r>
      <w:r w:rsidRPr="008C6601">
        <w:rPr>
          <w:rFonts w:ascii="Garamond" w:hAnsi="Garamond"/>
          <w:sz w:val="32"/>
          <w:szCs w:val="32"/>
        </w:rPr>
        <w:t xml:space="preserve">), delega il Governo a “attribuire, </w:t>
      </w:r>
      <w:r w:rsidRPr="008C6601">
        <w:rPr>
          <w:rFonts w:ascii="Garamond" w:hAnsi="Garamond"/>
          <w:i/>
          <w:sz w:val="32"/>
          <w:szCs w:val="32"/>
        </w:rPr>
        <w:t>ove del caso</w:t>
      </w:r>
      <w:r w:rsidRPr="008C6601">
        <w:rPr>
          <w:rFonts w:ascii="Garamond" w:hAnsi="Garamond"/>
          <w:sz w:val="32"/>
          <w:szCs w:val="32"/>
        </w:rPr>
        <w:t xml:space="preserve">, alle autorità designate ai sensi delle lettere </w:t>
      </w:r>
      <w:r w:rsidRPr="008C6601">
        <w:rPr>
          <w:rFonts w:ascii="Garamond" w:hAnsi="Garamond"/>
          <w:i/>
          <w:iCs/>
          <w:sz w:val="32"/>
          <w:szCs w:val="32"/>
        </w:rPr>
        <w:t>b)</w:t>
      </w:r>
      <w:r w:rsidRPr="008C6601">
        <w:rPr>
          <w:rFonts w:ascii="Garamond" w:hAnsi="Garamond"/>
          <w:sz w:val="32"/>
          <w:szCs w:val="32"/>
        </w:rPr>
        <w:t xml:space="preserve"> e </w:t>
      </w:r>
      <w:r w:rsidRPr="008C6601">
        <w:rPr>
          <w:rFonts w:ascii="Garamond" w:hAnsi="Garamond"/>
          <w:i/>
          <w:iCs/>
          <w:sz w:val="32"/>
          <w:szCs w:val="32"/>
        </w:rPr>
        <w:t>c)</w:t>
      </w:r>
      <w:r w:rsidRPr="008C6601">
        <w:rPr>
          <w:rFonts w:ascii="Garamond" w:hAnsi="Garamond"/>
          <w:sz w:val="32"/>
          <w:szCs w:val="32"/>
        </w:rPr>
        <w:t xml:space="preserve"> i poteri di vigilanza e di indagine previsti dal regolamento (UE) n. 751/2015 e, </w:t>
      </w:r>
      <w:r w:rsidRPr="008C6601">
        <w:rPr>
          <w:rFonts w:ascii="Garamond" w:hAnsi="Garamond"/>
          <w:i/>
          <w:sz w:val="32"/>
          <w:szCs w:val="32"/>
        </w:rPr>
        <w:t>ove opportuno</w:t>
      </w:r>
      <w:r w:rsidRPr="008C6601">
        <w:rPr>
          <w:rFonts w:ascii="Garamond" w:hAnsi="Garamond"/>
          <w:sz w:val="32"/>
          <w:szCs w:val="32"/>
        </w:rPr>
        <w:t xml:space="preserve">, il potere di adottare disposizioni di disciplina secondaria funzionali a (…)” una serie di obiettivi; l’articolo 11, comma 2, lettera </w:t>
      </w:r>
      <w:r w:rsidRPr="008C6601">
        <w:rPr>
          <w:rFonts w:ascii="Garamond" w:hAnsi="Garamond"/>
          <w:i/>
          <w:sz w:val="32"/>
          <w:szCs w:val="32"/>
        </w:rPr>
        <w:t>a</w:t>
      </w:r>
      <w:r w:rsidRPr="008C6601">
        <w:rPr>
          <w:rFonts w:ascii="Garamond" w:hAnsi="Garamond"/>
          <w:sz w:val="32"/>
          <w:szCs w:val="32"/>
        </w:rPr>
        <w:t>) delega il Governo ad</w:t>
      </w:r>
      <w:r w:rsidRPr="008C6601">
        <w:rPr>
          <w:rFonts w:ascii="Garamond" w:hAnsi="Garamond"/>
          <w:b/>
          <w:sz w:val="32"/>
          <w:szCs w:val="32"/>
        </w:rPr>
        <w:t xml:space="preserve"> </w:t>
      </w:r>
      <w:r w:rsidRPr="008C6601">
        <w:rPr>
          <w:rFonts w:ascii="Garamond" w:hAnsi="Garamond"/>
          <w:sz w:val="32"/>
          <w:szCs w:val="32"/>
        </w:rPr>
        <w:t xml:space="preserve">“apportare al testo unico delle disposizioni in materia di intermediazione finanziaria, di cui al decreto legislativo 24 febbraio 1998, n. 58, le modificazioni necessarie all'applicazione del regolamento (UE) n. 2015/760, prevedendo, </w:t>
      </w:r>
      <w:r w:rsidRPr="008C6601">
        <w:rPr>
          <w:rFonts w:ascii="Garamond" w:hAnsi="Garamond"/>
          <w:i/>
          <w:sz w:val="32"/>
          <w:szCs w:val="32"/>
        </w:rPr>
        <w:t>ove opportuno</w:t>
      </w:r>
      <w:r w:rsidRPr="008C6601">
        <w:rPr>
          <w:rFonts w:ascii="Garamond" w:hAnsi="Garamond"/>
          <w:sz w:val="32"/>
          <w:szCs w:val="32"/>
        </w:rPr>
        <w:t xml:space="preserve">, il ricorso alla disciplina secondaria e attribuendo le competenze e i poteri di vigilanza e di indagine previsti nel regolamento alla Banca d'Italia e alla CONSOB (…)”; l’articolo 12, comma 1, alinea, nell’introdurre i principi e criteri direttivi per l'esercizio della delega per l'attuazione della direttiva 2014/17/UE, già prevista dall'articolo 1, comma 1, e </w:t>
      </w:r>
      <w:r w:rsidRPr="008C6601">
        <w:rPr>
          <w:rFonts w:ascii="Garamond" w:hAnsi="Garamond"/>
          <w:sz w:val="32"/>
          <w:szCs w:val="32"/>
        </w:rPr>
        <w:lastRenderedPageBreak/>
        <w:t>dall'allegato B della legge 9 luglio 2015, n. 114, attribuisce al Governo la facoltà di prevedere “</w:t>
      </w:r>
      <w:r w:rsidRPr="008C6601">
        <w:rPr>
          <w:rFonts w:ascii="Garamond" w:hAnsi="Garamond"/>
          <w:i/>
          <w:sz w:val="32"/>
          <w:szCs w:val="32"/>
        </w:rPr>
        <w:t>ove opportuno</w:t>
      </w:r>
      <w:r w:rsidRPr="008C6601">
        <w:rPr>
          <w:rFonts w:ascii="Garamond" w:hAnsi="Garamond"/>
          <w:sz w:val="32"/>
          <w:szCs w:val="32"/>
        </w:rPr>
        <w:t xml:space="preserve">, il ricorso alla disciplina secondaria della Banca d'Italia senza necessità di previa deliberazione del Comitato interministeriale per il credito e il risparmio (CICR) e considerando le linee guida emanate dall'Autorità bancaria europea e i regolamenti adottati, ai sensi dell'articolo 17, comma 3, della legge 23 agosto 1988, n. 400, dal Ministro dell'economia e delle finanze”; infine, l’articolo 14, comma 2, lettera </w:t>
      </w:r>
      <w:r w:rsidRPr="008C6601">
        <w:rPr>
          <w:rFonts w:ascii="Garamond" w:hAnsi="Garamond"/>
          <w:i/>
          <w:sz w:val="32"/>
          <w:szCs w:val="32"/>
        </w:rPr>
        <w:t>n</w:t>
      </w:r>
      <w:r w:rsidRPr="008C6601">
        <w:rPr>
          <w:rFonts w:ascii="Garamond" w:hAnsi="Garamond"/>
          <w:sz w:val="32"/>
          <w:szCs w:val="32"/>
        </w:rPr>
        <w:t>), delega il Governo a prevedere, “</w:t>
      </w:r>
      <w:r w:rsidRPr="008C6601">
        <w:rPr>
          <w:rFonts w:ascii="Garamond" w:hAnsi="Garamond"/>
          <w:i/>
          <w:sz w:val="32"/>
          <w:szCs w:val="32"/>
        </w:rPr>
        <w:t>ove opportuno</w:t>
      </w:r>
      <w:r w:rsidRPr="008C6601">
        <w:rPr>
          <w:rFonts w:ascii="Garamond" w:hAnsi="Garamond"/>
          <w:sz w:val="32"/>
          <w:szCs w:val="32"/>
        </w:rPr>
        <w:t xml:space="preserve">, il ricorso alla normativa secondaria”. In relazione a tutte le anzidette fattispecie, si segnala che, in un </w:t>
      </w:r>
      <w:proofErr w:type="spellStart"/>
      <w:r w:rsidRPr="008C6601">
        <w:rPr>
          <w:rFonts w:ascii="Garamond" w:hAnsi="Garamond"/>
          <w:i/>
          <w:sz w:val="32"/>
          <w:szCs w:val="32"/>
        </w:rPr>
        <w:t>obiter</w:t>
      </w:r>
      <w:proofErr w:type="spellEnd"/>
      <w:r w:rsidRPr="008C6601">
        <w:rPr>
          <w:rFonts w:ascii="Garamond" w:hAnsi="Garamond"/>
          <w:i/>
          <w:sz w:val="32"/>
          <w:szCs w:val="32"/>
        </w:rPr>
        <w:t xml:space="preserve"> </w:t>
      </w:r>
      <w:proofErr w:type="spellStart"/>
      <w:r w:rsidRPr="008C6601">
        <w:rPr>
          <w:rFonts w:ascii="Garamond" w:hAnsi="Garamond"/>
          <w:i/>
          <w:sz w:val="32"/>
          <w:szCs w:val="32"/>
        </w:rPr>
        <w:t>dictum</w:t>
      </w:r>
      <w:proofErr w:type="spellEnd"/>
      <w:r w:rsidRPr="008C6601">
        <w:rPr>
          <w:rFonts w:ascii="Garamond" w:hAnsi="Garamond"/>
          <w:sz w:val="32"/>
          <w:szCs w:val="32"/>
        </w:rPr>
        <w:t>, la Corte costituzionale ha rilevato che: “</w:t>
      </w:r>
      <w:r w:rsidRPr="008C6601">
        <w:rPr>
          <w:rFonts w:ascii="Garamond" w:hAnsi="Garamond"/>
          <w:i/>
          <w:sz w:val="32"/>
          <w:szCs w:val="32"/>
        </w:rPr>
        <w:t>il libero apprezzamento del legislatore delegato non può mai assurgere a principio od a criterio direttivo, in quanto agli antipodi di una legislazione vincolata, quale è, per definizione, la legislazione su delega</w:t>
      </w:r>
      <w:r w:rsidRPr="008C6601">
        <w:rPr>
          <w:rFonts w:ascii="Garamond" w:hAnsi="Garamond"/>
          <w:sz w:val="32"/>
          <w:szCs w:val="32"/>
        </w:rPr>
        <w:t xml:space="preserve">” (sentenze n. 68 del 1991 e n. </w:t>
      </w:r>
      <w:r w:rsidRPr="000624FA">
        <w:rPr>
          <w:rFonts w:ascii="Garamond" w:hAnsi="Garamond"/>
          <w:sz w:val="32"/>
          <w:szCs w:val="32"/>
        </w:rPr>
        <w:t>340 del 2007)» (</w:t>
      </w:r>
      <w:hyperlink r:id="rId74" w:anchor="S11a02" w:history="1">
        <w:r w:rsidRPr="000624FA">
          <w:rPr>
            <w:rStyle w:val="Collegamentoipertestuale"/>
            <w:rFonts w:ascii="Garamond" w:hAnsi="Garamond"/>
            <w:sz w:val="32"/>
            <w:szCs w:val="32"/>
          </w:rPr>
          <w:t>Scheda 11, punto 2</w:t>
        </w:r>
      </w:hyperlink>
      <w:r w:rsidRPr="000624FA">
        <w:rPr>
          <w:rFonts w:ascii="Garamond" w:hAnsi="Garamond"/>
          <w:sz w:val="32"/>
          <w:szCs w:val="32"/>
        </w:rPr>
        <w:t>).</w:t>
      </w:r>
    </w:p>
    <w:p w:rsidR="008B12C9" w:rsidRPr="003505A6" w:rsidRDefault="008B12C9" w:rsidP="008B12C9">
      <w:pPr>
        <w:spacing w:after="120"/>
        <w:rPr>
          <w:rFonts w:ascii="Garamond" w:hAnsi="Garamond"/>
          <w:sz w:val="32"/>
          <w:szCs w:val="32"/>
        </w:rPr>
      </w:pPr>
      <w:r>
        <w:rPr>
          <w:rFonts w:ascii="Garamond" w:hAnsi="Garamond"/>
          <w:sz w:val="32"/>
          <w:szCs w:val="32"/>
        </w:rPr>
        <w:t>La conseguente condizione è volta a specificare</w:t>
      </w:r>
      <w:r w:rsidRPr="008B12C9">
        <w:rPr>
          <w:rFonts w:ascii="Garamond" w:hAnsi="Garamond"/>
          <w:sz w:val="32"/>
          <w:szCs w:val="32"/>
        </w:rPr>
        <w:t xml:space="preserve"> </w:t>
      </w:r>
      <w:r>
        <w:rPr>
          <w:rFonts w:ascii="Garamond" w:hAnsi="Garamond"/>
          <w:sz w:val="32"/>
          <w:szCs w:val="32"/>
        </w:rPr>
        <w:t>«</w:t>
      </w:r>
      <w:r w:rsidRPr="008B12C9">
        <w:rPr>
          <w:rFonts w:ascii="Garamond" w:hAnsi="Garamond"/>
          <w:sz w:val="32"/>
          <w:szCs w:val="32"/>
        </w:rPr>
        <w:t>i principi e criteri direttivi che fanno riferimento al libero apprezzamento del legislatore delegato</w:t>
      </w:r>
      <w:r>
        <w:rPr>
          <w:rFonts w:ascii="Garamond" w:hAnsi="Garamond"/>
          <w:sz w:val="32"/>
          <w:szCs w:val="32"/>
        </w:rPr>
        <w:t>».</w:t>
      </w:r>
    </w:p>
    <w:p w:rsidR="00E577D5" w:rsidRPr="003505A6" w:rsidRDefault="00C62DA7" w:rsidP="00617A19">
      <w:pPr>
        <w:pStyle w:val="Titolo2"/>
        <w:rPr>
          <w:rFonts w:ascii="Garamond" w:hAnsi="Garamond"/>
          <w:i/>
          <w:iCs/>
          <w:color w:val="0000FF"/>
          <w:sz w:val="28"/>
          <w:szCs w:val="28"/>
        </w:rPr>
      </w:pPr>
      <w:bookmarkStart w:id="73" w:name="_Toc458677980"/>
      <w:r w:rsidRPr="003505A6">
        <w:rPr>
          <w:rFonts w:ascii="Garamond" w:hAnsi="Garamond"/>
          <w:i/>
          <w:iCs/>
          <w:color w:val="0000FF"/>
          <w:sz w:val="28"/>
          <w:szCs w:val="28"/>
        </w:rPr>
        <w:t>4.11.</w:t>
      </w:r>
      <w:r w:rsidR="000E5C94" w:rsidRPr="003505A6">
        <w:rPr>
          <w:rFonts w:ascii="Garamond" w:hAnsi="Garamond"/>
          <w:i/>
          <w:iCs/>
          <w:color w:val="0000FF"/>
          <w:sz w:val="28"/>
          <w:szCs w:val="28"/>
        </w:rPr>
        <w:t>3</w:t>
      </w:r>
      <w:r w:rsidRPr="003505A6">
        <w:rPr>
          <w:rFonts w:ascii="Garamond" w:hAnsi="Garamond"/>
          <w:i/>
          <w:iCs/>
          <w:color w:val="0000FF"/>
          <w:sz w:val="28"/>
          <w:szCs w:val="28"/>
        </w:rPr>
        <w:t xml:space="preserve">. </w:t>
      </w:r>
      <w:r w:rsidR="008B12C9">
        <w:rPr>
          <w:rFonts w:ascii="Garamond" w:hAnsi="Garamond"/>
          <w:i/>
          <w:iCs/>
          <w:color w:val="0000FF"/>
          <w:sz w:val="28"/>
          <w:szCs w:val="28"/>
        </w:rPr>
        <w:t>I decreti di natura non regolamentare</w:t>
      </w:r>
      <w:bookmarkEnd w:id="73"/>
    </w:p>
    <w:p w:rsidR="004713E0" w:rsidRPr="003505A6" w:rsidRDefault="008B12C9" w:rsidP="00045010">
      <w:pPr>
        <w:ind w:firstLine="180"/>
        <w:rPr>
          <w:rFonts w:ascii="Garamond" w:hAnsi="Garamond"/>
          <w:sz w:val="32"/>
          <w:szCs w:val="32"/>
        </w:rPr>
      </w:pPr>
      <w:r>
        <w:rPr>
          <w:rFonts w:ascii="Garamond" w:hAnsi="Garamond"/>
          <w:sz w:val="32"/>
          <w:szCs w:val="32"/>
        </w:rPr>
        <w:t xml:space="preserve">Il Comitato, </w:t>
      </w:r>
      <w:r w:rsidRPr="008B12C9">
        <w:rPr>
          <w:rFonts w:ascii="Garamond" w:hAnsi="Garamond"/>
          <w:sz w:val="32"/>
          <w:szCs w:val="32"/>
        </w:rPr>
        <w:t xml:space="preserve"> </w:t>
      </w:r>
      <w:r>
        <w:rPr>
          <w:rFonts w:ascii="Garamond" w:hAnsi="Garamond"/>
          <w:sz w:val="32"/>
          <w:szCs w:val="32"/>
        </w:rPr>
        <w:t xml:space="preserve">in presenza di previsioni relative all’adozione di decreti dei quali si specifica la natura non regolamentare, </w:t>
      </w:r>
      <w:r w:rsidRPr="008B12C9">
        <w:rPr>
          <w:rFonts w:ascii="Garamond" w:hAnsi="Garamond"/>
          <w:sz w:val="32"/>
          <w:szCs w:val="32"/>
        </w:rPr>
        <w:t xml:space="preserve">ribadisce costantemente che la Corte costituzionale, nella sentenza n. 116 del 2006, con riferimento ad un decreto ministeriale del quale si esplicitava la natura non regolamentare, lo qualificava come «un atto statale dalla indefinibile natura giuridica» e che l'Adunanza Plenaria del Consiglio di Stato, con sentenza 4 maggio 2012, n. 9, sulla natura giuridica dell'articolo 4 del decreto ministeriale 6 febbraio 2006, ha osservato che: “deve rilevarsi che, nonostante la crescente diffusione di quel fenomeno efficacemente descritto in termini di «fuga dal regolamento» (che si manifesta, talvolta anche in base ad esplicite indicazioni legislative, tramite l'adozione di atti </w:t>
      </w:r>
      <w:r w:rsidRPr="008B12C9">
        <w:rPr>
          <w:rFonts w:ascii="Garamond" w:hAnsi="Garamond"/>
          <w:sz w:val="32"/>
          <w:szCs w:val="32"/>
        </w:rPr>
        <w:lastRenderedPageBreak/>
        <w:t xml:space="preserve">normativi secondari che si autoqualificano in termini non regolamentari) deve, in linea di principio, escludersi che il potere normativo dei Ministri e, più in generale, del Governo possa esercitarsi medianti atti «atipici» di natura non </w:t>
      </w:r>
      <w:r w:rsidRPr="000624FA">
        <w:rPr>
          <w:rFonts w:ascii="Garamond" w:hAnsi="Garamond"/>
          <w:sz w:val="32"/>
          <w:szCs w:val="32"/>
        </w:rPr>
        <w:t>regolamentare” (</w:t>
      </w:r>
      <w:hyperlink r:id="rId75" w:anchor="S08a05" w:history="1">
        <w:r w:rsidRPr="000624FA">
          <w:rPr>
            <w:rStyle w:val="Collegamentoipertestuale"/>
            <w:rFonts w:ascii="Garamond" w:hAnsi="Garamond"/>
            <w:sz w:val="32"/>
            <w:szCs w:val="32"/>
          </w:rPr>
          <w:t>Scheda 8, punto 5</w:t>
        </w:r>
      </w:hyperlink>
      <w:r w:rsidRPr="000624FA">
        <w:rPr>
          <w:rFonts w:ascii="Garamond" w:hAnsi="Garamond"/>
          <w:sz w:val="32"/>
          <w:szCs w:val="32"/>
        </w:rPr>
        <w:t xml:space="preserve"> - C. 3119 – “collegato agricolo; </w:t>
      </w:r>
      <w:hyperlink r:id="rId76" w:anchor="S09a04" w:history="1">
        <w:r w:rsidRPr="000624FA">
          <w:rPr>
            <w:rStyle w:val="Collegamentoipertestuale"/>
            <w:rFonts w:ascii="Garamond" w:hAnsi="Garamond"/>
            <w:sz w:val="32"/>
            <w:szCs w:val="32"/>
          </w:rPr>
          <w:t>Scheda 9, punto 4</w:t>
        </w:r>
      </w:hyperlink>
      <w:r w:rsidRPr="000624FA">
        <w:rPr>
          <w:rFonts w:ascii="Garamond" w:hAnsi="Garamond"/>
          <w:sz w:val="32"/>
          <w:szCs w:val="32"/>
        </w:rPr>
        <w:t xml:space="preserve"> - C. 3606 - decreto-legge n.</w:t>
      </w:r>
      <w:r w:rsidRPr="008B12C9">
        <w:rPr>
          <w:rFonts w:ascii="Garamond" w:hAnsi="Garamond"/>
          <w:sz w:val="32"/>
          <w:szCs w:val="32"/>
        </w:rPr>
        <w:t xml:space="preserve"> </w:t>
      </w:r>
      <w:r w:rsidRPr="000624FA">
        <w:rPr>
          <w:rFonts w:ascii="Garamond" w:hAnsi="Garamond"/>
          <w:sz w:val="32"/>
          <w:szCs w:val="32"/>
        </w:rPr>
        <w:t xml:space="preserve">18/2016 – banche di credito cooperativo; </w:t>
      </w:r>
      <w:hyperlink r:id="rId77" w:anchor="S21a04" w:history="1">
        <w:r w:rsidRPr="000624FA">
          <w:rPr>
            <w:rStyle w:val="Collegamentoipertestuale"/>
            <w:rFonts w:ascii="Garamond" w:hAnsi="Garamond"/>
            <w:sz w:val="32"/>
            <w:szCs w:val="32"/>
          </w:rPr>
          <w:t>Scheda 21, punto 4</w:t>
        </w:r>
      </w:hyperlink>
      <w:r w:rsidRPr="000624FA">
        <w:rPr>
          <w:rFonts w:ascii="Garamond" w:hAnsi="Garamond"/>
          <w:sz w:val="32"/>
          <w:szCs w:val="32"/>
        </w:rPr>
        <w:t xml:space="preserve"> -</w:t>
      </w:r>
      <w:r>
        <w:rPr>
          <w:rFonts w:ascii="Garamond" w:hAnsi="Garamond"/>
          <w:sz w:val="32"/>
          <w:szCs w:val="32"/>
        </w:rPr>
        <w:t xml:space="preserve"> </w:t>
      </w:r>
      <w:r w:rsidRPr="008B12C9">
        <w:rPr>
          <w:rFonts w:ascii="Garamond" w:hAnsi="Garamond"/>
          <w:sz w:val="32"/>
          <w:szCs w:val="32"/>
        </w:rPr>
        <w:t xml:space="preserve">C. </w:t>
      </w:r>
      <w:r>
        <w:rPr>
          <w:rFonts w:ascii="Garamond" w:hAnsi="Garamond"/>
          <w:sz w:val="32"/>
          <w:szCs w:val="32"/>
        </w:rPr>
        <w:t>3892</w:t>
      </w:r>
      <w:r w:rsidRPr="008B12C9">
        <w:rPr>
          <w:rFonts w:ascii="Garamond" w:hAnsi="Garamond"/>
          <w:sz w:val="32"/>
          <w:szCs w:val="32"/>
        </w:rPr>
        <w:t xml:space="preserve">- decreto-legge n. </w:t>
      </w:r>
      <w:r>
        <w:rPr>
          <w:rFonts w:ascii="Garamond" w:hAnsi="Garamond"/>
          <w:sz w:val="32"/>
          <w:szCs w:val="32"/>
        </w:rPr>
        <w:t>59</w:t>
      </w:r>
      <w:r w:rsidRPr="008B12C9">
        <w:rPr>
          <w:rFonts w:ascii="Garamond" w:hAnsi="Garamond"/>
          <w:sz w:val="32"/>
          <w:szCs w:val="32"/>
        </w:rPr>
        <w:t>/201</w:t>
      </w:r>
      <w:r>
        <w:rPr>
          <w:rFonts w:ascii="Garamond" w:hAnsi="Garamond"/>
          <w:sz w:val="32"/>
          <w:szCs w:val="32"/>
        </w:rPr>
        <w:t xml:space="preserve">6 – investitori in banche in liquidazione). In tutti i tre casi, il Comitato formula analoghe condizioni volte a riformulare le previsioni </w:t>
      </w:r>
      <w:r w:rsidR="00045010">
        <w:rPr>
          <w:rFonts w:ascii="Garamond" w:hAnsi="Garamond"/>
          <w:sz w:val="32"/>
          <w:szCs w:val="32"/>
        </w:rPr>
        <w:t>«</w:t>
      </w:r>
      <w:r w:rsidR="00045010" w:rsidRPr="00045010">
        <w:rPr>
          <w:rFonts w:ascii="Garamond" w:hAnsi="Garamond"/>
          <w:sz w:val="32"/>
          <w:szCs w:val="32"/>
        </w:rPr>
        <w:t>nel senso di prevedere che la disciplina attuativa sia introdotta da un regolamento adottato ai sensi dell’articolo 17, comma 3, della legge n. 400 del 1988</w:t>
      </w:r>
      <w:r w:rsidR="00045010">
        <w:rPr>
          <w:rFonts w:ascii="Garamond" w:hAnsi="Garamond"/>
          <w:sz w:val="32"/>
          <w:szCs w:val="32"/>
        </w:rPr>
        <w:t>».</w:t>
      </w:r>
    </w:p>
    <w:p w:rsidR="00B80024" w:rsidRPr="003505A6" w:rsidRDefault="00B80024" w:rsidP="004713E0">
      <w:pPr>
        <w:jc w:val="center"/>
        <w:rPr>
          <w:rStyle w:val="Titolo1Carattere1"/>
          <w:rFonts w:ascii="Garamond" w:hAnsi="Garamond"/>
          <w:bCs/>
          <w:i/>
          <w:iCs/>
          <w:color w:val="0000FF"/>
          <w:sz w:val="44"/>
        </w:rPr>
        <w:sectPr w:rsidR="00B80024" w:rsidRPr="003505A6" w:rsidSect="00B80024">
          <w:pgSz w:w="11906" w:h="16838" w:code="9"/>
          <w:pgMar w:top="1985" w:right="1985" w:bottom="1985" w:left="1985" w:header="1134" w:footer="1134" w:gutter="0"/>
          <w:cols w:sep="1" w:space="284"/>
          <w:titlePg/>
        </w:sectPr>
      </w:pPr>
      <w:bookmarkStart w:id="74" w:name="_Toc342035940"/>
      <w:bookmarkStart w:id="75" w:name="_Toc384976874"/>
    </w:p>
    <w:p w:rsidR="004713E0" w:rsidRPr="003505A6" w:rsidRDefault="004713E0" w:rsidP="004713E0">
      <w:pPr>
        <w:jc w:val="center"/>
        <w:rPr>
          <w:rStyle w:val="Titolo1Carattere1"/>
          <w:rFonts w:ascii="Garamond" w:hAnsi="Garamond"/>
          <w:bCs/>
          <w:i/>
          <w:iCs/>
          <w:color w:val="0000FF"/>
          <w:sz w:val="44"/>
        </w:rPr>
      </w:pPr>
      <w:bookmarkStart w:id="76" w:name="_Toc458677981"/>
      <w:r w:rsidRPr="003505A6">
        <w:rPr>
          <w:rStyle w:val="Titolo1Carattere1"/>
          <w:rFonts w:ascii="Garamond" w:hAnsi="Garamond"/>
          <w:bCs/>
          <w:i/>
          <w:iCs/>
          <w:color w:val="0000FF"/>
          <w:sz w:val="44"/>
        </w:rPr>
        <w:lastRenderedPageBreak/>
        <w:t>V.</w:t>
      </w:r>
      <w:r w:rsidRPr="003505A6">
        <w:rPr>
          <w:rStyle w:val="Titolo1Carattere1"/>
          <w:rFonts w:ascii="Garamond" w:hAnsi="Garamond"/>
          <w:bCs/>
          <w:i/>
          <w:iCs/>
          <w:color w:val="0000FF"/>
          <w:sz w:val="44"/>
        </w:rPr>
        <w:br/>
      </w:r>
      <w:r w:rsidRPr="001A3DDB">
        <w:rPr>
          <w:rStyle w:val="Titolo1Carattere1"/>
          <w:rFonts w:ascii="Garamond" w:hAnsi="Garamond"/>
          <w:bCs/>
          <w:i/>
          <w:iCs/>
          <w:color w:val="0000FF"/>
          <w:sz w:val="44"/>
        </w:rPr>
        <w:t>CONCLUSIONI</w:t>
      </w:r>
      <w:bookmarkEnd w:id="74"/>
      <w:bookmarkEnd w:id="75"/>
      <w:bookmarkEnd w:id="76"/>
    </w:p>
    <w:p w:rsidR="004D26A5" w:rsidRDefault="004D26A5" w:rsidP="00722DAD">
      <w:pPr>
        <w:spacing w:before="360" w:after="120"/>
        <w:rPr>
          <w:rFonts w:ascii="Garamond" w:hAnsi="Garamond"/>
          <w:i/>
          <w:sz w:val="32"/>
          <w:szCs w:val="32"/>
        </w:rPr>
      </w:pPr>
      <w:r>
        <w:rPr>
          <w:rFonts w:ascii="Garamond" w:hAnsi="Garamond"/>
          <w:i/>
          <w:sz w:val="32"/>
          <w:szCs w:val="32"/>
        </w:rPr>
        <w:t xml:space="preserve">Il turno di presidenza che ho avuto l’onore di svolgere è stato il </w:t>
      </w:r>
      <w:r w:rsidR="00746110">
        <w:rPr>
          <w:rFonts w:ascii="Garamond" w:hAnsi="Garamond"/>
          <w:i/>
          <w:sz w:val="32"/>
          <w:szCs w:val="32"/>
        </w:rPr>
        <w:t>second</w:t>
      </w:r>
      <w:r>
        <w:rPr>
          <w:rFonts w:ascii="Garamond" w:hAnsi="Garamond"/>
          <w:i/>
          <w:sz w:val="32"/>
          <w:szCs w:val="32"/>
        </w:rPr>
        <w:t>o, nella storia ormai quasi ventennale del Comitato, nel quale i pareri su progetti di legge contenenti disposizioni di delega al Governo hanno superato quelli sui decreti-legge</w:t>
      </w:r>
      <w:r w:rsidR="00746110">
        <w:rPr>
          <w:rStyle w:val="Rimandonotaapidipagina"/>
          <w:rFonts w:ascii="Garamond" w:hAnsi="Garamond"/>
          <w:i/>
          <w:sz w:val="32"/>
          <w:szCs w:val="32"/>
        </w:rPr>
        <w:footnoteReference w:id="3"/>
      </w:r>
      <w:r>
        <w:rPr>
          <w:rFonts w:ascii="Garamond" w:hAnsi="Garamond"/>
          <w:i/>
          <w:sz w:val="32"/>
          <w:szCs w:val="32"/>
        </w:rPr>
        <w:t>.</w:t>
      </w:r>
    </w:p>
    <w:p w:rsidR="00370FD4" w:rsidRDefault="004D26A5" w:rsidP="00722DAD">
      <w:pPr>
        <w:spacing w:before="360" w:after="120"/>
        <w:rPr>
          <w:rFonts w:ascii="Garamond" w:hAnsi="Garamond"/>
          <w:i/>
          <w:sz w:val="32"/>
          <w:szCs w:val="32"/>
        </w:rPr>
      </w:pPr>
      <w:r>
        <w:rPr>
          <w:rFonts w:ascii="Garamond" w:hAnsi="Garamond"/>
          <w:i/>
          <w:sz w:val="32"/>
          <w:szCs w:val="32"/>
        </w:rPr>
        <w:t xml:space="preserve">È </w:t>
      </w:r>
      <w:r w:rsidR="00370FD4">
        <w:rPr>
          <w:rFonts w:ascii="Garamond" w:hAnsi="Garamond"/>
          <w:i/>
          <w:sz w:val="32"/>
          <w:szCs w:val="32"/>
        </w:rPr>
        <w:t xml:space="preserve">un dato che ho già rimarcato nel corso del rapporto e sul quale desidero soffermarmi anche in queste conclusioni, perché la sua lettura si presta a diverse considerazioni sul ruolo del Comitato per la legislazione e del Parlamento. Quest’ultimo, l’ho scritto in precedenza, è  sempre più emendatore e – aggiungo ora – consulente – e sempre meno legislatore. È un processo in atto da molti anni, nei quali il Governo ha assunto crescenti responsabilità legislative, attraverso un uso e spesso un abuso della decretazione d’urgenza e della legislazione delegata. </w:t>
      </w:r>
    </w:p>
    <w:p w:rsidR="001A3DDB" w:rsidRDefault="00370FD4" w:rsidP="00370FD4">
      <w:pPr>
        <w:spacing w:before="360" w:after="120"/>
        <w:rPr>
          <w:rFonts w:ascii="Garamond" w:hAnsi="Garamond"/>
          <w:i/>
          <w:sz w:val="32"/>
          <w:szCs w:val="32"/>
        </w:rPr>
      </w:pPr>
      <w:r>
        <w:rPr>
          <w:rFonts w:ascii="Garamond" w:hAnsi="Garamond"/>
          <w:i/>
          <w:sz w:val="32"/>
          <w:szCs w:val="32"/>
        </w:rPr>
        <w:t>In questo contesto, il Comitato ha l’opportunità di intervenire in tutti i procedimenti legislativi più importanti (con la richiamata eccezione della legge di stabilità), tra l’altro segnalando di frequente la difficoltà del Parlamento nel definire principi e criteri direttivi di delega che indichino con precisione al Governo la direzione da seguire. Nel paragrafo dedicato alla legislazione d</w:t>
      </w:r>
      <w:r w:rsidR="00984345">
        <w:rPr>
          <w:rFonts w:ascii="Garamond" w:hAnsi="Garamond"/>
          <w:i/>
          <w:sz w:val="32"/>
          <w:szCs w:val="32"/>
        </w:rPr>
        <w:t>e</w:t>
      </w:r>
      <w:r>
        <w:rPr>
          <w:rFonts w:ascii="Garamond" w:hAnsi="Garamond"/>
          <w:i/>
          <w:sz w:val="32"/>
          <w:szCs w:val="32"/>
        </w:rPr>
        <w:t>legata si sono citati di</w:t>
      </w:r>
      <w:r w:rsidR="00984345">
        <w:rPr>
          <w:rFonts w:ascii="Garamond" w:hAnsi="Garamond"/>
          <w:i/>
          <w:sz w:val="32"/>
          <w:szCs w:val="32"/>
        </w:rPr>
        <w:t>v</w:t>
      </w:r>
      <w:r>
        <w:rPr>
          <w:rFonts w:ascii="Garamond" w:hAnsi="Garamond"/>
          <w:i/>
          <w:sz w:val="32"/>
          <w:szCs w:val="32"/>
        </w:rPr>
        <w:t>ersi pareri che evidenziano la gener</w:t>
      </w:r>
      <w:r w:rsidR="00984345">
        <w:rPr>
          <w:rFonts w:ascii="Garamond" w:hAnsi="Garamond"/>
          <w:i/>
          <w:sz w:val="32"/>
          <w:szCs w:val="32"/>
        </w:rPr>
        <w:t>icità d</w:t>
      </w:r>
      <w:r>
        <w:rPr>
          <w:rFonts w:ascii="Garamond" w:hAnsi="Garamond"/>
          <w:i/>
          <w:sz w:val="32"/>
          <w:szCs w:val="32"/>
        </w:rPr>
        <w:t>e</w:t>
      </w:r>
      <w:r w:rsidR="00984345">
        <w:rPr>
          <w:rFonts w:ascii="Garamond" w:hAnsi="Garamond"/>
          <w:i/>
          <w:sz w:val="32"/>
          <w:szCs w:val="32"/>
        </w:rPr>
        <w:t>i</w:t>
      </w:r>
      <w:r>
        <w:rPr>
          <w:rFonts w:ascii="Garamond" w:hAnsi="Garamond"/>
          <w:i/>
          <w:sz w:val="32"/>
          <w:szCs w:val="32"/>
        </w:rPr>
        <w:t xml:space="preserve"> principi e criteri direttivi, la loro so</w:t>
      </w:r>
      <w:r w:rsidR="00984345">
        <w:rPr>
          <w:rFonts w:ascii="Garamond" w:hAnsi="Garamond"/>
          <w:i/>
          <w:sz w:val="32"/>
          <w:szCs w:val="32"/>
        </w:rPr>
        <w:t>v</w:t>
      </w:r>
      <w:r>
        <w:rPr>
          <w:rFonts w:ascii="Garamond" w:hAnsi="Garamond"/>
          <w:i/>
          <w:sz w:val="32"/>
          <w:szCs w:val="32"/>
        </w:rPr>
        <w:t>rapposizione rispetto all’oggetto della delega</w:t>
      </w:r>
      <w:r w:rsidR="00984345">
        <w:rPr>
          <w:rFonts w:ascii="Garamond" w:hAnsi="Garamond"/>
          <w:i/>
          <w:sz w:val="32"/>
          <w:szCs w:val="32"/>
        </w:rPr>
        <w:t xml:space="preserve">, la discrezionalità lasciata al Governo. I rilievi avanzati dal Comitato non sempre vengono recepiti, ma le Commissioni permanenti hanno comunque la possibilità di pronunciarsi anche sugli schemi dei decreti legislativi e quindi di verificare a valle l’opera del legislatore delegato. </w:t>
      </w:r>
      <w:r w:rsidR="009B1823">
        <w:rPr>
          <w:rFonts w:ascii="Garamond" w:hAnsi="Garamond"/>
          <w:i/>
          <w:sz w:val="32"/>
          <w:szCs w:val="32"/>
        </w:rPr>
        <w:t>Il coinvolgimento del Comitato è possibile</w:t>
      </w:r>
      <w:r w:rsidR="00A76666">
        <w:rPr>
          <w:rFonts w:ascii="Garamond" w:hAnsi="Garamond"/>
          <w:i/>
          <w:sz w:val="32"/>
          <w:szCs w:val="32"/>
        </w:rPr>
        <w:t xml:space="preserve"> anche in </w:t>
      </w:r>
      <w:r w:rsidR="00A76666">
        <w:rPr>
          <w:rFonts w:ascii="Garamond" w:hAnsi="Garamond"/>
          <w:i/>
          <w:sz w:val="32"/>
          <w:szCs w:val="32"/>
        </w:rPr>
        <w:lastRenderedPageBreak/>
        <w:t>questa fase</w:t>
      </w:r>
      <w:r w:rsidR="009B1823">
        <w:rPr>
          <w:rFonts w:ascii="Garamond" w:hAnsi="Garamond"/>
          <w:i/>
          <w:sz w:val="32"/>
          <w:szCs w:val="32"/>
        </w:rPr>
        <w:t xml:space="preserve">, </w:t>
      </w:r>
      <w:r w:rsidR="00984345">
        <w:rPr>
          <w:rFonts w:ascii="Garamond" w:hAnsi="Garamond"/>
          <w:i/>
          <w:sz w:val="32"/>
          <w:szCs w:val="32"/>
        </w:rPr>
        <w:t xml:space="preserve">su richiesta di </w:t>
      </w:r>
      <w:r w:rsidR="009B1823">
        <w:rPr>
          <w:rFonts w:ascii="Garamond" w:hAnsi="Garamond"/>
          <w:i/>
          <w:sz w:val="32"/>
          <w:szCs w:val="32"/>
        </w:rPr>
        <w:t xml:space="preserve">almeno </w:t>
      </w:r>
      <w:r w:rsidR="00984345">
        <w:rPr>
          <w:rFonts w:ascii="Garamond" w:hAnsi="Garamond"/>
          <w:i/>
          <w:sz w:val="32"/>
          <w:szCs w:val="32"/>
        </w:rPr>
        <w:t xml:space="preserve">un quinto dei </w:t>
      </w:r>
      <w:r w:rsidR="009B1823">
        <w:rPr>
          <w:rFonts w:ascii="Garamond" w:hAnsi="Garamond"/>
          <w:i/>
          <w:sz w:val="32"/>
          <w:szCs w:val="32"/>
        </w:rPr>
        <w:t>membri</w:t>
      </w:r>
      <w:r w:rsidR="00984345">
        <w:rPr>
          <w:rFonts w:ascii="Garamond" w:hAnsi="Garamond"/>
          <w:i/>
          <w:sz w:val="32"/>
          <w:szCs w:val="32"/>
        </w:rPr>
        <w:t xml:space="preserve"> delle Commissioni competenti</w:t>
      </w:r>
      <w:r w:rsidR="009B1823">
        <w:rPr>
          <w:rFonts w:ascii="Garamond" w:hAnsi="Garamond"/>
          <w:i/>
          <w:sz w:val="32"/>
          <w:szCs w:val="32"/>
        </w:rPr>
        <w:t xml:space="preserve">. </w:t>
      </w:r>
    </w:p>
    <w:p w:rsidR="006560E0" w:rsidRPr="003505A6" w:rsidRDefault="001A3DDB" w:rsidP="00370FD4">
      <w:pPr>
        <w:spacing w:before="360" w:after="120"/>
        <w:rPr>
          <w:rFonts w:ascii="Garamond" w:hAnsi="Garamond"/>
          <w:i/>
          <w:color w:val="000000"/>
          <w:sz w:val="32"/>
          <w:szCs w:val="32"/>
        </w:rPr>
      </w:pPr>
      <w:r>
        <w:rPr>
          <w:rFonts w:ascii="Garamond" w:hAnsi="Garamond"/>
          <w:i/>
          <w:sz w:val="32"/>
          <w:szCs w:val="32"/>
        </w:rPr>
        <w:t xml:space="preserve">Desidero concludere proprio su questo punto, esprimendo l’auspicio e la convinzione che sia importante </w:t>
      </w:r>
      <w:r w:rsidR="009B1823">
        <w:rPr>
          <w:rFonts w:ascii="Garamond" w:hAnsi="Garamond"/>
          <w:i/>
          <w:sz w:val="32"/>
          <w:szCs w:val="32"/>
        </w:rPr>
        <w:t xml:space="preserve">per il Comitato </w:t>
      </w:r>
      <w:r>
        <w:rPr>
          <w:rFonts w:ascii="Garamond" w:hAnsi="Garamond"/>
          <w:i/>
          <w:sz w:val="32"/>
          <w:szCs w:val="32"/>
        </w:rPr>
        <w:t xml:space="preserve">riflettere sulla necessità per il futuro </w:t>
      </w:r>
      <w:r w:rsidR="009B1823">
        <w:rPr>
          <w:rFonts w:ascii="Garamond" w:hAnsi="Garamond"/>
          <w:i/>
          <w:sz w:val="32"/>
          <w:szCs w:val="32"/>
        </w:rPr>
        <w:t>d</w:t>
      </w:r>
      <w:r>
        <w:rPr>
          <w:rFonts w:ascii="Garamond" w:hAnsi="Garamond"/>
          <w:i/>
          <w:sz w:val="32"/>
          <w:szCs w:val="32"/>
        </w:rPr>
        <w:t>i attivarsi per l’espressione del parere anche sugli schemi di decreto legislativo</w:t>
      </w:r>
      <w:r w:rsidR="009B1823">
        <w:rPr>
          <w:rFonts w:ascii="Garamond" w:hAnsi="Garamond"/>
          <w:i/>
          <w:sz w:val="32"/>
          <w:szCs w:val="32"/>
        </w:rPr>
        <w:t xml:space="preserve"> </w:t>
      </w:r>
      <w:r>
        <w:rPr>
          <w:rFonts w:ascii="Garamond" w:hAnsi="Garamond"/>
          <w:i/>
          <w:sz w:val="32"/>
          <w:szCs w:val="32"/>
        </w:rPr>
        <w:t xml:space="preserve">che più ne investano le competenze. Penso, </w:t>
      </w:r>
      <w:r w:rsidR="00A76666">
        <w:rPr>
          <w:rFonts w:ascii="Garamond" w:hAnsi="Garamond"/>
          <w:i/>
          <w:sz w:val="32"/>
          <w:szCs w:val="32"/>
        </w:rPr>
        <w:t>i</w:t>
      </w:r>
      <w:r>
        <w:rPr>
          <w:rFonts w:ascii="Garamond" w:hAnsi="Garamond"/>
          <w:i/>
          <w:sz w:val="32"/>
          <w:szCs w:val="32"/>
        </w:rPr>
        <w:t>n particolare, agli schemi di decreto legislativo volti al riordino normativo o comunque alla semplificazione della legislazione, sui quali il Comitato potrebbe utilmente esprimersi per affiancare la propria voce specializzata sulla qualità della normazione a quella delle Commissioni competenti per il merito.</w:t>
      </w:r>
      <w:r w:rsidR="009B1823">
        <w:rPr>
          <w:rFonts w:ascii="Garamond" w:hAnsi="Garamond"/>
          <w:i/>
          <w:sz w:val="32"/>
          <w:szCs w:val="32"/>
        </w:rPr>
        <w:t xml:space="preserve"> </w:t>
      </w:r>
      <w:r w:rsidR="00984345">
        <w:rPr>
          <w:rFonts w:ascii="Garamond" w:hAnsi="Garamond"/>
          <w:i/>
          <w:sz w:val="32"/>
          <w:szCs w:val="32"/>
        </w:rPr>
        <w:t xml:space="preserve"> </w:t>
      </w:r>
    </w:p>
    <w:p w:rsidR="0013656D" w:rsidRPr="003505A6" w:rsidRDefault="0013656D" w:rsidP="0013656D">
      <w:pPr>
        <w:jc w:val="center"/>
        <w:rPr>
          <w:rStyle w:val="Titolo1Carattere1"/>
          <w:rFonts w:ascii="Garamond" w:hAnsi="Garamond"/>
          <w:bCs/>
          <w:i/>
          <w:iCs/>
          <w:color w:val="0000FF"/>
          <w:sz w:val="44"/>
        </w:rPr>
      </w:pPr>
    </w:p>
    <w:p w:rsidR="003D7473" w:rsidRPr="003505A6" w:rsidRDefault="003D7473" w:rsidP="0013656D">
      <w:pPr>
        <w:jc w:val="center"/>
        <w:rPr>
          <w:rStyle w:val="Titolo1Carattere1"/>
          <w:rFonts w:ascii="Garamond" w:hAnsi="Garamond"/>
          <w:bCs/>
          <w:i/>
          <w:iCs/>
          <w:color w:val="0000FF"/>
          <w:sz w:val="44"/>
        </w:rPr>
        <w:sectPr w:rsidR="003D7473" w:rsidRPr="003505A6" w:rsidSect="00B80024">
          <w:type w:val="oddPage"/>
          <w:pgSz w:w="11906" w:h="16838" w:code="9"/>
          <w:pgMar w:top="1985" w:right="1985" w:bottom="1985" w:left="1985" w:header="1134" w:footer="1134" w:gutter="0"/>
          <w:cols w:sep="1" w:space="284"/>
          <w:titlePg/>
        </w:sectPr>
      </w:pPr>
    </w:p>
    <w:p w:rsidR="007140F2" w:rsidRPr="003505A6" w:rsidRDefault="0013656D" w:rsidP="00722DAD">
      <w:pPr>
        <w:spacing w:before="4800"/>
        <w:jc w:val="center"/>
        <w:rPr>
          <w:rStyle w:val="Titolo1Carattere1"/>
          <w:rFonts w:ascii="Garamond" w:hAnsi="Garamond"/>
          <w:bCs/>
          <w:i/>
          <w:iCs/>
          <w:color w:val="0000FF"/>
          <w:sz w:val="44"/>
        </w:rPr>
      </w:pPr>
      <w:bookmarkStart w:id="77" w:name="_Toc458677982"/>
      <w:r w:rsidRPr="00F739F6">
        <w:rPr>
          <w:rStyle w:val="Titolo1Carattere1"/>
          <w:rFonts w:ascii="Garamond" w:hAnsi="Garamond"/>
          <w:bCs/>
          <w:i/>
          <w:iCs/>
          <w:color w:val="0000FF"/>
          <w:sz w:val="44"/>
        </w:rPr>
        <w:lastRenderedPageBreak/>
        <w:t xml:space="preserve">VI. </w:t>
      </w:r>
      <w:r w:rsidR="007140F2" w:rsidRPr="00F739F6">
        <w:rPr>
          <w:rStyle w:val="Titolo1Carattere1"/>
          <w:rFonts w:ascii="Garamond" w:hAnsi="Garamond"/>
          <w:bCs/>
          <w:i/>
          <w:iCs/>
          <w:color w:val="0000FF"/>
          <w:sz w:val="44"/>
        </w:rPr>
        <w:t>T</w:t>
      </w:r>
      <w:r w:rsidRPr="00F739F6">
        <w:rPr>
          <w:rStyle w:val="Titolo1Carattere1"/>
          <w:rFonts w:ascii="Garamond" w:hAnsi="Garamond"/>
          <w:bCs/>
          <w:i/>
          <w:iCs/>
          <w:color w:val="0000FF"/>
          <w:sz w:val="44"/>
        </w:rPr>
        <w:t>ABELLE</w:t>
      </w:r>
      <w:bookmarkEnd w:id="44"/>
      <w:bookmarkEnd w:id="45"/>
      <w:bookmarkEnd w:id="77"/>
    </w:p>
    <w:p w:rsidR="007140F2" w:rsidRPr="003505A6" w:rsidRDefault="007140F2"/>
    <w:p w:rsidR="007140F2" w:rsidRPr="003505A6" w:rsidRDefault="007140F2">
      <w:pPr>
        <w:sectPr w:rsidR="007140F2" w:rsidRPr="003505A6">
          <w:headerReference w:type="first" r:id="rId78"/>
          <w:footerReference w:type="first" r:id="rId79"/>
          <w:type w:val="oddPage"/>
          <w:pgSz w:w="11906" w:h="16838" w:code="9"/>
          <w:pgMar w:top="1985" w:right="1985" w:bottom="1985" w:left="1985" w:header="1134" w:footer="1134" w:gutter="0"/>
          <w:cols w:sep="1" w:space="284"/>
          <w:titlePg/>
        </w:sectPr>
      </w:pPr>
    </w:p>
    <w:p w:rsidR="0090172B" w:rsidRPr="003505A6" w:rsidRDefault="0090172B" w:rsidP="0090172B">
      <w:pPr>
        <w:pStyle w:val="Titolo2"/>
        <w:rPr>
          <w:rFonts w:ascii="Garamond" w:hAnsi="Garamond"/>
          <w:i/>
          <w:color w:val="0000FF"/>
          <w:sz w:val="32"/>
          <w:szCs w:val="32"/>
        </w:rPr>
      </w:pPr>
      <w:bookmarkStart w:id="78" w:name="_TAB._1_“RILIEVI"/>
      <w:bookmarkStart w:id="79" w:name="_Toc458677983"/>
      <w:bookmarkStart w:id="80" w:name="TABELLA01"/>
      <w:bookmarkEnd w:id="78"/>
      <w:r w:rsidRPr="003505A6">
        <w:rPr>
          <w:rFonts w:ascii="Garamond" w:hAnsi="Garamond"/>
          <w:color w:val="0000FF"/>
          <w:sz w:val="32"/>
          <w:szCs w:val="32"/>
        </w:rPr>
        <w:lastRenderedPageBreak/>
        <w:t>TAB. 1 “RILIEVI NEL PARERE”</w:t>
      </w:r>
      <w:bookmarkEnd w:id="79"/>
    </w:p>
    <w:bookmarkEnd w:id="80"/>
    <w:p w:rsidR="00332C22" w:rsidRDefault="00332C22" w:rsidP="00BF7BFE"/>
    <w:tbl>
      <w:tblPr>
        <w:tblW w:w="5000" w:type="pct"/>
        <w:jc w:val="center"/>
        <w:tblCellMar>
          <w:left w:w="70" w:type="dxa"/>
          <w:right w:w="70" w:type="dxa"/>
        </w:tblCellMar>
        <w:tblLook w:val="04A0" w:firstRow="1" w:lastRow="0" w:firstColumn="1" w:lastColumn="0" w:noHBand="0" w:noVBand="1"/>
      </w:tblPr>
      <w:tblGrid>
        <w:gridCol w:w="1074"/>
        <w:gridCol w:w="1372"/>
        <w:gridCol w:w="1074"/>
        <w:gridCol w:w="1074"/>
        <w:gridCol w:w="1074"/>
        <w:gridCol w:w="2466"/>
        <w:gridCol w:w="1076"/>
      </w:tblGrid>
      <w:tr w:rsidR="00BF7006" w:rsidRPr="00BF7006" w:rsidTr="004317A9">
        <w:trPr>
          <w:trHeight w:val="435"/>
          <w:tblHeader/>
          <w:jc w:val="center"/>
        </w:trPr>
        <w:tc>
          <w:tcPr>
            <w:tcW w:w="5000" w:type="pct"/>
            <w:gridSpan w:val="7"/>
            <w:tcBorders>
              <w:top w:val="single" w:sz="8" w:space="0" w:color="auto"/>
              <w:left w:val="single" w:sz="8" w:space="0" w:color="auto"/>
              <w:bottom w:val="single" w:sz="8" w:space="0" w:color="auto"/>
              <w:right w:val="single" w:sz="8" w:space="0" w:color="000000"/>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000080"/>
                <w:sz w:val="32"/>
                <w:szCs w:val="32"/>
              </w:rPr>
            </w:pPr>
            <w:r w:rsidRPr="00BF7006">
              <w:rPr>
                <w:rFonts w:ascii="Calibri" w:hAnsi="Calibri"/>
                <w:b/>
                <w:bCs/>
                <w:color w:val="000080"/>
                <w:sz w:val="32"/>
                <w:szCs w:val="32"/>
              </w:rPr>
              <w:t>RILIEVI NEL PARERE</w:t>
            </w:r>
          </w:p>
        </w:tc>
      </w:tr>
      <w:tr w:rsidR="004317A9" w:rsidRPr="00BF7006" w:rsidTr="004317A9">
        <w:trPr>
          <w:trHeight w:val="765"/>
          <w:tblHeader/>
          <w:jc w:val="center"/>
        </w:trPr>
        <w:tc>
          <w:tcPr>
            <w:tcW w:w="583" w:type="pct"/>
            <w:tcBorders>
              <w:top w:val="nil"/>
              <w:left w:val="single" w:sz="8" w:space="0" w:color="auto"/>
              <w:bottom w:val="single" w:sz="8" w:space="0" w:color="auto"/>
              <w:right w:val="nil"/>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000080"/>
                <w:sz w:val="24"/>
                <w:szCs w:val="24"/>
              </w:rPr>
            </w:pPr>
            <w:r w:rsidRPr="00BF7006">
              <w:rPr>
                <w:rFonts w:ascii="Calibri" w:hAnsi="Calibri"/>
                <w:b/>
                <w:bCs/>
                <w:color w:val="000080"/>
                <w:sz w:val="24"/>
                <w:szCs w:val="24"/>
              </w:rPr>
              <w:t>AC</w:t>
            </w:r>
          </w:p>
        </w:tc>
        <w:tc>
          <w:tcPr>
            <w:tcW w:w="745" w:type="pct"/>
            <w:tcBorders>
              <w:top w:val="nil"/>
              <w:left w:val="nil"/>
              <w:bottom w:val="single" w:sz="8" w:space="0" w:color="auto"/>
              <w:right w:val="single" w:sz="8"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000080"/>
                <w:sz w:val="24"/>
                <w:szCs w:val="24"/>
              </w:rPr>
            </w:pPr>
            <w:r w:rsidRPr="00BF7006">
              <w:rPr>
                <w:rFonts w:ascii="Calibri" w:hAnsi="Calibri"/>
                <w:b/>
                <w:bCs/>
                <w:color w:val="000080"/>
                <w:sz w:val="24"/>
                <w:szCs w:val="24"/>
              </w:rPr>
              <w:t>Forma Atto</w:t>
            </w:r>
          </w:p>
        </w:tc>
        <w:tc>
          <w:tcPr>
            <w:tcW w:w="583" w:type="pct"/>
            <w:tcBorders>
              <w:top w:val="nil"/>
              <w:left w:val="nil"/>
              <w:bottom w:val="single" w:sz="8"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left"/>
              <w:rPr>
                <w:rFonts w:ascii="Calibri" w:hAnsi="Calibri"/>
                <w:b/>
                <w:bCs/>
                <w:color w:val="000080"/>
                <w:sz w:val="24"/>
                <w:szCs w:val="24"/>
              </w:rPr>
            </w:pPr>
            <w:proofErr w:type="spellStart"/>
            <w:r w:rsidRPr="00BF7006">
              <w:rPr>
                <w:rFonts w:ascii="Calibri" w:hAnsi="Calibri"/>
                <w:b/>
                <w:bCs/>
                <w:color w:val="000080"/>
                <w:sz w:val="24"/>
                <w:szCs w:val="24"/>
              </w:rPr>
              <w:t>Oss</w:t>
            </w:r>
            <w:proofErr w:type="spellEnd"/>
            <w:r w:rsidRPr="00BF7006">
              <w:rPr>
                <w:rFonts w:ascii="Calibri" w:hAnsi="Calibri"/>
                <w:b/>
                <w:bCs/>
                <w:color w:val="000080"/>
                <w:sz w:val="24"/>
                <w:szCs w:val="24"/>
              </w:rPr>
              <w:t>.</w:t>
            </w:r>
          </w:p>
        </w:tc>
        <w:tc>
          <w:tcPr>
            <w:tcW w:w="583" w:type="pct"/>
            <w:tcBorders>
              <w:top w:val="nil"/>
              <w:left w:val="nil"/>
              <w:bottom w:val="single" w:sz="8"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left"/>
              <w:rPr>
                <w:rFonts w:ascii="Calibri" w:hAnsi="Calibri"/>
                <w:b/>
                <w:bCs/>
                <w:color w:val="000080"/>
                <w:sz w:val="24"/>
                <w:szCs w:val="24"/>
              </w:rPr>
            </w:pPr>
            <w:proofErr w:type="spellStart"/>
            <w:r w:rsidRPr="00BF7006">
              <w:rPr>
                <w:rFonts w:ascii="Calibri" w:hAnsi="Calibri"/>
                <w:b/>
                <w:bCs/>
                <w:color w:val="000080"/>
                <w:sz w:val="24"/>
                <w:szCs w:val="24"/>
              </w:rPr>
              <w:t>Cond</w:t>
            </w:r>
            <w:proofErr w:type="spellEnd"/>
            <w:r w:rsidRPr="00BF7006">
              <w:rPr>
                <w:rFonts w:ascii="Calibri" w:hAnsi="Calibri"/>
                <w:b/>
                <w:bCs/>
                <w:color w:val="000080"/>
                <w:sz w:val="24"/>
                <w:szCs w:val="24"/>
              </w:rPr>
              <w:t>.</w:t>
            </w:r>
          </w:p>
        </w:tc>
        <w:tc>
          <w:tcPr>
            <w:tcW w:w="583" w:type="pct"/>
            <w:tcBorders>
              <w:top w:val="nil"/>
              <w:left w:val="nil"/>
              <w:bottom w:val="single" w:sz="8"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left"/>
              <w:rPr>
                <w:rFonts w:ascii="Calibri" w:hAnsi="Calibri"/>
                <w:b/>
                <w:bCs/>
                <w:color w:val="000080"/>
                <w:sz w:val="24"/>
                <w:szCs w:val="24"/>
              </w:rPr>
            </w:pPr>
            <w:proofErr w:type="spellStart"/>
            <w:r w:rsidRPr="00BF7006">
              <w:rPr>
                <w:rFonts w:ascii="Calibri" w:hAnsi="Calibri"/>
                <w:b/>
                <w:bCs/>
                <w:color w:val="000080"/>
                <w:sz w:val="24"/>
                <w:szCs w:val="24"/>
              </w:rPr>
              <w:t>Racc</w:t>
            </w:r>
            <w:proofErr w:type="spellEnd"/>
            <w:r w:rsidRPr="00BF7006">
              <w:rPr>
                <w:rFonts w:ascii="Calibri" w:hAnsi="Calibri"/>
                <w:b/>
                <w:bCs/>
                <w:color w:val="000080"/>
                <w:sz w:val="24"/>
                <w:szCs w:val="24"/>
              </w:rPr>
              <w:t>.</w:t>
            </w:r>
          </w:p>
        </w:tc>
        <w:tc>
          <w:tcPr>
            <w:tcW w:w="1339" w:type="pct"/>
            <w:tcBorders>
              <w:top w:val="nil"/>
              <w:left w:val="nil"/>
              <w:bottom w:val="single" w:sz="8" w:space="0" w:color="auto"/>
              <w:right w:val="single" w:sz="8"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000080"/>
                <w:sz w:val="24"/>
                <w:szCs w:val="24"/>
              </w:rPr>
            </w:pPr>
            <w:r w:rsidRPr="00BF7006">
              <w:rPr>
                <w:rFonts w:ascii="Calibri" w:hAnsi="Calibri"/>
                <w:b/>
                <w:bCs/>
                <w:color w:val="000080"/>
                <w:sz w:val="24"/>
                <w:szCs w:val="24"/>
              </w:rPr>
              <w:t>Note</w:t>
            </w:r>
          </w:p>
        </w:tc>
        <w:tc>
          <w:tcPr>
            <w:tcW w:w="584" w:type="pct"/>
            <w:tcBorders>
              <w:top w:val="nil"/>
              <w:left w:val="single" w:sz="4" w:space="0" w:color="auto"/>
              <w:bottom w:val="single" w:sz="8" w:space="0" w:color="auto"/>
              <w:right w:val="single" w:sz="8" w:space="0" w:color="auto"/>
            </w:tcBorders>
            <w:shd w:val="clear" w:color="000000" w:fill="FFFF00"/>
            <w:vAlign w:val="center"/>
            <w:hideMark/>
          </w:tcPr>
          <w:p w:rsidR="00BF7006" w:rsidRPr="00BF7006" w:rsidRDefault="00BF7006" w:rsidP="00BF7006">
            <w:pPr>
              <w:spacing w:line="240" w:lineRule="auto"/>
              <w:ind w:firstLine="0"/>
              <w:jc w:val="left"/>
              <w:rPr>
                <w:rFonts w:ascii="Calibri" w:hAnsi="Calibri"/>
                <w:b/>
                <w:bCs/>
                <w:color w:val="000080"/>
                <w:sz w:val="24"/>
                <w:szCs w:val="24"/>
              </w:rPr>
            </w:pPr>
            <w:r w:rsidRPr="00BF7006">
              <w:rPr>
                <w:rFonts w:ascii="Calibri" w:hAnsi="Calibri"/>
                <w:b/>
                <w:bCs/>
                <w:color w:val="000080"/>
                <w:sz w:val="24"/>
                <w:szCs w:val="24"/>
              </w:rPr>
              <w:t>Scheda</w:t>
            </w:r>
          </w:p>
        </w:tc>
      </w:tr>
      <w:tr w:rsidR="00BF7006" w:rsidRPr="00BF7006" w:rsidTr="004317A9">
        <w:trPr>
          <w:trHeight w:val="600"/>
          <w:jc w:val="center"/>
        </w:trPr>
        <w:tc>
          <w:tcPr>
            <w:tcW w:w="583" w:type="pct"/>
            <w:tcBorders>
              <w:top w:val="single" w:sz="4" w:space="0" w:color="auto"/>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0" w:anchor="data.20151111.com" w:history="1">
              <w:r w:rsidR="00BF7006" w:rsidRPr="00BF7006">
                <w:rPr>
                  <w:rFonts w:ascii="Calibri" w:hAnsi="Calibri"/>
                  <w:b/>
                  <w:bCs/>
                  <w:color w:val="0000FF"/>
                  <w:sz w:val="24"/>
                  <w:szCs w:val="24"/>
                  <w:u w:val="single"/>
                </w:rPr>
                <w:t>3393</w:t>
              </w:r>
            </w:hyperlink>
          </w:p>
        </w:tc>
        <w:tc>
          <w:tcPr>
            <w:tcW w:w="745" w:type="pct"/>
            <w:tcBorders>
              <w:top w:val="single" w:sz="4" w:space="0" w:color="auto"/>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2015/174</w:t>
            </w:r>
          </w:p>
        </w:tc>
        <w:tc>
          <w:tcPr>
            <w:tcW w:w="583" w:type="pct"/>
            <w:tcBorders>
              <w:top w:val="single" w:sz="4" w:space="0" w:color="auto"/>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Condizione, 2 Raccomandazioni</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1" w:history="1">
              <w:r w:rsidR="00BF7006" w:rsidRPr="00BF7006">
                <w:rPr>
                  <w:rFonts w:ascii="Calibri" w:hAnsi="Calibri"/>
                  <w:b/>
                  <w:bCs/>
                  <w:color w:val="0000FF"/>
                  <w:sz w:val="24"/>
                  <w:szCs w:val="24"/>
                  <w:u w:val="single"/>
                </w:rPr>
                <w:t>0001</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2" w:anchor="data.20151201.com" w:history="1">
              <w:r w:rsidR="00BF7006" w:rsidRPr="00BF7006">
                <w:rPr>
                  <w:rFonts w:ascii="Calibri" w:hAnsi="Calibri"/>
                  <w:b/>
                  <w:bCs/>
                  <w:color w:val="0000FF"/>
                  <w:sz w:val="24"/>
                  <w:szCs w:val="24"/>
                  <w:u w:val="single"/>
                </w:rPr>
                <w:t>3446</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2015/183</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Osservazione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3" w:history="1">
              <w:r w:rsidR="00BF7006" w:rsidRPr="00BF7006">
                <w:rPr>
                  <w:rFonts w:ascii="Calibri" w:hAnsi="Calibri"/>
                  <w:b/>
                  <w:bCs/>
                  <w:color w:val="0000FF"/>
                  <w:sz w:val="24"/>
                  <w:szCs w:val="24"/>
                  <w:u w:val="single"/>
                </w:rPr>
                <w:t>0002</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4" w:anchor="data.20151218.com" w:history="1">
              <w:r w:rsidR="00BF7006" w:rsidRPr="00BF7006">
                <w:rPr>
                  <w:rFonts w:ascii="Calibri" w:hAnsi="Calibri"/>
                  <w:b/>
                  <w:bCs/>
                  <w:color w:val="0000FF"/>
                  <w:sz w:val="24"/>
                  <w:szCs w:val="24"/>
                  <w:u w:val="single"/>
                </w:rPr>
                <w:t>3481</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2015/191</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Osservazione, 1 Raccomandazione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5" w:history="1">
              <w:r w:rsidR="00BF7006" w:rsidRPr="00BF7006">
                <w:rPr>
                  <w:rFonts w:ascii="Calibri" w:hAnsi="Calibri"/>
                  <w:b/>
                  <w:bCs/>
                  <w:color w:val="0000FF"/>
                  <w:sz w:val="24"/>
                  <w:szCs w:val="24"/>
                  <w:u w:val="single"/>
                </w:rPr>
                <w:t>0003</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6" w:anchor="data.20151218.com" w:history="1">
              <w:r w:rsidR="00BF7006" w:rsidRPr="00BF7006">
                <w:rPr>
                  <w:rFonts w:ascii="Calibri" w:hAnsi="Calibri"/>
                  <w:b/>
                  <w:bCs/>
                  <w:color w:val="0000FF"/>
                  <w:sz w:val="24"/>
                  <w:szCs w:val="24"/>
                  <w:u w:val="single"/>
                </w:rPr>
                <w:t>3495</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2015/185</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Condizione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7" w:history="1">
              <w:r w:rsidR="00BF7006" w:rsidRPr="00BF7006">
                <w:rPr>
                  <w:rFonts w:ascii="Calibri" w:hAnsi="Calibri"/>
                  <w:b/>
                  <w:bCs/>
                  <w:color w:val="0000FF"/>
                  <w:sz w:val="24"/>
                  <w:szCs w:val="24"/>
                  <w:u w:val="single"/>
                </w:rPr>
                <w:t>0004</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8" w:anchor="data.20151222.com" w:history="1">
              <w:r w:rsidR="00BF7006" w:rsidRPr="00BF7006">
                <w:rPr>
                  <w:rFonts w:ascii="Calibri" w:hAnsi="Calibri"/>
                  <w:b/>
                  <w:bCs/>
                  <w:color w:val="0000FF"/>
                  <w:sz w:val="24"/>
                  <w:szCs w:val="24"/>
                  <w:u w:val="single"/>
                </w:rPr>
                <w:t>2953</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ddl Gov</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Condizione, 1 Osservazione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89" w:history="1">
              <w:r w:rsidR="00BF7006" w:rsidRPr="00BF7006">
                <w:rPr>
                  <w:rFonts w:ascii="Calibri" w:hAnsi="Calibri"/>
                  <w:b/>
                  <w:bCs/>
                  <w:color w:val="0000FF"/>
                  <w:sz w:val="24"/>
                  <w:szCs w:val="24"/>
                  <w:u w:val="single"/>
                </w:rPr>
                <w:t>0005</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0" w:anchor="data.20160114.com48." w:history="1">
              <w:r w:rsidR="00BF7006" w:rsidRPr="00BF7006">
                <w:rPr>
                  <w:rFonts w:ascii="Calibri" w:hAnsi="Calibri"/>
                  <w:b/>
                  <w:bCs/>
                  <w:color w:val="0000FF"/>
                  <w:sz w:val="24"/>
                  <w:szCs w:val="24"/>
                  <w:u w:val="single"/>
                </w:rPr>
                <w:t>3513</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2015/210</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Condizione, 3 Osservazioni, 1 Raccomandazione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1" w:history="1">
              <w:r w:rsidR="00BF7006" w:rsidRPr="00BF7006">
                <w:rPr>
                  <w:rFonts w:ascii="Calibri" w:hAnsi="Calibri"/>
                  <w:b/>
                  <w:bCs/>
                  <w:color w:val="0000FF"/>
                  <w:sz w:val="24"/>
                  <w:szCs w:val="24"/>
                  <w:u w:val="single"/>
                </w:rPr>
                <w:t>0006</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BF7006" w:rsidP="00BF7006">
            <w:pPr>
              <w:spacing w:line="240" w:lineRule="auto"/>
              <w:ind w:firstLine="0"/>
              <w:jc w:val="center"/>
              <w:rPr>
                <w:rFonts w:ascii="Calibri" w:hAnsi="Calibri"/>
                <w:b/>
                <w:bCs/>
                <w:color w:val="0000FF"/>
                <w:sz w:val="24"/>
                <w:szCs w:val="24"/>
                <w:u w:val="single"/>
              </w:rPr>
            </w:pPr>
            <w:r w:rsidRPr="00BF7006">
              <w:rPr>
                <w:rFonts w:ascii="Calibri" w:hAnsi="Calibri"/>
                <w:b/>
                <w:bCs/>
                <w:color w:val="0000FF"/>
                <w:sz w:val="24"/>
                <w:szCs w:val="24"/>
                <w:u w:val="single"/>
              </w:rPr>
              <w:t>TU 3317</w:t>
            </w:r>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pdl</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5 Condizioni, 2 Osservazioni</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2" w:history="1">
              <w:r w:rsidR="00BF7006" w:rsidRPr="00BF7006">
                <w:rPr>
                  <w:rFonts w:ascii="Calibri" w:hAnsi="Calibri"/>
                  <w:b/>
                  <w:bCs/>
                  <w:color w:val="0000FF"/>
                  <w:sz w:val="24"/>
                  <w:szCs w:val="24"/>
                  <w:u w:val="single"/>
                </w:rPr>
                <w:t>0007</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BF7006" w:rsidP="00BF7006">
            <w:pPr>
              <w:spacing w:line="240" w:lineRule="auto"/>
              <w:ind w:firstLine="0"/>
              <w:jc w:val="center"/>
              <w:rPr>
                <w:rFonts w:ascii="Calibri" w:hAnsi="Calibri"/>
                <w:b/>
                <w:bCs/>
                <w:color w:val="0000FF"/>
                <w:sz w:val="24"/>
                <w:szCs w:val="24"/>
                <w:u w:val="single"/>
              </w:rPr>
            </w:pPr>
            <w:r w:rsidRPr="00BF7006">
              <w:rPr>
                <w:rFonts w:ascii="Calibri" w:hAnsi="Calibri"/>
                <w:b/>
                <w:bCs/>
                <w:color w:val="0000FF"/>
                <w:sz w:val="24"/>
                <w:szCs w:val="24"/>
                <w:u w:val="single"/>
              </w:rPr>
              <w:t>3119</w:t>
            </w:r>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ddl Gov</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3 Condizioni, 6 Osservazioni</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3" w:history="1">
              <w:r w:rsidR="00BF7006" w:rsidRPr="00BF7006">
                <w:rPr>
                  <w:rFonts w:ascii="Calibri" w:hAnsi="Calibri"/>
                  <w:b/>
                  <w:bCs/>
                  <w:color w:val="0000FF"/>
                  <w:sz w:val="24"/>
                  <w:szCs w:val="24"/>
                  <w:u w:val="single"/>
                </w:rPr>
                <w:t>0008</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4" w:anchor="data.20160224.com" w:history="1">
              <w:r w:rsidR="00BF7006" w:rsidRPr="00BF7006">
                <w:rPr>
                  <w:rFonts w:ascii="Calibri" w:hAnsi="Calibri"/>
                  <w:b/>
                  <w:bCs/>
                  <w:color w:val="0000FF"/>
                  <w:sz w:val="24"/>
                  <w:szCs w:val="24"/>
                  <w:u w:val="single"/>
                </w:rPr>
                <w:t>3606</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2016/018</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2 Condizioni, 4 Osservazioni</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5" w:history="1">
              <w:r w:rsidR="00BF7006" w:rsidRPr="00BF7006">
                <w:rPr>
                  <w:rFonts w:ascii="Calibri" w:hAnsi="Calibri"/>
                  <w:b/>
                  <w:bCs/>
                  <w:color w:val="0000FF"/>
                  <w:sz w:val="24"/>
                  <w:szCs w:val="24"/>
                  <w:u w:val="single"/>
                </w:rPr>
                <w:t>0009</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6" w:anchor="data.20160224.com" w:history="1">
              <w:r w:rsidR="00BF7006" w:rsidRPr="00BF7006">
                <w:rPr>
                  <w:rFonts w:ascii="Calibri" w:hAnsi="Calibri"/>
                  <w:b/>
                  <w:bCs/>
                  <w:color w:val="0000FF"/>
                  <w:sz w:val="24"/>
                  <w:szCs w:val="24"/>
                  <w:u w:val="single"/>
                </w:rPr>
                <w:t>2039 NT</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ddl Gov</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4 Condizioni, 6 Osservazioni</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7" w:history="1">
              <w:r w:rsidR="00BF7006" w:rsidRPr="00BF7006">
                <w:rPr>
                  <w:rFonts w:ascii="Calibri" w:hAnsi="Calibri"/>
                  <w:b/>
                  <w:bCs/>
                  <w:color w:val="0000FF"/>
                  <w:sz w:val="24"/>
                  <w:szCs w:val="24"/>
                  <w:u w:val="single"/>
                </w:rPr>
                <w:t>0010</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8" w:anchor="data.20160303.com" w:history="1">
              <w:r w:rsidR="00BF7006" w:rsidRPr="00BF7006">
                <w:rPr>
                  <w:rFonts w:ascii="Calibri" w:hAnsi="Calibri"/>
                  <w:b/>
                  <w:bCs/>
                  <w:color w:val="0000FF"/>
                  <w:sz w:val="24"/>
                  <w:szCs w:val="24"/>
                  <w:u w:val="single"/>
                </w:rPr>
                <w:t>3540</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ddl Gov</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4 Condizioni, 1 Osservazione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99" w:history="1">
              <w:r w:rsidR="00BF7006" w:rsidRPr="00BF7006">
                <w:rPr>
                  <w:rFonts w:ascii="Calibri" w:hAnsi="Calibri"/>
                  <w:b/>
                  <w:bCs/>
                  <w:color w:val="0000FF"/>
                  <w:sz w:val="24"/>
                  <w:szCs w:val="24"/>
                  <w:u w:val="single"/>
                </w:rPr>
                <w:t>0011</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0" w:anchor="data.20160309.com" w:history="1">
              <w:r w:rsidR="00BF7006" w:rsidRPr="00BF7006">
                <w:rPr>
                  <w:rFonts w:ascii="Calibri" w:hAnsi="Calibri"/>
                  <w:b/>
                  <w:bCs/>
                  <w:color w:val="0000FF"/>
                  <w:sz w:val="24"/>
                  <w:szCs w:val="24"/>
                  <w:u w:val="single"/>
                </w:rPr>
                <w:t>2212</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pdl</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7 Condizioni, 3 Osservazioni</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1" w:history="1">
              <w:r w:rsidR="00BF7006" w:rsidRPr="00BF7006">
                <w:rPr>
                  <w:rFonts w:ascii="Calibri" w:hAnsi="Calibri"/>
                  <w:b/>
                  <w:bCs/>
                  <w:color w:val="0000FF"/>
                  <w:sz w:val="24"/>
                  <w:szCs w:val="24"/>
                  <w:u w:val="single"/>
                </w:rPr>
                <w:t>0012</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2" w:anchor="data.20160412.com" w:history="1">
              <w:r w:rsidR="00BF7006" w:rsidRPr="00BF7006">
                <w:rPr>
                  <w:rFonts w:ascii="Calibri" w:hAnsi="Calibri"/>
                  <w:b/>
                  <w:bCs/>
                  <w:color w:val="0000FF"/>
                  <w:sz w:val="24"/>
                  <w:szCs w:val="24"/>
                  <w:u w:val="single"/>
                </w:rPr>
                <w:t>3634</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pdl</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2 Condizioni, 4 Osservazioni, 1 Raccomandazione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3" w:history="1">
              <w:r w:rsidR="00BF7006" w:rsidRPr="00BF7006">
                <w:rPr>
                  <w:rFonts w:ascii="Calibri" w:hAnsi="Calibri"/>
                  <w:b/>
                  <w:bCs/>
                  <w:color w:val="0000FF"/>
                  <w:sz w:val="24"/>
                  <w:szCs w:val="24"/>
                  <w:u w:val="single"/>
                </w:rPr>
                <w:t>0013</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4" w:anchor="data.20160412.com" w:history="1">
              <w:r w:rsidR="00BF7006" w:rsidRPr="00BF7006">
                <w:rPr>
                  <w:rFonts w:ascii="Calibri" w:hAnsi="Calibri"/>
                  <w:b/>
                  <w:bCs/>
                  <w:color w:val="0000FF"/>
                  <w:sz w:val="24"/>
                  <w:szCs w:val="24"/>
                  <w:u w:val="single"/>
                </w:rPr>
                <w:t>3672</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ddl Gov</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2 Condizioni, 1 Osservazione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5" w:history="1">
              <w:r w:rsidR="00BF7006" w:rsidRPr="00BF7006">
                <w:rPr>
                  <w:rFonts w:ascii="Calibri" w:hAnsi="Calibri"/>
                  <w:b/>
                  <w:bCs/>
                  <w:color w:val="0000FF"/>
                  <w:sz w:val="24"/>
                  <w:szCs w:val="24"/>
                  <w:u w:val="single"/>
                </w:rPr>
                <w:t>0014</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6" w:anchor="data.20160512.com" w:history="1">
              <w:r w:rsidR="00BF7006" w:rsidRPr="00BF7006">
                <w:rPr>
                  <w:rFonts w:ascii="Calibri" w:hAnsi="Calibri"/>
                  <w:b/>
                  <w:bCs/>
                  <w:color w:val="0000FF"/>
                  <w:sz w:val="24"/>
                  <w:szCs w:val="24"/>
                  <w:u w:val="single"/>
                </w:rPr>
                <w:t>2617-B</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ddl Gov</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Condizione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7" w:history="1">
              <w:r w:rsidR="00BF7006" w:rsidRPr="00BF7006">
                <w:rPr>
                  <w:rFonts w:ascii="Calibri" w:hAnsi="Calibri"/>
                  <w:b/>
                  <w:bCs/>
                  <w:color w:val="0000FF"/>
                  <w:sz w:val="24"/>
                  <w:szCs w:val="24"/>
                  <w:u w:val="single"/>
                </w:rPr>
                <w:t>0015</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8" w:anchor="data.20160518.com" w:history="1">
              <w:r w:rsidR="00BF7006" w:rsidRPr="00BF7006">
                <w:rPr>
                  <w:rFonts w:ascii="Calibri" w:hAnsi="Calibri"/>
                  <w:b/>
                  <w:bCs/>
                  <w:color w:val="0000FF"/>
                  <w:sz w:val="24"/>
                  <w:szCs w:val="24"/>
                  <w:u w:val="single"/>
                </w:rPr>
                <w:t>3822</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2016/042</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Condizione, 1 Raccomandazione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09" w:history="1">
              <w:r w:rsidR="00BF7006" w:rsidRPr="00BF7006">
                <w:rPr>
                  <w:rFonts w:ascii="Calibri" w:hAnsi="Calibri"/>
                  <w:b/>
                  <w:bCs/>
                  <w:color w:val="0000FF"/>
                  <w:sz w:val="24"/>
                  <w:szCs w:val="24"/>
                  <w:u w:val="single"/>
                </w:rPr>
                <w:t>0016</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0" w:anchor="data.20160525.com" w:history="1">
              <w:r w:rsidR="00BF7006" w:rsidRPr="00BF7006">
                <w:rPr>
                  <w:rFonts w:ascii="Calibri" w:hAnsi="Calibri"/>
                  <w:b/>
                  <w:bCs/>
                  <w:color w:val="0000FF"/>
                  <w:sz w:val="24"/>
                  <w:szCs w:val="24"/>
                  <w:u w:val="single"/>
                </w:rPr>
                <w:t>TU 2839</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pdl</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Condizione, 1 Osservazione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1" w:history="1">
              <w:r w:rsidR="00BF7006" w:rsidRPr="00BF7006">
                <w:rPr>
                  <w:rFonts w:ascii="Calibri" w:hAnsi="Calibri"/>
                  <w:b/>
                  <w:bCs/>
                  <w:color w:val="0000FF"/>
                  <w:sz w:val="24"/>
                  <w:szCs w:val="24"/>
                  <w:u w:val="single"/>
                </w:rPr>
                <w:t>0017</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2" w:anchor="data.20160608.com" w:history="1">
              <w:r w:rsidR="00BF7006" w:rsidRPr="00BF7006">
                <w:rPr>
                  <w:rFonts w:ascii="Calibri" w:hAnsi="Calibri"/>
                  <w:b/>
                  <w:bCs/>
                  <w:color w:val="0000FF"/>
                  <w:sz w:val="24"/>
                  <w:szCs w:val="24"/>
                  <w:u w:val="single"/>
                </w:rPr>
                <w:t>3594</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ddl Gov</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3 Condizioni, 1 Osservazione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3" w:history="1">
              <w:r w:rsidR="00BF7006" w:rsidRPr="00BF7006">
                <w:rPr>
                  <w:rFonts w:ascii="Calibri" w:hAnsi="Calibri"/>
                  <w:b/>
                  <w:bCs/>
                  <w:color w:val="0000FF"/>
                  <w:sz w:val="24"/>
                  <w:szCs w:val="24"/>
                  <w:u w:val="single"/>
                </w:rPr>
                <w:t>0018</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4" w:anchor="data.20160608.com" w:history="1">
              <w:r w:rsidR="00BF7006" w:rsidRPr="00BF7006">
                <w:rPr>
                  <w:rFonts w:ascii="Calibri" w:hAnsi="Calibri"/>
                  <w:b/>
                  <w:bCs/>
                  <w:color w:val="0000FF"/>
                  <w:sz w:val="24"/>
                  <w:szCs w:val="24"/>
                  <w:u w:val="single"/>
                </w:rPr>
                <w:t>3209</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pdl</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nessun rilievo</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5" w:history="1">
              <w:r w:rsidR="00BF7006" w:rsidRPr="00BF7006">
                <w:rPr>
                  <w:rFonts w:ascii="Calibri" w:hAnsi="Calibri"/>
                  <w:b/>
                  <w:bCs/>
                  <w:color w:val="0000FF"/>
                  <w:sz w:val="24"/>
                  <w:szCs w:val="24"/>
                  <w:u w:val="single"/>
                </w:rPr>
                <w:t>0019</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6" w:anchor="data.20160621.com" w:history="1">
              <w:r w:rsidR="00BF7006" w:rsidRPr="00BF7006">
                <w:rPr>
                  <w:rFonts w:ascii="Calibri" w:hAnsi="Calibri"/>
                  <w:b/>
                  <w:bCs/>
                  <w:color w:val="0000FF"/>
                  <w:sz w:val="24"/>
                  <w:szCs w:val="24"/>
                  <w:u w:val="single"/>
                </w:rPr>
                <w:t>3821</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ddl Gov</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3 Condizioni, 1 Osservazione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7" w:history="1">
              <w:r w:rsidR="00BF7006" w:rsidRPr="00BF7006">
                <w:rPr>
                  <w:rFonts w:ascii="Calibri" w:hAnsi="Calibri"/>
                  <w:b/>
                  <w:bCs/>
                  <w:color w:val="0000FF"/>
                  <w:sz w:val="24"/>
                  <w:szCs w:val="24"/>
                  <w:u w:val="single"/>
                </w:rPr>
                <w:t>0020</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8" w:anchor="data.20160622.com" w:history="1">
              <w:r w:rsidR="00BF7006" w:rsidRPr="00BF7006">
                <w:rPr>
                  <w:rFonts w:ascii="Calibri" w:hAnsi="Calibri"/>
                  <w:b/>
                  <w:bCs/>
                  <w:color w:val="0000FF"/>
                  <w:sz w:val="24"/>
                  <w:szCs w:val="24"/>
                  <w:u w:val="single"/>
                </w:rPr>
                <w:t>3892</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2016/059</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Condizione, 1 Osservazione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19" w:history="1">
              <w:r w:rsidR="00BF7006" w:rsidRPr="00BF7006">
                <w:rPr>
                  <w:rFonts w:ascii="Calibri" w:hAnsi="Calibri"/>
                  <w:b/>
                  <w:bCs/>
                  <w:color w:val="0000FF"/>
                  <w:sz w:val="24"/>
                  <w:szCs w:val="24"/>
                  <w:u w:val="single"/>
                </w:rPr>
                <w:t>0021</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0" w:anchor="data.20160622.com" w:history="1">
              <w:r w:rsidR="00BF7006" w:rsidRPr="00BF7006">
                <w:rPr>
                  <w:rFonts w:ascii="Calibri" w:hAnsi="Calibri"/>
                  <w:b/>
                  <w:bCs/>
                  <w:color w:val="0000FF"/>
                  <w:sz w:val="24"/>
                  <w:szCs w:val="24"/>
                  <w:u w:val="single"/>
                </w:rPr>
                <w:t>3886</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2016/098</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2 Osservazioni, 1 Raccomandazione</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1" w:history="1">
              <w:r w:rsidR="00BF7006" w:rsidRPr="00BF7006">
                <w:rPr>
                  <w:rFonts w:ascii="Calibri" w:hAnsi="Calibri"/>
                  <w:b/>
                  <w:bCs/>
                  <w:color w:val="0000FF"/>
                  <w:sz w:val="24"/>
                  <w:szCs w:val="24"/>
                  <w:u w:val="single"/>
                </w:rPr>
                <w:t>0022</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2" w:anchor="data.20160629.com" w:history="1">
              <w:r w:rsidR="00BF7006" w:rsidRPr="00BF7006">
                <w:rPr>
                  <w:rFonts w:ascii="Calibri" w:hAnsi="Calibri"/>
                  <w:b/>
                  <w:bCs/>
                  <w:color w:val="0000FF"/>
                  <w:sz w:val="24"/>
                  <w:szCs w:val="24"/>
                  <w:u w:val="single"/>
                </w:rPr>
                <w:t>1460-B</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pdl</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2 Osservazioni</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3" w:history="1">
              <w:r w:rsidR="00BF7006" w:rsidRPr="00BF7006">
                <w:rPr>
                  <w:rFonts w:ascii="Calibri" w:hAnsi="Calibri"/>
                  <w:b/>
                  <w:bCs/>
                  <w:color w:val="0000FF"/>
                  <w:sz w:val="24"/>
                  <w:szCs w:val="24"/>
                  <w:u w:val="single"/>
                </w:rPr>
                <w:t>0023</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4" w:anchor="data.20160705.com" w:history="1">
              <w:r w:rsidR="00BF7006" w:rsidRPr="00BF7006">
                <w:rPr>
                  <w:rFonts w:ascii="Calibri" w:hAnsi="Calibri"/>
                  <w:b/>
                  <w:bCs/>
                  <w:color w:val="0000FF"/>
                  <w:sz w:val="24"/>
                  <w:szCs w:val="24"/>
                  <w:u w:val="single"/>
                </w:rPr>
                <w:t>3953</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2016/067</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1 Condizione, 2 Raccomandazioni</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5" w:history="1">
              <w:r w:rsidR="00BF7006" w:rsidRPr="00BF7006">
                <w:rPr>
                  <w:rFonts w:ascii="Calibri" w:hAnsi="Calibri"/>
                  <w:b/>
                  <w:bCs/>
                  <w:color w:val="0000FF"/>
                  <w:sz w:val="24"/>
                  <w:szCs w:val="24"/>
                  <w:u w:val="single"/>
                </w:rPr>
                <w:t>0024</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6" w:anchor="data.20160706.com" w:history="1">
              <w:r w:rsidR="00BF7006" w:rsidRPr="00BF7006">
                <w:rPr>
                  <w:rFonts w:ascii="Calibri" w:hAnsi="Calibri"/>
                  <w:b/>
                  <w:bCs/>
                  <w:color w:val="0000FF"/>
                  <w:sz w:val="24"/>
                  <w:szCs w:val="24"/>
                  <w:u w:val="single"/>
                </w:rPr>
                <w:t>3926</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2016/113</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BF7006" w:rsidRPr="00BF7006" w:rsidRDefault="00BF7006" w:rsidP="00BF7006">
            <w:pPr>
              <w:spacing w:line="240" w:lineRule="auto"/>
              <w:ind w:firstLine="0"/>
              <w:jc w:val="center"/>
              <w:rPr>
                <w:rFonts w:ascii="Calibri" w:hAnsi="Calibri"/>
                <w:b/>
                <w:bCs/>
                <w:color w:val="FF0000"/>
                <w:sz w:val="24"/>
                <w:szCs w:val="24"/>
              </w:rPr>
            </w:pPr>
            <w:r w:rsidRPr="00BF7006">
              <w:rPr>
                <w:rFonts w:ascii="Calibri" w:hAnsi="Calibri"/>
                <w:b/>
                <w:bCs/>
                <w:color w:val="FF0000"/>
                <w:sz w:val="24"/>
                <w:szCs w:val="24"/>
              </w:rPr>
              <w:t>SI</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4 Condizioni, 3 Osservazioni</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7" w:history="1">
              <w:r w:rsidR="00BF7006" w:rsidRPr="00BF7006">
                <w:rPr>
                  <w:rFonts w:ascii="Calibri" w:hAnsi="Calibri"/>
                  <w:b/>
                  <w:bCs/>
                  <w:color w:val="0000FF"/>
                  <w:sz w:val="24"/>
                  <w:szCs w:val="24"/>
                  <w:u w:val="single"/>
                </w:rPr>
                <w:t>0025</w:t>
              </w:r>
            </w:hyperlink>
          </w:p>
        </w:tc>
      </w:tr>
      <w:tr w:rsidR="00BF7006" w:rsidRPr="00BF7006" w:rsidTr="004317A9">
        <w:trPr>
          <w:trHeight w:val="600"/>
          <w:jc w:val="center"/>
        </w:trPr>
        <w:tc>
          <w:tcPr>
            <w:tcW w:w="583" w:type="pct"/>
            <w:tcBorders>
              <w:top w:val="nil"/>
              <w:left w:val="single" w:sz="4" w:space="0" w:color="auto"/>
              <w:bottom w:val="single" w:sz="4" w:space="0" w:color="auto"/>
              <w:right w:val="single" w:sz="4" w:space="0" w:color="auto"/>
            </w:tcBorders>
            <w:shd w:val="clear" w:color="000000" w:fill="99CCFF"/>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8" w:anchor="data.20160706.com" w:history="1">
              <w:r w:rsidR="00BF7006" w:rsidRPr="00BF7006">
                <w:rPr>
                  <w:rFonts w:ascii="Calibri" w:hAnsi="Calibri"/>
                  <w:b/>
                  <w:bCs/>
                  <w:color w:val="0000FF"/>
                  <w:sz w:val="24"/>
                  <w:szCs w:val="24"/>
                  <w:u w:val="single"/>
                </w:rPr>
                <w:t>3954</w:t>
              </w:r>
            </w:hyperlink>
          </w:p>
        </w:tc>
        <w:tc>
          <w:tcPr>
            <w:tcW w:w="745"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b/>
                <w:bCs/>
                <w:szCs w:val="22"/>
              </w:rPr>
            </w:pPr>
            <w:r w:rsidRPr="00BF7006">
              <w:rPr>
                <w:rFonts w:ascii="Calibri" w:hAnsi="Calibri"/>
                <w:b/>
                <w:bCs/>
                <w:szCs w:val="22"/>
              </w:rPr>
              <w:t>DL 2016/117</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583"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center"/>
              <w:rPr>
                <w:rFonts w:ascii="Calibri" w:hAnsi="Calibri"/>
                <w:sz w:val="24"/>
                <w:szCs w:val="24"/>
              </w:rPr>
            </w:pPr>
            <w:r w:rsidRPr="00BF7006">
              <w:rPr>
                <w:rFonts w:ascii="Calibri" w:hAnsi="Calibri"/>
                <w:sz w:val="24"/>
                <w:szCs w:val="24"/>
              </w:rPr>
              <w:t>NO</w:t>
            </w:r>
          </w:p>
        </w:tc>
        <w:tc>
          <w:tcPr>
            <w:tcW w:w="1339" w:type="pct"/>
            <w:tcBorders>
              <w:top w:val="nil"/>
              <w:left w:val="nil"/>
              <w:bottom w:val="single" w:sz="4" w:space="0" w:color="auto"/>
              <w:right w:val="single" w:sz="4" w:space="0" w:color="auto"/>
            </w:tcBorders>
            <w:shd w:val="clear" w:color="auto" w:fill="auto"/>
            <w:vAlign w:val="center"/>
            <w:hideMark/>
          </w:tcPr>
          <w:p w:rsidR="00BF7006" w:rsidRPr="00BF7006" w:rsidRDefault="00BF7006" w:rsidP="00BF7006">
            <w:pPr>
              <w:spacing w:line="240" w:lineRule="auto"/>
              <w:ind w:firstLine="0"/>
              <w:jc w:val="left"/>
              <w:rPr>
                <w:rFonts w:ascii="Calibri" w:hAnsi="Calibri"/>
                <w:sz w:val="18"/>
                <w:szCs w:val="18"/>
              </w:rPr>
            </w:pPr>
            <w:r w:rsidRPr="00BF7006">
              <w:rPr>
                <w:rFonts w:ascii="Calibri" w:hAnsi="Calibri"/>
                <w:sz w:val="18"/>
                <w:szCs w:val="18"/>
              </w:rPr>
              <w:t>nessun rilievo</w:t>
            </w:r>
          </w:p>
        </w:tc>
        <w:tc>
          <w:tcPr>
            <w:tcW w:w="584" w:type="pct"/>
            <w:tcBorders>
              <w:top w:val="nil"/>
              <w:left w:val="nil"/>
              <w:bottom w:val="single" w:sz="4" w:space="0" w:color="auto"/>
              <w:right w:val="single" w:sz="4" w:space="0" w:color="auto"/>
            </w:tcBorders>
            <w:shd w:val="clear" w:color="auto" w:fill="auto"/>
            <w:vAlign w:val="center"/>
            <w:hideMark/>
          </w:tcPr>
          <w:p w:rsidR="00BF7006" w:rsidRPr="00BF7006" w:rsidRDefault="00DC78AD" w:rsidP="00BF7006">
            <w:pPr>
              <w:spacing w:line="240" w:lineRule="auto"/>
              <w:ind w:firstLine="0"/>
              <w:jc w:val="center"/>
              <w:rPr>
                <w:rFonts w:ascii="Calibri" w:hAnsi="Calibri"/>
                <w:b/>
                <w:bCs/>
                <w:color w:val="0000FF"/>
                <w:sz w:val="24"/>
                <w:szCs w:val="24"/>
                <w:u w:val="single"/>
              </w:rPr>
            </w:pPr>
            <w:hyperlink r:id="rId129" w:history="1">
              <w:r w:rsidR="00BF7006" w:rsidRPr="00BF7006">
                <w:rPr>
                  <w:rFonts w:ascii="Calibri" w:hAnsi="Calibri"/>
                  <w:b/>
                  <w:bCs/>
                  <w:color w:val="0000FF"/>
                  <w:sz w:val="24"/>
                  <w:szCs w:val="24"/>
                  <w:u w:val="single"/>
                </w:rPr>
                <w:t>0026</w:t>
              </w:r>
            </w:hyperlink>
          </w:p>
        </w:tc>
      </w:tr>
    </w:tbl>
    <w:p w:rsidR="00BF7006" w:rsidRDefault="00BF7006" w:rsidP="00BF7BFE"/>
    <w:p w:rsidR="00BF7006" w:rsidRPr="003505A6" w:rsidRDefault="00BF7006" w:rsidP="00BF7BFE"/>
    <w:p w:rsidR="00332C22" w:rsidRPr="003505A6" w:rsidRDefault="00332C22" w:rsidP="00BF7BFE"/>
    <w:p w:rsidR="00332C22" w:rsidRPr="003505A6" w:rsidRDefault="00332C22" w:rsidP="00BF7BFE">
      <w:pPr>
        <w:sectPr w:rsidR="00332C22" w:rsidRPr="003505A6" w:rsidSect="004317A9">
          <w:headerReference w:type="even" r:id="rId130"/>
          <w:headerReference w:type="default" r:id="rId131"/>
          <w:footerReference w:type="even" r:id="rId132"/>
          <w:footerReference w:type="default" r:id="rId133"/>
          <w:headerReference w:type="first" r:id="rId134"/>
          <w:footerReference w:type="first" r:id="rId135"/>
          <w:type w:val="oddPage"/>
          <w:pgSz w:w="11906" w:h="16838" w:code="9"/>
          <w:pgMar w:top="1418" w:right="1418" w:bottom="1418" w:left="1418" w:header="1134" w:footer="1134" w:gutter="0"/>
          <w:cols w:sep="1" w:space="284"/>
          <w:titlePg/>
        </w:sectPr>
      </w:pPr>
    </w:p>
    <w:p w:rsidR="00332C22" w:rsidRPr="003505A6" w:rsidRDefault="00332C22" w:rsidP="00BF7BFE"/>
    <w:p w:rsidR="00332C22" w:rsidRPr="003505A6" w:rsidRDefault="00332C22" w:rsidP="0090172B">
      <w:pPr>
        <w:pStyle w:val="Titolo2"/>
        <w:rPr>
          <w:rFonts w:ascii="Garamond" w:hAnsi="Garamond"/>
          <w:color w:val="0000FF"/>
          <w:sz w:val="32"/>
          <w:szCs w:val="32"/>
        </w:rPr>
      </w:pPr>
      <w:bookmarkStart w:id="81" w:name="_Toc458677984"/>
      <w:bookmarkStart w:id="82" w:name="TABELLA02"/>
      <w:r w:rsidRPr="003505A6">
        <w:rPr>
          <w:rFonts w:ascii="Garamond" w:hAnsi="Garamond"/>
          <w:color w:val="0000FF"/>
          <w:sz w:val="32"/>
          <w:szCs w:val="32"/>
        </w:rPr>
        <w:t>TAB. 2 “RICHIAMI CIRCOLARE”</w:t>
      </w:r>
      <w:bookmarkEnd w:id="81"/>
    </w:p>
    <w:bookmarkEnd w:id="82"/>
    <w:p w:rsidR="00332C22" w:rsidRDefault="00332C22" w:rsidP="00BF7BFE"/>
    <w:tbl>
      <w:tblPr>
        <w:tblW w:w="5000" w:type="pct"/>
        <w:jc w:val="center"/>
        <w:tblLayout w:type="fixed"/>
        <w:tblCellMar>
          <w:left w:w="70" w:type="dxa"/>
          <w:right w:w="70" w:type="dxa"/>
        </w:tblCellMar>
        <w:tblLook w:val="04A0" w:firstRow="1" w:lastRow="0" w:firstColumn="1" w:lastColumn="0" w:noHBand="0" w:noVBand="1"/>
      </w:tblPr>
      <w:tblGrid>
        <w:gridCol w:w="736"/>
        <w:gridCol w:w="1068"/>
        <w:gridCol w:w="810"/>
        <w:gridCol w:w="1072"/>
        <w:gridCol w:w="1054"/>
        <w:gridCol w:w="898"/>
        <w:gridCol w:w="626"/>
        <w:gridCol w:w="1056"/>
        <w:gridCol w:w="882"/>
        <w:gridCol w:w="804"/>
        <w:gridCol w:w="772"/>
      </w:tblGrid>
      <w:tr w:rsidR="00610F57" w:rsidRPr="00610F57" w:rsidTr="00610F57">
        <w:trPr>
          <w:trHeight w:val="1035"/>
          <w:tblHeader/>
          <w:jc w:val="center"/>
        </w:trPr>
        <w:tc>
          <w:tcPr>
            <w:tcW w:w="377" w:type="pct"/>
            <w:tcBorders>
              <w:top w:val="single" w:sz="8" w:space="0" w:color="auto"/>
              <w:left w:val="single" w:sz="8" w:space="0" w:color="auto"/>
              <w:bottom w:val="single" w:sz="8" w:space="0" w:color="auto"/>
              <w:right w:val="single" w:sz="4"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4"/>
                <w:szCs w:val="24"/>
              </w:rPr>
            </w:pPr>
            <w:r w:rsidRPr="00610F57">
              <w:rPr>
                <w:rFonts w:ascii="Calibri" w:hAnsi="Calibri"/>
                <w:b/>
                <w:bCs/>
                <w:sz w:val="24"/>
                <w:szCs w:val="24"/>
              </w:rPr>
              <w:t>AC</w:t>
            </w:r>
          </w:p>
        </w:tc>
        <w:tc>
          <w:tcPr>
            <w:tcW w:w="546" w:type="pct"/>
            <w:tcBorders>
              <w:top w:val="single" w:sz="8" w:space="0" w:color="auto"/>
              <w:left w:val="nil"/>
              <w:bottom w:val="single" w:sz="8" w:space="0" w:color="auto"/>
              <w:right w:val="single" w:sz="4"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0"/>
              </w:rPr>
            </w:pPr>
            <w:r w:rsidRPr="00610F57">
              <w:rPr>
                <w:rFonts w:ascii="Calibri" w:hAnsi="Calibri"/>
                <w:b/>
                <w:bCs/>
                <w:sz w:val="20"/>
              </w:rPr>
              <w:t>Forma Atto</w:t>
            </w:r>
          </w:p>
        </w:tc>
        <w:tc>
          <w:tcPr>
            <w:tcW w:w="414" w:type="pct"/>
            <w:tcBorders>
              <w:top w:val="single" w:sz="8" w:space="0" w:color="auto"/>
              <w:left w:val="nil"/>
              <w:bottom w:val="single" w:sz="8" w:space="0" w:color="auto"/>
              <w:right w:val="single" w:sz="4"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0"/>
              </w:rPr>
            </w:pPr>
            <w:r w:rsidRPr="00610F57">
              <w:rPr>
                <w:rFonts w:ascii="Calibri" w:hAnsi="Calibri"/>
                <w:b/>
                <w:bCs/>
                <w:sz w:val="20"/>
              </w:rPr>
              <w:t xml:space="preserve">Norme di </w:t>
            </w:r>
            <w:proofErr w:type="spellStart"/>
            <w:r w:rsidRPr="00610F57">
              <w:rPr>
                <w:rFonts w:ascii="Calibri" w:hAnsi="Calibri"/>
                <w:b/>
                <w:bCs/>
                <w:sz w:val="20"/>
              </w:rPr>
              <w:t>interpr</w:t>
            </w:r>
            <w:proofErr w:type="spellEnd"/>
            <w:r w:rsidRPr="00610F57">
              <w:rPr>
                <w:rFonts w:ascii="Calibri" w:hAnsi="Calibri"/>
                <w:b/>
                <w:bCs/>
                <w:sz w:val="20"/>
              </w:rPr>
              <w:t>. aut.</w:t>
            </w:r>
          </w:p>
        </w:tc>
        <w:tc>
          <w:tcPr>
            <w:tcW w:w="548" w:type="pct"/>
            <w:tcBorders>
              <w:top w:val="single" w:sz="8" w:space="0" w:color="auto"/>
              <w:left w:val="nil"/>
              <w:bottom w:val="single" w:sz="8" w:space="0" w:color="auto"/>
              <w:right w:val="single" w:sz="4"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0"/>
              </w:rPr>
            </w:pPr>
            <w:r w:rsidRPr="00610F57">
              <w:rPr>
                <w:rFonts w:ascii="Calibri" w:hAnsi="Calibri"/>
                <w:b/>
                <w:bCs/>
                <w:sz w:val="20"/>
              </w:rPr>
              <w:t>Deroghe</w:t>
            </w:r>
          </w:p>
        </w:tc>
        <w:tc>
          <w:tcPr>
            <w:tcW w:w="539" w:type="pct"/>
            <w:tcBorders>
              <w:top w:val="single" w:sz="8" w:space="0" w:color="auto"/>
              <w:left w:val="nil"/>
              <w:bottom w:val="single" w:sz="8" w:space="0" w:color="auto"/>
              <w:right w:val="single" w:sz="4" w:space="0" w:color="auto"/>
            </w:tcBorders>
            <w:shd w:val="clear" w:color="000000" w:fill="FFC000"/>
            <w:vAlign w:val="center"/>
            <w:hideMark/>
          </w:tcPr>
          <w:p w:rsidR="00610F57" w:rsidRPr="00610F57" w:rsidRDefault="00610F57" w:rsidP="00982103">
            <w:pPr>
              <w:spacing w:line="240" w:lineRule="auto"/>
              <w:ind w:firstLine="0"/>
              <w:jc w:val="center"/>
              <w:rPr>
                <w:rFonts w:ascii="Calibri" w:hAnsi="Calibri"/>
                <w:b/>
                <w:bCs/>
                <w:sz w:val="20"/>
              </w:rPr>
            </w:pPr>
            <w:r w:rsidRPr="00610F57">
              <w:rPr>
                <w:rFonts w:ascii="Calibri" w:hAnsi="Calibri"/>
                <w:b/>
                <w:bCs/>
                <w:sz w:val="20"/>
              </w:rPr>
              <w:t>Abroga</w:t>
            </w:r>
            <w:r w:rsidR="00982103">
              <w:rPr>
                <w:rFonts w:ascii="Calibri" w:hAnsi="Calibri"/>
                <w:b/>
                <w:bCs/>
                <w:sz w:val="20"/>
              </w:rPr>
              <w:t>-</w:t>
            </w:r>
            <w:r w:rsidRPr="00610F57">
              <w:rPr>
                <w:rFonts w:ascii="Calibri" w:hAnsi="Calibri"/>
                <w:b/>
                <w:bCs/>
                <w:sz w:val="20"/>
              </w:rPr>
              <w:t>zioni</w:t>
            </w:r>
          </w:p>
        </w:tc>
        <w:tc>
          <w:tcPr>
            <w:tcW w:w="459" w:type="pct"/>
            <w:tcBorders>
              <w:top w:val="single" w:sz="8" w:space="0" w:color="auto"/>
              <w:left w:val="nil"/>
              <w:bottom w:val="single" w:sz="8" w:space="0" w:color="auto"/>
              <w:right w:val="single" w:sz="4"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0"/>
              </w:rPr>
            </w:pPr>
            <w:r w:rsidRPr="00610F57">
              <w:rPr>
                <w:rFonts w:ascii="Calibri" w:hAnsi="Calibri"/>
                <w:b/>
                <w:bCs/>
                <w:sz w:val="20"/>
              </w:rPr>
              <w:t>Richiami generici, imprecisi o errati</w:t>
            </w:r>
          </w:p>
        </w:tc>
        <w:tc>
          <w:tcPr>
            <w:tcW w:w="320" w:type="pct"/>
            <w:tcBorders>
              <w:top w:val="single" w:sz="8" w:space="0" w:color="auto"/>
              <w:left w:val="nil"/>
              <w:bottom w:val="single" w:sz="8" w:space="0" w:color="auto"/>
              <w:right w:val="single" w:sz="4"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0"/>
              </w:rPr>
            </w:pPr>
            <w:proofErr w:type="spellStart"/>
            <w:r w:rsidRPr="00610F57">
              <w:rPr>
                <w:rFonts w:ascii="Calibri" w:hAnsi="Calibri"/>
                <w:b/>
                <w:bCs/>
                <w:sz w:val="20"/>
              </w:rPr>
              <w:t>Incid</w:t>
            </w:r>
            <w:proofErr w:type="spellEnd"/>
            <w:r w:rsidRPr="00610F57">
              <w:rPr>
                <w:rFonts w:ascii="Calibri" w:hAnsi="Calibri"/>
                <w:b/>
                <w:bCs/>
                <w:sz w:val="20"/>
              </w:rPr>
              <w:t>. su fonti sec.</w:t>
            </w:r>
          </w:p>
        </w:tc>
        <w:tc>
          <w:tcPr>
            <w:tcW w:w="540" w:type="pct"/>
            <w:tcBorders>
              <w:top w:val="single" w:sz="8" w:space="0" w:color="auto"/>
              <w:left w:val="nil"/>
              <w:bottom w:val="single" w:sz="8" w:space="0" w:color="auto"/>
              <w:right w:val="single" w:sz="4"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0"/>
              </w:rPr>
            </w:pPr>
            <w:r w:rsidRPr="00610F57">
              <w:rPr>
                <w:rFonts w:ascii="Calibri" w:hAnsi="Calibri"/>
                <w:b/>
                <w:bCs/>
                <w:sz w:val="20"/>
              </w:rPr>
              <w:t>Redazione del testo</w:t>
            </w:r>
          </w:p>
        </w:tc>
        <w:tc>
          <w:tcPr>
            <w:tcW w:w="451" w:type="pct"/>
            <w:tcBorders>
              <w:top w:val="single" w:sz="8" w:space="0" w:color="auto"/>
              <w:left w:val="nil"/>
              <w:bottom w:val="single" w:sz="8" w:space="0" w:color="auto"/>
              <w:right w:val="single" w:sz="4"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0"/>
              </w:rPr>
            </w:pPr>
            <w:r w:rsidRPr="00610F57">
              <w:rPr>
                <w:rFonts w:ascii="Calibri" w:hAnsi="Calibri"/>
                <w:b/>
                <w:bCs/>
                <w:sz w:val="20"/>
              </w:rPr>
              <w:t>Titolo e rubriche</w:t>
            </w:r>
          </w:p>
        </w:tc>
        <w:tc>
          <w:tcPr>
            <w:tcW w:w="411" w:type="pct"/>
            <w:tcBorders>
              <w:top w:val="single" w:sz="8" w:space="0" w:color="auto"/>
              <w:left w:val="nil"/>
              <w:bottom w:val="single" w:sz="8" w:space="0" w:color="auto"/>
              <w:right w:val="single" w:sz="4"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0"/>
              </w:rPr>
            </w:pPr>
            <w:proofErr w:type="spellStart"/>
            <w:r w:rsidRPr="00610F57">
              <w:rPr>
                <w:rFonts w:ascii="Calibri" w:hAnsi="Calibri"/>
                <w:b/>
                <w:bCs/>
                <w:sz w:val="20"/>
              </w:rPr>
              <w:t>Mod</w:t>
            </w:r>
            <w:proofErr w:type="spellEnd"/>
            <w:r w:rsidRPr="00610F57">
              <w:rPr>
                <w:rFonts w:ascii="Calibri" w:hAnsi="Calibri"/>
                <w:b/>
                <w:bCs/>
                <w:sz w:val="20"/>
              </w:rPr>
              <w:t>. non testuali</w:t>
            </w:r>
          </w:p>
        </w:tc>
        <w:tc>
          <w:tcPr>
            <w:tcW w:w="395" w:type="pct"/>
            <w:tcBorders>
              <w:top w:val="single" w:sz="8" w:space="0" w:color="auto"/>
              <w:left w:val="nil"/>
              <w:bottom w:val="single" w:sz="8" w:space="0" w:color="auto"/>
              <w:right w:val="single" w:sz="8" w:space="0" w:color="auto"/>
            </w:tcBorders>
            <w:shd w:val="clear" w:color="000000" w:fill="FFC000"/>
            <w:vAlign w:val="center"/>
            <w:hideMark/>
          </w:tcPr>
          <w:p w:rsidR="00610F57" w:rsidRPr="00610F57" w:rsidRDefault="00610F57" w:rsidP="00610F57">
            <w:pPr>
              <w:spacing w:line="240" w:lineRule="auto"/>
              <w:ind w:firstLine="0"/>
              <w:jc w:val="center"/>
              <w:rPr>
                <w:rFonts w:ascii="Calibri" w:hAnsi="Calibri"/>
                <w:b/>
                <w:bCs/>
                <w:sz w:val="20"/>
              </w:rPr>
            </w:pPr>
            <w:r w:rsidRPr="00610F57">
              <w:rPr>
                <w:rFonts w:ascii="Calibri" w:hAnsi="Calibri"/>
                <w:b/>
                <w:bCs/>
                <w:sz w:val="20"/>
              </w:rPr>
              <w:t>Schede</w:t>
            </w:r>
          </w:p>
        </w:tc>
      </w:tr>
      <w:tr w:rsidR="00610F57" w:rsidRPr="00610F57" w:rsidTr="00610F57">
        <w:trPr>
          <w:trHeight w:val="642"/>
          <w:jc w:val="center"/>
        </w:trPr>
        <w:tc>
          <w:tcPr>
            <w:tcW w:w="377" w:type="pct"/>
            <w:tcBorders>
              <w:top w:val="single" w:sz="4" w:space="0" w:color="auto"/>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36" w:anchor="data.20151111.com" w:history="1">
              <w:r w:rsidR="00610F57" w:rsidRPr="00610F57">
                <w:rPr>
                  <w:rFonts w:ascii="Calibri" w:hAnsi="Calibri"/>
                  <w:b/>
                  <w:bCs/>
                  <w:color w:val="0000FF"/>
                  <w:sz w:val="24"/>
                  <w:szCs w:val="24"/>
                  <w:u w:val="single"/>
                </w:rPr>
                <w:t>3393</w:t>
              </w:r>
            </w:hyperlink>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2015/174</w:t>
            </w:r>
          </w:p>
        </w:tc>
        <w:tc>
          <w:tcPr>
            <w:tcW w:w="414" w:type="pct"/>
            <w:tcBorders>
              <w:top w:val="single" w:sz="4" w:space="0" w:color="auto"/>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539" w:type="pct"/>
            <w:tcBorders>
              <w:top w:val="single" w:sz="4" w:space="0" w:color="auto"/>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single" w:sz="4" w:space="0" w:color="auto"/>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1" w:type="pct"/>
            <w:tcBorders>
              <w:top w:val="single" w:sz="4" w:space="0" w:color="auto"/>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Cs w:val="22"/>
                <w:u w:val="single"/>
              </w:rPr>
            </w:pPr>
            <w:hyperlink r:id="rId137" w:history="1">
              <w:r w:rsidR="00610F57" w:rsidRPr="00610F57">
                <w:rPr>
                  <w:rFonts w:ascii="Calibri" w:hAnsi="Calibri"/>
                  <w:b/>
                  <w:bCs/>
                  <w:color w:val="0000FF"/>
                  <w:szCs w:val="22"/>
                  <w:u w:val="single"/>
                </w:rPr>
                <w:t>0001</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38" w:anchor="data.20151201.com" w:history="1">
              <w:r w:rsidR="00610F57" w:rsidRPr="00610F57">
                <w:rPr>
                  <w:rFonts w:ascii="Calibri" w:hAnsi="Calibri"/>
                  <w:b/>
                  <w:bCs/>
                  <w:color w:val="0000FF"/>
                  <w:sz w:val="24"/>
                  <w:szCs w:val="24"/>
                  <w:u w:val="single"/>
                </w:rPr>
                <w:t>3446</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2015/183</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39" w:history="1">
              <w:r w:rsidR="00610F57" w:rsidRPr="00610F57">
                <w:rPr>
                  <w:rFonts w:ascii="Calibri" w:hAnsi="Calibri"/>
                  <w:b/>
                  <w:bCs/>
                  <w:color w:val="0000FF"/>
                  <w:sz w:val="24"/>
                  <w:szCs w:val="24"/>
                  <w:u w:val="single"/>
                </w:rPr>
                <w:t>0002</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0" w:anchor="data.20151218.com" w:history="1">
              <w:r w:rsidR="00610F57" w:rsidRPr="00610F57">
                <w:rPr>
                  <w:rFonts w:ascii="Calibri" w:hAnsi="Calibri"/>
                  <w:b/>
                  <w:bCs/>
                  <w:color w:val="0000FF"/>
                  <w:sz w:val="24"/>
                  <w:szCs w:val="24"/>
                  <w:u w:val="single"/>
                </w:rPr>
                <w:t>3481</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2015/191</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1" w:history="1">
              <w:r w:rsidR="00610F57" w:rsidRPr="00610F57">
                <w:rPr>
                  <w:rFonts w:ascii="Calibri" w:hAnsi="Calibri"/>
                  <w:b/>
                  <w:bCs/>
                  <w:color w:val="0000FF"/>
                  <w:sz w:val="24"/>
                  <w:szCs w:val="24"/>
                  <w:u w:val="single"/>
                </w:rPr>
                <w:t>0003</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2" w:anchor="data.20151218.com" w:history="1">
              <w:r w:rsidR="00610F57" w:rsidRPr="00610F57">
                <w:rPr>
                  <w:rFonts w:ascii="Calibri" w:hAnsi="Calibri"/>
                  <w:b/>
                  <w:bCs/>
                  <w:color w:val="0000FF"/>
                  <w:sz w:val="24"/>
                  <w:szCs w:val="24"/>
                  <w:u w:val="single"/>
                </w:rPr>
                <w:t>3495</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2015/185</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3" w:history="1">
              <w:r w:rsidR="00610F57" w:rsidRPr="00610F57">
                <w:rPr>
                  <w:rFonts w:ascii="Calibri" w:hAnsi="Calibri"/>
                  <w:b/>
                  <w:bCs/>
                  <w:color w:val="0000FF"/>
                  <w:sz w:val="24"/>
                  <w:szCs w:val="24"/>
                  <w:u w:val="single"/>
                </w:rPr>
                <w:t>0004</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4" w:anchor="data.20160114.com48." w:history="1">
              <w:r w:rsidR="00610F57" w:rsidRPr="00610F57">
                <w:rPr>
                  <w:rFonts w:ascii="Calibri" w:hAnsi="Calibri"/>
                  <w:b/>
                  <w:bCs/>
                  <w:color w:val="0000FF"/>
                  <w:sz w:val="24"/>
                  <w:szCs w:val="24"/>
                  <w:u w:val="single"/>
                </w:rPr>
                <w:t>3513</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2015/210</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54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5" w:history="1">
              <w:r w:rsidR="00610F57" w:rsidRPr="00610F57">
                <w:rPr>
                  <w:rFonts w:ascii="Calibri" w:hAnsi="Calibri"/>
                  <w:b/>
                  <w:bCs/>
                  <w:color w:val="0000FF"/>
                  <w:sz w:val="24"/>
                  <w:szCs w:val="24"/>
                  <w:u w:val="single"/>
                </w:rPr>
                <w:t>0006</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610F57" w:rsidP="00610F57">
            <w:pPr>
              <w:spacing w:line="240" w:lineRule="auto"/>
              <w:ind w:firstLine="0"/>
              <w:jc w:val="center"/>
              <w:rPr>
                <w:rFonts w:ascii="Calibri" w:hAnsi="Calibri"/>
                <w:b/>
                <w:bCs/>
                <w:color w:val="0000FF"/>
                <w:sz w:val="24"/>
                <w:szCs w:val="24"/>
                <w:u w:val="single"/>
              </w:rPr>
            </w:pPr>
            <w:r w:rsidRPr="00610F57">
              <w:rPr>
                <w:rFonts w:ascii="Calibri" w:hAnsi="Calibri"/>
                <w:b/>
                <w:bCs/>
                <w:color w:val="0000FF"/>
                <w:sz w:val="24"/>
                <w:szCs w:val="24"/>
                <w:u w:val="single"/>
              </w:rPr>
              <w:t>3119</w:t>
            </w:r>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ddl Gov</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6" w:history="1">
              <w:r w:rsidR="00610F57" w:rsidRPr="00610F57">
                <w:rPr>
                  <w:rFonts w:ascii="Calibri" w:hAnsi="Calibri"/>
                  <w:b/>
                  <w:bCs/>
                  <w:color w:val="0000FF"/>
                  <w:sz w:val="24"/>
                  <w:szCs w:val="24"/>
                  <w:u w:val="single"/>
                </w:rPr>
                <w:t>0008</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7" w:anchor="data.20160224.com" w:history="1">
              <w:r w:rsidR="00610F57" w:rsidRPr="00610F57">
                <w:rPr>
                  <w:rFonts w:ascii="Calibri" w:hAnsi="Calibri"/>
                  <w:b/>
                  <w:bCs/>
                  <w:color w:val="0000FF"/>
                  <w:sz w:val="24"/>
                  <w:szCs w:val="24"/>
                  <w:u w:val="single"/>
                </w:rPr>
                <w:t>3606</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2016/018</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8" w:history="1">
              <w:r w:rsidR="00610F57" w:rsidRPr="00610F57">
                <w:rPr>
                  <w:rFonts w:ascii="Calibri" w:hAnsi="Calibri"/>
                  <w:b/>
                  <w:bCs/>
                  <w:color w:val="0000FF"/>
                  <w:sz w:val="24"/>
                  <w:szCs w:val="24"/>
                  <w:u w:val="single"/>
                </w:rPr>
                <w:t>0009</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49" w:anchor="data.20160224.com" w:history="1">
              <w:r w:rsidR="00610F57" w:rsidRPr="00610F57">
                <w:rPr>
                  <w:rFonts w:ascii="Calibri" w:hAnsi="Calibri"/>
                  <w:b/>
                  <w:bCs/>
                  <w:color w:val="0000FF"/>
                  <w:sz w:val="24"/>
                  <w:szCs w:val="24"/>
                  <w:u w:val="single"/>
                </w:rPr>
                <w:t>2039 NT</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ddl Gov</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0" w:history="1">
              <w:r w:rsidR="00610F57" w:rsidRPr="00610F57">
                <w:rPr>
                  <w:rFonts w:ascii="Calibri" w:hAnsi="Calibri"/>
                  <w:b/>
                  <w:bCs/>
                  <w:color w:val="0000FF"/>
                  <w:sz w:val="24"/>
                  <w:szCs w:val="24"/>
                  <w:u w:val="single"/>
                </w:rPr>
                <w:t>0010</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1" w:anchor="data.20160303.com" w:history="1">
              <w:r w:rsidR="00610F57" w:rsidRPr="00610F57">
                <w:rPr>
                  <w:rFonts w:ascii="Calibri" w:hAnsi="Calibri"/>
                  <w:b/>
                  <w:bCs/>
                  <w:color w:val="0000FF"/>
                  <w:sz w:val="24"/>
                  <w:szCs w:val="24"/>
                  <w:u w:val="single"/>
                </w:rPr>
                <w:t>3540</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ddl Gov</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2" w:history="1">
              <w:r w:rsidR="00610F57" w:rsidRPr="00610F57">
                <w:rPr>
                  <w:rFonts w:ascii="Calibri" w:hAnsi="Calibri"/>
                  <w:b/>
                  <w:bCs/>
                  <w:color w:val="0000FF"/>
                  <w:sz w:val="24"/>
                  <w:szCs w:val="24"/>
                  <w:u w:val="single"/>
                </w:rPr>
                <w:t>0011</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3" w:anchor="data.20160309.com" w:history="1">
              <w:r w:rsidR="00610F57" w:rsidRPr="00610F57">
                <w:rPr>
                  <w:rFonts w:ascii="Calibri" w:hAnsi="Calibri"/>
                  <w:b/>
                  <w:bCs/>
                  <w:color w:val="0000FF"/>
                  <w:sz w:val="24"/>
                  <w:szCs w:val="24"/>
                  <w:u w:val="single"/>
                </w:rPr>
                <w:t>2212</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pdl</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4" w:history="1">
              <w:r w:rsidR="00610F57" w:rsidRPr="00610F57">
                <w:rPr>
                  <w:rFonts w:ascii="Calibri" w:hAnsi="Calibri"/>
                  <w:b/>
                  <w:bCs/>
                  <w:color w:val="0000FF"/>
                  <w:sz w:val="24"/>
                  <w:szCs w:val="24"/>
                  <w:u w:val="single"/>
                </w:rPr>
                <w:t>0012</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5" w:anchor="data.20160412.com" w:history="1">
              <w:r w:rsidR="00610F57" w:rsidRPr="00610F57">
                <w:rPr>
                  <w:rFonts w:ascii="Calibri" w:hAnsi="Calibri"/>
                  <w:b/>
                  <w:bCs/>
                  <w:color w:val="0000FF"/>
                  <w:sz w:val="24"/>
                  <w:szCs w:val="24"/>
                  <w:u w:val="single"/>
                </w:rPr>
                <w:t>3634</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pdl</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2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6" w:history="1">
              <w:r w:rsidR="00610F57" w:rsidRPr="00610F57">
                <w:rPr>
                  <w:rFonts w:ascii="Calibri" w:hAnsi="Calibri"/>
                  <w:b/>
                  <w:bCs/>
                  <w:color w:val="0000FF"/>
                  <w:sz w:val="24"/>
                  <w:szCs w:val="24"/>
                  <w:u w:val="single"/>
                </w:rPr>
                <w:t>0013</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7" w:anchor="data.20160412.com" w:history="1">
              <w:r w:rsidR="00610F57" w:rsidRPr="00610F57">
                <w:rPr>
                  <w:rFonts w:ascii="Calibri" w:hAnsi="Calibri"/>
                  <w:b/>
                  <w:bCs/>
                  <w:color w:val="0000FF"/>
                  <w:sz w:val="24"/>
                  <w:szCs w:val="24"/>
                  <w:u w:val="single"/>
                </w:rPr>
                <w:t>3672</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ddl Gov</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8" w:history="1">
              <w:r w:rsidR="00610F57" w:rsidRPr="00610F57">
                <w:rPr>
                  <w:rFonts w:ascii="Calibri" w:hAnsi="Calibri"/>
                  <w:b/>
                  <w:bCs/>
                  <w:color w:val="0000FF"/>
                  <w:sz w:val="24"/>
                  <w:szCs w:val="24"/>
                  <w:u w:val="single"/>
                </w:rPr>
                <w:t>0014</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59" w:anchor="data.20160512.com" w:history="1">
              <w:r w:rsidR="00610F57" w:rsidRPr="00610F57">
                <w:rPr>
                  <w:rFonts w:ascii="Calibri" w:hAnsi="Calibri"/>
                  <w:b/>
                  <w:bCs/>
                  <w:color w:val="0000FF"/>
                  <w:sz w:val="24"/>
                  <w:szCs w:val="24"/>
                  <w:u w:val="single"/>
                </w:rPr>
                <w:t>2617-B</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ddl Gov</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0" w:history="1">
              <w:r w:rsidR="00610F57" w:rsidRPr="00610F57">
                <w:rPr>
                  <w:rFonts w:ascii="Calibri" w:hAnsi="Calibri"/>
                  <w:b/>
                  <w:bCs/>
                  <w:color w:val="0000FF"/>
                  <w:sz w:val="24"/>
                  <w:szCs w:val="24"/>
                  <w:u w:val="single"/>
                </w:rPr>
                <w:t>0015</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1" w:anchor="data.20160518.com" w:history="1">
              <w:r w:rsidR="00610F57" w:rsidRPr="00610F57">
                <w:rPr>
                  <w:rFonts w:ascii="Calibri" w:hAnsi="Calibri"/>
                  <w:b/>
                  <w:bCs/>
                  <w:color w:val="0000FF"/>
                  <w:sz w:val="24"/>
                  <w:szCs w:val="24"/>
                  <w:u w:val="single"/>
                </w:rPr>
                <w:t>3822</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2016/042</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2" w:history="1">
              <w:r w:rsidR="00610F57" w:rsidRPr="00610F57">
                <w:rPr>
                  <w:rFonts w:ascii="Calibri" w:hAnsi="Calibri"/>
                  <w:b/>
                  <w:bCs/>
                  <w:color w:val="0000FF"/>
                  <w:sz w:val="24"/>
                  <w:szCs w:val="24"/>
                  <w:u w:val="single"/>
                </w:rPr>
                <w:t>0016</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3" w:anchor="data.20160608.com" w:history="1">
              <w:r w:rsidR="00610F57" w:rsidRPr="00610F57">
                <w:rPr>
                  <w:rFonts w:ascii="Calibri" w:hAnsi="Calibri"/>
                  <w:b/>
                  <w:bCs/>
                  <w:color w:val="0000FF"/>
                  <w:sz w:val="24"/>
                  <w:szCs w:val="24"/>
                  <w:u w:val="single"/>
                </w:rPr>
                <w:t>3594</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ddl Gov</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4" w:history="1">
              <w:r w:rsidR="00610F57" w:rsidRPr="00610F57">
                <w:rPr>
                  <w:rFonts w:ascii="Calibri" w:hAnsi="Calibri"/>
                  <w:b/>
                  <w:bCs/>
                  <w:color w:val="0000FF"/>
                  <w:sz w:val="24"/>
                  <w:szCs w:val="24"/>
                  <w:u w:val="single"/>
                </w:rPr>
                <w:t>0018</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5" w:anchor="data.20160621.com" w:history="1">
              <w:r w:rsidR="00610F57" w:rsidRPr="00610F57">
                <w:rPr>
                  <w:rFonts w:ascii="Calibri" w:hAnsi="Calibri"/>
                  <w:b/>
                  <w:bCs/>
                  <w:color w:val="0000FF"/>
                  <w:sz w:val="24"/>
                  <w:szCs w:val="24"/>
                  <w:u w:val="single"/>
                </w:rPr>
                <w:t>3821</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ddl Gov</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6" w:history="1">
              <w:r w:rsidR="00610F57" w:rsidRPr="00610F57">
                <w:rPr>
                  <w:rFonts w:ascii="Calibri" w:hAnsi="Calibri"/>
                  <w:b/>
                  <w:bCs/>
                  <w:color w:val="0000FF"/>
                  <w:sz w:val="24"/>
                  <w:szCs w:val="24"/>
                  <w:u w:val="single"/>
                </w:rPr>
                <w:t>0020</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7" w:anchor="data.20160622.com" w:history="1">
              <w:r w:rsidR="00610F57" w:rsidRPr="00610F57">
                <w:rPr>
                  <w:rFonts w:ascii="Calibri" w:hAnsi="Calibri"/>
                  <w:b/>
                  <w:bCs/>
                  <w:color w:val="0000FF"/>
                  <w:sz w:val="24"/>
                  <w:szCs w:val="24"/>
                  <w:u w:val="single"/>
                </w:rPr>
                <w:t>3892</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2016/059</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8" w:history="1">
              <w:r w:rsidR="00610F57" w:rsidRPr="00610F57">
                <w:rPr>
                  <w:rFonts w:ascii="Calibri" w:hAnsi="Calibri"/>
                  <w:b/>
                  <w:bCs/>
                  <w:color w:val="0000FF"/>
                  <w:sz w:val="24"/>
                  <w:szCs w:val="24"/>
                  <w:u w:val="single"/>
                </w:rPr>
                <w:t>0021</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69" w:anchor="data.20160622.com" w:history="1">
              <w:r w:rsidR="00610F57" w:rsidRPr="00610F57">
                <w:rPr>
                  <w:rFonts w:ascii="Calibri" w:hAnsi="Calibri"/>
                  <w:b/>
                  <w:bCs/>
                  <w:color w:val="0000FF"/>
                  <w:sz w:val="24"/>
                  <w:szCs w:val="24"/>
                  <w:u w:val="single"/>
                </w:rPr>
                <w:t>3886</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2016/098</w:t>
            </w:r>
          </w:p>
        </w:tc>
        <w:tc>
          <w:tcPr>
            <w:tcW w:w="414"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70" w:history="1">
              <w:r w:rsidR="00610F57" w:rsidRPr="00610F57">
                <w:rPr>
                  <w:rFonts w:ascii="Calibri" w:hAnsi="Calibri"/>
                  <w:b/>
                  <w:bCs/>
                  <w:color w:val="0000FF"/>
                  <w:sz w:val="24"/>
                  <w:szCs w:val="24"/>
                  <w:u w:val="single"/>
                </w:rPr>
                <w:t>0022</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71" w:anchor="data.20160629.com" w:history="1">
              <w:r w:rsidR="00610F57" w:rsidRPr="00610F57">
                <w:rPr>
                  <w:rFonts w:ascii="Calibri" w:hAnsi="Calibri"/>
                  <w:b/>
                  <w:bCs/>
                  <w:color w:val="0000FF"/>
                  <w:sz w:val="24"/>
                  <w:szCs w:val="24"/>
                  <w:u w:val="single"/>
                </w:rPr>
                <w:t>1460-B</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pdl</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72" w:history="1">
              <w:r w:rsidR="00610F57" w:rsidRPr="00610F57">
                <w:rPr>
                  <w:rFonts w:ascii="Calibri" w:hAnsi="Calibri"/>
                  <w:b/>
                  <w:bCs/>
                  <w:color w:val="0000FF"/>
                  <w:sz w:val="24"/>
                  <w:szCs w:val="24"/>
                  <w:u w:val="single"/>
                </w:rPr>
                <w:t>0023</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73" w:anchor="data.20160705.com" w:history="1">
              <w:r w:rsidR="00610F57" w:rsidRPr="00610F57">
                <w:rPr>
                  <w:rFonts w:ascii="Calibri" w:hAnsi="Calibri"/>
                  <w:b/>
                  <w:bCs/>
                  <w:color w:val="0000FF"/>
                  <w:sz w:val="24"/>
                  <w:szCs w:val="24"/>
                  <w:u w:val="single"/>
                </w:rPr>
                <w:t>3953</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2016/067</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74" w:history="1">
              <w:r w:rsidR="00610F57" w:rsidRPr="00610F57">
                <w:rPr>
                  <w:rFonts w:ascii="Calibri" w:hAnsi="Calibri"/>
                  <w:b/>
                  <w:bCs/>
                  <w:color w:val="0000FF"/>
                  <w:sz w:val="24"/>
                  <w:szCs w:val="24"/>
                  <w:u w:val="single"/>
                </w:rPr>
                <w:t>0024</w:t>
              </w:r>
            </w:hyperlink>
          </w:p>
        </w:tc>
      </w:tr>
      <w:tr w:rsidR="00610F57" w:rsidRPr="00610F57" w:rsidTr="00610F57">
        <w:trPr>
          <w:trHeight w:val="642"/>
          <w:jc w:val="center"/>
        </w:trPr>
        <w:tc>
          <w:tcPr>
            <w:tcW w:w="377" w:type="pct"/>
            <w:tcBorders>
              <w:top w:val="nil"/>
              <w:left w:val="single" w:sz="4" w:space="0" w:color="auto"/>
              <w:bottom w:val="single" w:sz="4" w:space="0" w:color="auto"/>
              <w:right w:val="single" w:sz="4" w:space="0" w:color="auto"/>
            </w:tcBorders>
            <w:shd w:val="clear" w:color="000000" w:fill="99CCFF"/>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75" w:anchor="data.20160706.com" w:history="1">
              <w:r w:rsidR="00610F57" w:rsidRPr="00610F57">
                <w:rPr>
                  <w:rFonts w:ascii="Calibri" w:hAnsi="Calibri"/>
                  <w:b/>
                  <w:bCs/>
                  <w:color w:val="0000FF"/>
                  <w:sz w:val="24"/>
                  <w:szCs w:val="24"/>
                  <w:u w:val="single"/>
                </w:rPr>
                <w:t>3926</w:t>
              </w:r>
            </w:hyperlink>
          </w:p>
        </w:tc>
        <w:tc>
          <w:tcPr>
            <w:tcW w:w="546"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left"/>
              <w:rPr>
                <w:rFonts w:ascii="Calibri" w:hAnsi="Calibri"/>
                <w:b/>
                <w:bCs/>
                <w:szCs w:val="22"/>
              </w:rPr>
            </w:pPr>
            <w:r w:rsidRPr="00610F57">
              <w:rPr>
                <w:rFonts w:ascii="Calibri" w:hAnsi="Calibri"/>
                <w:b/>
                <w:bCs/>
                <w:szCs w:val="22"/>
              </w:rPr>
              <w:t>DL 2016/113</w:t>
            </w:r>
          </w:p>
        </w:tc>
        <w:tc>
          <w:tcPr>
            <w:tcW w:w="414"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8"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39"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2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540"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51" w:type="pct"/>
            <w:tcBorders>
              <w:top w:val="nil"/>
              <w:left w:val="nil"/>
              <w:bottom w:val="single" w:sz="4" w:space="0" w:color="auto"/>
              <w:right w:val="single" w:sz="4" w:space="0" w:color="auto"/>
            </w:tcBorders>
            <w:shd w:val="clear" w:color="auto" w:fill="auto"/>
            <w:vAlign w:val="center"/>
            <w:hideMark/>
          </w:tcPr>
          <w:p w:rsidR="00610F57" w:rsidRPr="00610F57" w:rsidRDefault="00610F57" w:rsidP="00610F57">
            <w:pPr>
              <w:spacing w:line="240" w:lineRule="auto"/>
              <w:ind w:firstLine="0"/>
              <w:jc w:val="center"/>
              <w:rPr>
                <w:rFonts w:ascii="Calibri" w:hAnsi="Calibri"/>
                <w:b/>
                <w:bCs/>
                <w:szCs w:val="22"/>
              </w:rPr>
            </w:pPr>
            <w:r w:rsidRPr="00610F57">
              <w:rPr>
                <w:rFonts w:ascii="Calibri" w:hAnsi="Calibri"/>
                <w:b/>
                <w:bCs/>
                <w:szCs w:val="22"/>
              </w:rPr>
              <w:t>NO</w:t>
            </w:r>
          </w:p>
        </w:tc>
        <w:tc>
          <w:tcPr>
            <w:tcW w:w="411"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610F57" w:rsidRPr="00610F57" w:rsidRDefault="00610F57" w:rsidP="00610F57">
            <w:pPr>
              <w:spacing w:line="240" w:lineRule="auto"/>
              <w:ind w:firstLine="0"/>
              <w:jc w:val="center"/>
              <w:rPr>
                <w:rFonts w:ascii="Calibri" w:hAnsi="Calibri"/>
                <w:b/>
                <w:bCs/>
                <w:color w:val="FF0000"/>
                <w:szCs w:val="22"/>
              </w:rPr>
            </w:pPr>
            <w:r w:rsidRPr="00610F57">
              <w:rPr>
                <w:rFonts w:ascii="Calibri" w:hAnsi="Calibri"/>
                <w:b/>
                <w:bCs/>
                <w:color w:val="FF0000"/>
                <w:szCs w:val="22"/>
              </w:rPr>
              <w:t>SI</w:t>
            </w:r>
          </w:p>
        </w:tc>
        <w:tc>
          <w:tcPr>
            <w:tcW w:w="395" w:type="pct"/>
            <w:tcBorders>
              <w:top w:val="nil"/>
              <w:left w:val="nil"/>
              <w:bottom w:val="single" w:sz="4" w:space="0" w:color="auto"/>
              <w:right w:val="single" w:sz="4" w:space="0" w:color="auto"/>
            </w:tcBorders>
            <w:shd w:val="clear" w:color="auto" w:fill="auto"/>
            <w:vAlign w:val="center"/>
            <w:hideMark/>
          </w:tcPr>
          <w:p w:rsidR="00610F57" w:rsidRPr="00610F57" w:rsidRDefault="00DC78AD" w:rsidP="00610F57">
            <w:pPr>
              <w:spacing w:line="240" w:lineRule="auto"/>
              <w:ind w:firstLine="0"/>
              <w:jc w:val="center"/>
              <w:rPr>
                <w:rFonts w:ascii="Calibri" w:hAnsi="Calibri"/>
                <w:b/>
                <w:bCs/>
                <w:color w:val="0000FF"/>
                <w:sz w:val="24"/>
                <w:szCs w:val="24"/>
                <w:u w:val="single"/>
              </w:rPr>
            </w:pPr>
            <w:hyperlink r:id="rId176" w:history="1">
              <w:r w:rsidR="00610F57" w:rsidRPr="00610F57">
                <w:rPr>
                  <w:rFonts w:ascii="Calibri" w:hAnsi="Calibri"/>
                  <w:b/>
                  <w:bCs/>
                  <w:color w:val="0000FF"/>
                  <w:sz w:val="24"/>
                  <w:szCs w:val="24"/>
                  <w:u w:val="single"/>
                </w:rPr>
                <w:t>0025</w:t>
              </w:r>
            </w:hyperlink>
          </w:p>
        </w:tc>
      </w:tr>
    </w:tbl>
    <w:p w:rsidR="00610F57" w:rsidRDefault="00610F57" w:rsidP="00BF7BFE"/>
    <w:p w:rsidR="00610F57" w:rsidRPr="003505A6" w:rsidRDefault="00610F57" w:rsidP="00BF7BFE"/>
    <w:p w:rsidR="00332C22" w:rsidRPr="003505A6" w:rsidRDefault="00332C22" w:rsidP="00BF7BFE">
      <w:pPr>
        <w:sectPr w:rsidR="00332C22" w:rsidRPr="003505A6" w:rsidSect="00610F57">
          <w:headerReference w:type="even" r:id="rId177"/>
          <w:headerReference w:type="default" r:id="rId178"/>
          <w:footerReference w:type="even" r:id="rId179"/>
          <w:footerReference w:type="default" r:id="rId180"/>
          <w:headerReference w:type="first" r:id="rId181"/>
          <w:footerReference w:type="first" r:id="rId182"/>
          <w:pgSz w:w="11906" w:h="16838" w:code="9"/>
          <w:pgMar w:top="1418" w:right="1134" w:bottom="1134" w:left="1134" w:header="567" w:footer="567" w:gutter="0"/>
          <w:cols w:space="708"/>
          <w:docGrid w:linePitch="360"/>
        </w:sectPr>
      </w:pPr>
    </w:p>
    <w:p w:rsidR="00332C22" w:rsidRPr="004D1B34" w:rsidRDefault="00332C22" w:rsidP="004D1B34">
      <w:pPr>
        <w:pStyle w:val="Titolo2"/>
        <w:rPr>
          <w:rFonts w:ascii="Garamond" w:hAnsi="Garamond"/>
          <w:color w:val="0000FF"/>
          <w:sz w:val="32"/>
          <w:szCs w:val="32"/>
        </w:rPr>
      </w:pPr>
      <w:bookmarkStart w:id="83" w:name="_Toc458677985"/>
      <w:bookmarkStart w:id="84" w:name="TABELLA03"/>
      <w:r w:rsidRPr="003505A6">
        <w:rPr>
          <w:rFonts w:ascii="Garamond" w:hAnsi="Garamond"/>
          <w:color w:val="0000FF"/>
          <w:sz w:val="32"/>
          <w:szCs w:val="32"/>
        </w:rPr>
        <w:lastRenderedPageBreak/>
        <w:t>TAB. 3 “ULTERIORI RICHIAMI”</w:t>
      </w:r>
      <w:bookmarkEnd w:id="83"/>
    </w:p>
    <w:bookmarkEnd w:id="84"/>
    <w:p w:rsidR="00332C22" w:rsidRDefault="00332C22" w:rsidP="00BF7BFE"/>
    <w:tbl>
      <w:tblPr>
        <w:tblW w:w="5000" w:type="pct"/>
        <w:tblCellMar>
          <w:left w:w="70" w:type="dxa"/>
          <w:right w:w="70" w:type="dxa"/>
        </w:tblCellMar>
        <w:tblLook w:val="04A0" w:firstRow="1" w:lastRow="0" w:firstColumn="1" w:lastColumn="0" w:noHBand="0" w:noVBand="1"/>
      </w:tblPr>
      <w:tblGrid>
        <w:gridCol w:w="778"/>
        <w:gridCol w:w="1081"/>
        <w:gridCol w:w="871"/>
        <w:gridCol w:w="900"/>
        <w:gridCol w:w="1610"/>
        <w:gridCol w:w="908"/>
        <w:gridCol w:w="1213"/>
        <w:gridCol w:w="1064"/>
        <w:gridCol w:w="926"/>
        <w:gridCol w:w="767"/>
      </w:tblGrid>
      <w:tr w:rsidR="001E7376" w:rsidRPr="001E7376" w:rsidTr="001E7376">
        <w:trPr>
          <w:trHeight w:val="642"/>
        </w:trPr>
        <w:tc>
          <w:tcPr>
            <w:tcW w:w="5000" w:type="pct"/>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28"/>
                <w:szCs w:val="28"/>
              </w:rPr>
            </w:pPr>
            <w:r w:rsidRPr="001E7376">
              <w:rPr>
                <w:rFonts w:ascii="Calibri" w:hAnsi="Calibri"/>
                <w:b/>
                <w:bCs/>
                <w:color w:val="993300"/>
                <w:sz w:val="28"/>
                <w:szCs w:val="28"/>
              </w:rPr>
              <w:t>ULTERIORI RICHIAMI NON PRESENTI NELLA CIRCOLARE SUI TESTI NORMATIVI</w:t>
            </w:r>
          </w:p>
        </w:tc>
      </w:tr>
      <w:tr w:rsidR="001E7376" w:rsidRPr="001E7376" w:rsidTr="001E7376">
        <w:trPr>
          <w:trHeight w:val="1935"/>
        </w:trPr>
        <w:tc>
          <w:tcPr>
            <w:tcW w:w="409" w:type="pct"/>
            <w:tcBorders>
              <w:top w:val="nil"/>
              <w:left w:val="single" w:sz="4" w:space="0" w:color="auto"/>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r w:rsidRPr="001E7376">
              <w:rPr>
                <w:rFonts w:ascii="Calibri" w:hAnsi="Calibri"/>
                <w:b/>
                <w:bCs/>
                <w:color w:val="993300"/>
                <w:sz w:val="18"/>
                <w:szCs w:val="18"/>
              </w:rPr>
              <w:t>AC</w:t>
            </w:r>
          </w:p>
        </w:tc>
        <w:tc>
          <w:tcPr>
            <w:tcW w:w="559" w:type="pct"/>
            <w:tcBorders>
              <w:top w:val="nil"/>
              <w:left w:val="nil"/>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r w:rsidRPr="001E7376">
              <w:rPr>
                <w:rFonts w:ascii="Calibri" w:hAnsi="Calibri"/>
                <w:b/>
                <w:bCs/>
                <w:color w:val="993300"/>
                <w:sz w:val="18"/>
                <w:szCs w:val="18"/>
              </w:rPr>
              <w:t>Forma Atto</w:t>
            </w:r>
          </w:p>
        </w:tc>
        <w:tc>
          <w:tcPr>
            <w:tcW w:w="455" w:type="pct"/>
            <w:tcBorders>
              <w:top w:val="nil"/>
              <w:left w:val="nil"/>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proofErr w:type="spellStart"/>
            <w:r w:rsidRPr="001E7376">
              <w:rPr>
                <w:rFonts w:ascii="Calibri" w:hAnsi="Calibri"/>
                <w:b/>
                <w:bCs/>
                <w:color w:val="993300"/>
                <w:sz w:val="18"/>
                <w:szCs w:val="18"/>
              </w:rPr>
              <w:t>Mod</w:t>
            </w:r>
            <w:proofErr w:type="spellEnd"/>
            <w:r w:rsidRPr="001E7376">
              <w:rPr>
                <w:rFonts w:ascii="Calibri" w:hAnsi="Calibri"/>
                <w:b/>
                <w:bCs/>
                <w:color w:val="993300"/>
                <w:sz w:val="18"/>
                <w:szCs w:val="18"/>
              </w:rPr>
              <w:t>. norme recenti</w:t>
            </w:r>
          </w:p>
        </w:tc>
        <w:tc>
          <w:tcPr>
            <w:tcW w:w="469" w:type="pct"/>
            <w:tcBorders>
              <w:top w:val="nil"/>
              <w:left w:val="nil"/>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r w:rsidRPr="001E7376">
              <w:rPr>
                <w:rFonts w:ascii="Calibri" w:hAnsi="Calibri"/>
                <w:b/>
                <w:bCs/>
                <w:color w:val="993300"/>
                <w:sz w:val="18"/>
                <w:szCs w:val="18"/>
              </w:rPr>
              <w:t>Modifiche a norme recanti novelle</w:t>
            </w:r>
          </w:p>
        </w:tc>
        <w:tc>
          <w:tcPr>
            <w:tcW w:w="725" w:type="pct"/>
            <w:tcBorders>
              <w:top w:val="nil"/>
              <w:left w:val="nil"/>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r w:rsidRPr="001E7376">
              <w:rPr>
                <w:rFonts w:ascii="Calibri" w:hAnsi="Calibri"/>
                <w:b/>
                <w:bCs/>
                <w:color w:val="993300"/>
                <w:sz w:val="18"/>
                <w:szCs w:val="18"/>
              </w:rPr>
              <w:t xml:space="preserve">Portata normativa </w:t>
            </w:r>
            <w:proofErr w:type="spellStart"/>
            <w:r w:rsidRPr="001E7376">
              <w:rPr>
                <w:rFonts w:ascii="Calibri" w:hAnsi="Calibri"/>
                <w:b/>
                <w:bCs/>
                <w:color w:val="993300"/>
                <w:sz w:val="18"/>
                <w:szCs w:val="18"/>
              </w:rPr>
              <w:t>Nor</w:t>
            </w:r>
            <w:proofErr w:type="spellEnd"/>
            <w:r w:rsidRPr="001E7376">
              <w:rPr>
                <w:rFonts w:ascii="Calibri" w:hAnsi="Calibri"/>
                <w:b/>
                <w:bCs/>
                <w:color w:val="993300"/>
                <w:sz w:val="18"/>
                <w:szCs w:val="18"/>
              </w:rPr>
              <w:t xml:space="preserve">. </w:t>
            </w:r>
            <w:proofErr w:type="spellStart"/>
            <w:r w:rsidRPr="001E7376">
              <w:rPr>
                <w:rFonts w:ascii="Calibri" w:hAnsi="Calibri"/>
                <w:b/>
                <w:bCs/>
                <w:color w:val="993300"/>
                <w:sz w:val="18"/>
                <w:szCs w:val="18"/>
              </w:rPr>
              <w:t>descr</w:t>
            </w:r>
            <w:proofErr w:type="spellEnd"/>
            <w:r w:rsidRPr="001E7376">
              <w:rPr>
                <w:rFonts w:ascii="Calibri" w:hAnsi="Calibri"/>
                <w:b/>
                <w:bCs/>
                <w:color w:val="993300"/>
                <w:sz w:val="18"/>
                <w:szCs w:val="18"/>
              </w:rPr>
              <w:t>/</w:t>
            </w:r>
            <w:proofErr w:type="spellStart"/>
            <w:r w:rsidRPr="001E7376">
              <w:rPr>
                <w:rFonts w:ascii="Calibri" w:hAnsi="Calibri"/>
                <w:b/>
                <w:bCs/>
                <w:color w:val="993300"/>
                <w:sz w:val="18"/>
                <w:szCs w:val="18"/>
              </w:rPr>
              <w:t>ricogn</w:t>
            </w:r>
            <w:proofErr w:type="spellEnd"/>
            <w:r w:rsidRPr="001E7376">
              <w:rPr>
                <w:rFonts w:ascii="Calibri" w:hAnsi="Calibri"/>
                <w:b/>
                <w:bCs/>
                <w:color w:val="993300"/>
                <w:sz w:val="18"/>
                <w:szCs w:val="18"/>
              </w:rPr>
              <w:t>/</w:t>
            </w:r>
            <w:proofErr w:type="spellStart"/>
            <w:r w:rsidRPr="001E7376">
              <w:rPr>
                <w:rFonts w:ascii="Calibri" w:hAnsi="Calibri"/>
                <w:b/>
                <w:bCs/>
                <w:color w:val="993300"/>
                <w:sz w:val="18"/>
                <w:szCs w:val="18"/>
              </w:rPr>
              <w:t>progr</w:t>
            </w:r>
            <w:proofErr w:type="spellEnd"/>
            <w:r w:rsidRPr="001E7376">
              <w:rPr>
                <w:rFonts w:ascii="Calibri" w:hAnsi="Calibri"/>
                <w:b/>
                <w:bCs/>
                <w:color w:val="993300"/>
                <w:sz w:val="18"/>
                <w:szCs w:val="18"/>
              </w:rPr>
              <w:t xml:space="preserve">. Ambito </w:t>
            </w:r>
            <w:proofErr w:type="spellStart"/>
            <w:r w:rsidRPr="001E7376">
              <w:rPr>
                <w:rFonts w:ascii="Calibri" w:hAnsi="Calibri"/>
                <w:b/>
                <w:bCs/>
                <w:color w:val="993300"/>
                <w:sz w:val="18"/>
                <w:szCs w:val="18"/>
              </w:rPr>
              <w:t>applicaz</w:t>
            </w:r>
            <w:proofErr w:type="spellEnd"/>
            <w:r w:rsidRPr="001E7376">
              <w:rPr>
                <w:rFonts w:ascii="Calibri" w:hAnsi="Calibri"/>
                <w:b/>
                <w:bCs/>
                <w:color w:val="993300"/>
                <w:sz w:val="18"/>
                <w:szCs w:val="18"/>
              </w:rPr>
              <w:t>.</w:t>
            </w:r>
          </w:p>
        </w:tc>
        <w:tc>
          <w:tcPr>
            <w:tcW w:w="469" w:type="pct"/>
            <w:tcBorders>
              <w:top w:val="nil"/>
              <w:left w:val="nil"/>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r w:rsidRPr="001E7376">
              <w:rPr>
                <w:rFonts w:ascii="Calibri" w:hAnsi="Calibri"/>
                <w:b/>
                <w:bCs/>
                <w:color w:val="993300"/>
                <w:sz w:val="18"/>
                <w:szCs w:val="18"/>
              </w:rPr>
              <w:t>Preamboli</w:t>
            </w:r>
          </w:p>
        </w:tc>
        <w:tc>
          <w:tcPr>
            <w:tcW w:w="546" w:type="pct"/>
            <w:tcBorders>
              <w:top w:val="nil"/>
              <w:left w:val="nil"/>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r w:rsidRPr="001E7376">
              <w:rPr>
                <w:rFonts w:ascii="Calibri" w:hAnsi="Calibri"/>
                <w:b/>
                <w:bCs/>
                <w:color w:val="993300"/>
                <w:sz w:val="18"/>
                <w:szCs w:val="18"/>
              </w:rPr>
              <w:t>Stratificazione normativa</w:t>
            </w:r>
          </w:p>
        </w:tc>
        <w:tc>
          <w:tcPr>
            <w:tcW w:w="479" w:type="pct"/>
            <w:tcBorders>
              <w:top w:val="nil"/>
              <w:left w:val="nil"/>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r w:rsidRPr="001E7376">
              <w:rPr>
                <w:rFonts w:ascii="Calibri" w:hAnsi="Calibri"/>
                <w:b/>
                <w:bCs/>
                <w:color w:val="993300"/>
                <w:sz w:val="18"/>
                <w:szCs w:val="18"/>
              </w:rPr>
              <w:t>Disposizioni transitorie, speciali, temporanee</w:t>
            </w:r>
          </w:p>
        </w:tc>
        <w:tc>
          <w:tcPr>
            <w:tcW w:w="470" w:type="pct"/>
            <w:tcBorders>
              <w:top w:val="nil"/>
              <w:left w:val="nil"/>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r w:rsidRPr="001E7376">
              <w:rPr>
                <w:rFonts w:ascii="Calibri" w:hAnsi="Calibri"/>
                <w:b/>
                <w:bCs/>
                <w:color w:val="993300"/>
                <w:sz w:val="18"/>
                <w:szCs w:val="18"/>
              </w:rPr>
              <w:t xml:space="preserve">Proroga </w:t>
            </w:r>
            <w:proofErr w:type="spellStart"/>
            <w:r w:rsidRPr="001E7376">
              <w:rPr>
                <w:rFonts w:ascii="Calibri" w:hAnsi="Calibri"/>
                <w:b/>
                <w:bCs/>
                <w:color w:val="993300"/>
                <w:sz w:val="18"/>
                <w:szCs w:val="18"/>
              </w:rPr>
              <w:t>disp</w:t>
            </w:r>
            <w:proofErr w:type="spellEnd"/>
            <w:r w:rsidRPr="001E7376">
              <w:rPr>
                <w:rFonts w:ascii="Calibri" w:hAnsi="Calibri"/>
                <w:b/>
                <w:bCs/>
                <w:color w:val="993300"/>
                <w:sz w:val="18"/>
                <w:szCs w:val="18"/>
              </w:rPr>
              <w:t>. transitorie</w:t>
            </w:r>
          </w:p>
        </w:tc>
        <w:tc>
          <w:tcPr>
            <w:tcW w:w="417" w:type="pct"/>
            <w:tcBorders>
              <w:top w:val="nil"/>
              <w:left w:val="nil"/>
              <w:bottom w:val="single" w:sz="8" w:space="0" w:color="auto"/>
              <w:right w:val="single" w:sz="4" w:space="0" w:color="auto"/>
            </w:tcBorders>
            <w:shd w:val="clear" w:color="000000" w:fill="FFC000"/>
            <w:vAlign w:val="center"/>
            <w:hideMark/>
          </w:tcPr>
          <w:p w:rsidR="001E7376" w:rsidRPr="001E7376" w:rsidRDefault="001E7376" w:rsidP="001E7376">
            <w:pPr>
              <w:spacing w:line="240" w:lineRule="auto"/>
              <w:ind w:firstLine="0"/>
              <w:jc w:val="center"/>
              <w:rPr>
                <w:rFonts w:ascii="Calibri" w:hAnsi="Calibri"/>
                <w:b/>
                <w:bCs/>
                <w:color w:val="993300"/>
                <w:sz w:val="18"/>
                <w:szCs w:val="18"/>
              </w:rPr>
            </w:pPr>
            <w:r w:rsidRPr="001E7376">
              <w:rPr>
                <w:rFonts w:ascii="Calibri" w:hAnsi="Calibri"/>
                <w:b/>
                <w:bCs/>
                <w:color w:val="993300"/>
                <w:sz w:val="18"/>
                <w:szCs w:val="18"/>
              </w:rPr>
              <w:t>Schede</w:t>
            </w:r>
          </w:p>
        </w:tc>
      </w:tr>
      <w:tr w:rsidR="001E7376" w:rsidRPr="001E7376" w:rsidTr="001E7376">
        <w:trPr>
          <w:trHeight w:val="642"/>
        </w:trPr>
        <w:tc>
          <w:tcPr>
            <w:tcW w:w="409" w:type="pct"/>
            <w:tcBorders>
              <w:top w:val="single" w:sz="4" w:space="0" w:color="auto"/>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83" w:anchor="data.20151111.com" w:history="1">
              <w:r w:rsidR="001E7376" w:rsidRPr="001E7376">
                <w:rPr>
                  <w:rFonts w:ascii="Calibri" w:hAnsi="Calibri"/>
                  <w:b/>
                  <w:bCs/>
                  <w:color w:val="0000FF"/>
                  <w:sz w:val="24"/>
                  <w:szCs w:val="24"/>
                  <w:u w:val="single"/>
                </w:rPr>
                <w:t>3393</w:t>
              </w:r>
            </w:hyperlink>
          </w:p>
        </w:tc>
        <w:tc>
          <w:tcPr>
            <w:tcW w:w="559" w:type="pct"/>
            <w:tcBorders>
              <w:top w:val="single" w:sz="4" w:space="0" w:color="auto"/>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DL 2015/174</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single" w:sz="4" w:space="0" w:color="auto"/>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Cs w:val="22"/>
                <w:u w:val="single"/>
              </w:rPr>
            </w:pPr>
            <w:hyperlink r:id="rId184" w:history="1">
              <w:r w:rsidR="001E7376" w:rsidRPr="001E7376">
                <w:rPr>
                  <w:rFonts w:ascii="Calibri" w:hAnsi="Calibri"/>
                  <w:b/>
                  <w:bCs/>
                  <w:color w:val="0000FF"/>
                  <w:szCs w:val="22"/>
                  <w:u w:val="single"/>
                </w:rPr>
                <w:t>0001</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85" w:anchor="data.20151218.com" w:history="1">
              <w:r w:rsidR="001E7376" w:rsidRPr="001E7376">
                <w:rPr>
                  <w:rFonts w:ascii="Calibri" w:hAnsi="Calibri"/>
                  <w:b/>
                  <w:bCs/>
                  <w:color w:val="0000FF"/>
                  <w:sz w:val="24"/>
                  <w:szCs w:val="24"/>
                  <w:u w:val="single"/>
                </w:rPr>
                <w:t>3481</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DL 2015/191</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86" w:history="1">
              <w:r w:rsidR="001E7376" w:rsidRPr="001E7376">
                <w:rPr>
                  <w:rFonts w:ascii="Calibri" w:hAnsi="Calibri"/>
                  <w:b/>
                  <w:bCs/>
                  <w:color w:val="0000FF"/>
                  <w:sz w:val="24"/>
                  <w:szCs w:val="24"/>
                  <w:u w:val="single"/>
                </w:rPr>
                <w:t>0003</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87" w:anchor="data.20151218.com" w:history="1">
              <w:r w:rsidR="001E7376" w:rsidRPr="001E7376">
                <w:rPr>
                  <w:rFonts w:ascii="Calibri" w:hAnsi="Calibri"/>
                  <w:b/>
                  <w:bCs/>
                  <w:color w:val="0000FF"/>
                  <w:sz w:val="24"/>
                  <w:szCs w:val="24"/>
                  <w:u w:val="single"/>
                </w:rPr>
                <w:t>3495</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DL 2015/185</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88" w:history="1">
              <w:r w:rsidR="001E7376" w:rsidRPr="001E7376">
                <w:rPr>
                  <w:rFonts w:ascii="Calibri" w:hAnsi="Calibri"/>
                  <w:b/>
                  <w:bCs/>
                  <w:color w:val="0000FF"/>
                  <w:sz w:val="24"/>
                  <w:szCs w:val="24"/>
                  <w:u w:val="single"/>
                </w:rPr>
                <w:t>0004</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89" w:anchor="data.20160114.com48." w:history="1">
              <w:r w:rsidR="001E7376" w:rsidRPr="001E7376">
                <w:rPr>
                  <w:rFonts w:ascii="Calibri" w:hAnsi="Calibri"/>
                  <w:b/>
                  <w:bCs/>
                  <w:color w:val="0000FF"/>
                  <w:sz w:val="24"/>
                  <w:szCs w:val="24"/>
                  <w:u w:val="single"/>
                </w:rPr>
                <w:t>3513</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DL 2015/210</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0" w:history="1">
              <w:r w:rsidR="001E7376" w:rsidRPr="001E7376">
                <w:rPr>
                  <w:rFonts w:ascii="Calibri" w:hAnsi="Calibri"/>
                  <w:b/>
                  <w:bCs/>
                  <w:color w:val="0000FF"/>
                  <w:sz w:val="24"/>
                  <w:szCs w:val="24"/>
                  <w:u w:val="single"/>
                </w:rPr>
                <w:t>0006</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1E7376" w:rsidP="001E7376">
            <w:pPr>
              <w:spacing w:line="240" w:lineRule="auto"/>
              <w:ind w:firstLine="0"/>
              <w:jc w:val="center"/>
              <w:rPr>
                <w:rFonts w:ascii="Calibri" w:hAnsi="Calibri"/>
                <w:b/>
                <w:bCs/>
                <w:color w:val="0000FF"/>
                <w:sz w:val="24"/>
                <w:szCs w:val="24"/>
                <w:u w:val="single"/>
              </w:rPr>
            </w:pPr>
            <w:r w:rsidRPr="001E7376">
              <w:rPr>
                <w:rFonts w:ascii="Calibri" w:hAnsi="Calibri"/>
                <w:b/>
                <w:bCs/>
                <w:color w:val="0000FF"/>
                <w:sz w:val="24"/>
                <w:szCs w:val="24"/>
                <w:u w:val="single"/>
              </w:rPr>
              <w:t>TU 3317</w:t>
            </w:r>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pdl</w:t>
            </w:r>
          </w:p>
        </w:tc>
        <w:tc>
          <w:tcPr>
            <w:tcW w:w="455"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1" w:history="1">
              <w:r w:rsidR="001E7376" w:rsidRPr="001E7376">
                <w:rPr>
                  <w:rFonts w:ascii="Calibri" w:hAnsi="Calibri"/>
                  <w:b/>
                  <w:bCs/>
                  <w:color w:val="0000FF"/>
                  <w:sz w:val="24"/>
                  <w:szCs w:val="24"/>
                  <w:u w:val="single"/>
                </w:rPr>
                <w:t>0007</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1E7376" w:rsidP="001E7376">
            <w:pPr>
              <w:spacing w:line="240" w:lineRule="auto"/>
              <w:ind w:firstLine="0"/>
              <w:jc w:val="center"/>
              <w:rPr>
                <w:rFonts w:ascii="Calibri" w:hAnsi="Calibri"/>
                <w:b/>
                <w:bCs/>
                <w:color w:val="0000FF"/>
                <w:sz w:val="24"/>
                <w:szCs w:val="24"/>
                <w:u w:val="single"/>
              </w:rPr>
            </w:pPr>
            <w:r w:rsidRPr="001E7376">
              <w:rPr>
                <w:rFonts w:ascii="Calibri" w:hAnsi="Calibri"/>
                <w:b/>
                <w:bCs/>
                <w:color w:val="0000FF"/>
                <w:sz w:val="24"/>
                <w:szCs w:val="24"/>
                <w:u w:val="single"/>
              </w:rPr>
              <w:t>3119</w:t>
            </w:r>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ddl Gov</w:t>
            </w:r>
          </w:p>
        </w:tc>
        <w:tc>
          <w:tcPr>
            <w:tcW w:w="455"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2" w:history="1">
              <w:r w:rsidR="001E7376" w:rsidRPr="001E7376">
                <w:rPr>
                  <w:rFonts w:ascii="Calibri" w:hAnsi="Calibri"/>
                  <w:b/>
                  <w:bCs/>
                  <w:color w:val="0000FF"/>
                  <w:sz w:val="24"/>
                  <w:szCs w:val="24"/>
                  <w:u w:val="single"/>
                </w:rPr>
                <w:t>0008</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3" w:anchor="data.20160224.com" w:history="1">
              <w:r w:rsidR="001E7376" w:rsidRPr="001E7376">
                <w:rPr>
                  <w:rFonts w:ascii="Calibri" w:hAnsi="Calibri"/>
                  <w:b/>
                  <w:bCs/>
                  <w:color w:val="0000FF"/>
                  <w:sz w:val="24"/>
                  <w:szCs w:val="24"/>
                  <w:u w:val="single"/>
                </w:rPr>
                <w:t>2039 NT</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ddl Gov</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4" w:history="1">
              <w:r w:rsidR="001E7376" w:rsidRPr="001E7376">
                <w:rPr>
                  <w:rFonts w:ascii="Calibri" w:hAnsi="Calibri"/>
                  <w:b/>
                  <w:bCs/>
                  <w:color w:val="0000FF"/>
                  <w:sz w:val="24"/>
                  <w:szCs w:val="24"/>
                  <w:u w:val="single"/>
                </w:rPr>
                <w:t>0010</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5" w:anchor="data.20160309.com" w:history="1">
              <w:r w:rsidR="001E7376" w:rsidRPr="001E7376">
                <w:rPr>
                  <w:rFonts w:ascii="Calibri" w:hAnsi="Calibri"/>
                  <w:b/>
                  <w:bCs/>
                  <w:color w:val="0000FF"/>
                  <w:sz w:val="24"/>
                  <w:szCs w:val="24"/>
                  <w:u w:val="single"/>
                </w:rPr>
                <w:t>2212</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pdl</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6" w:history="1">
              <w:r w:rsidR="001E7376" w:rsidRPr="001E7376">
                <w:rPr>
                  <w:rFonts w:ascii="Calibri" w:hAnsi="Calibri"/>
                  <w:b/>
                  <w:bCs/>
                  <w:color w:val="0000FF"/>
                  <w:sz w:val="24"/>
                  <w:szCs w:val="24"/>
                  <w:u w:val="single"/>
                </w:rPr>
                <w:t>0012</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7" w:anchor="data.20160412.com" w:history="1">
              <w:r w:rsidR="001E7376" w:rsidRPr="001E7376">
                <w:rPr>
                  <w:rFonts w:ascii="Calibri" w:hAnsi="Calibri"/>
                  <w:b/>
                  <w:bCs/>
                  <w:color w:val="0000FF"/>
                  <w:sz w:val="24"/>
                  <w:szCs w:val="24"/>
                  <w:u w:val="single"/>
                </w:rPr>
                <w:t>3634</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pdl</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8" w:history="1">
              <w:r w:rsidR="001E7376" w:rsidRPr="001E7376">
                <w:rPr>
                  <w:rFonts w:ascii="Calibri" w:hAnsi="Calibri"/>
                  <w:b/>
                  <w:bCs/>
                  <w:color w:val="0000FF"/>
                  <w:sz w:val="24"/>
                  <w:szCs w:val="24"/>
                  <w:u w:val="single"/>
                </w:rPr>
                <w:t>0013</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199" w:anchor="data.20160525.com" w:history="1">
              <w:r w:rsidR="001E7376" w:rsidRPr="001E7376">
                <w:rPr>
                  <w:rFonts w:ascii="Calibri" w:hAnsi="Calibri"/>
                  <w:b/>
                  <w:bCs/>
                  <w:color w:val="0000FF"/>
                  <w:sz w:val="24"/>
                  <w:szCs w:val="24"/>
                  <w:u w:val="single"/>
                </w:rPr>
                <w:t>TU 2839</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pdl</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0" w:history="1">
              <w:r w:rsidR="001E7376" w:rsidRPr="001E7376">
                <w:rPr>
                  <w:rFonts w:ascii="Calibri" w:hAnsi="Calibri"/>
                  <w:b/>
                  <w:bCs/>
                  <w:color w:val="0000FF"/>
                  <w:sz w:val="24"/>
                  <w:szCs w:val="24"/>
                  <w:u w:val="single"/>
                </w:rPr>
                <w:t>0017</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1" w:anchor="data.20160621.com" w:history="1">
              <w:r w:rsidR="001E7376" w:rsidRPr="001E7376">
                <w:rPr>
                  <w:rFonts w:ascii="Calibri" w:hAnsi="Calibri"/>
                  <w:b/>
                  <w:bCs/>
                  <w:color w:val="0000FF"/>
                  <w:sz w:val="24"/>
                  <w:szCs w:val="24"/>
                  <w:u w:val="single"/>
                </w:rPr>
                <w:t>3821</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ddl Gov</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9"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0"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2" w:history="1">
              <w:r w:rsidR="001E7376" w:rsidRPr="001E7376">
                <w:rPr>
                  <w:rFonts w:ascii="Calibri" w:hAnsi="Calibri"/>
                  <w:b/>
                  <w:bCs/>
                  <w:color w:val="0000FF"/>
                  <w:sz w:val="24"/>
                  <w:szCs w:val="24"/>
                  <w:u w:val="single"/>
                </w:rPr>
                <w:t>0020</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3" w:anchor="data.20160622.com" w:history="1">
              <w:r w:rsidR="001E7376" w:rsidRPr="001E7376">
                <w:rPr>
                  <w:rFonts w:ascii="Calibri" w:hAnsi="Calibri"/>
                  <w:b/>
                  <w:bCs/>
                  <w:color w:val="0000FF"/>
                  <w:sz w:val="24"/>
                  <w:szCs w:val="24"/>
                  <w:u w:val="single"/>
                </w:rPr>
                <w:t>3892</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DL 2016/059</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4" w:history="1">
              <w:r w:rsidR="001E7376" w:rsidRPr="001E7376">
                <w:rPr>
                  <w:rFonts w:ascii="Calibri" w:hAnsi="Calibri"/>
                  <w:b/>
                  <w:bCs/>
                  <w:color w:val="0000FF"/>
                  <w:sz w:val="24"/>
                  <w:szCs w:val="24"/>
                  <w:u w:val="single"/>
                </w:rPr>
                <w:t>0021</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5" w:anchor="data.20160622.com" w:history="1">
              <w:r w:rsidR="001E7376" w:rsidRPr="001E7376">
                <w:rPr>
                  <w:rFonts w:ascii="Calibri" w:hAnsi="Calibri"/>
                  <w:b/>
                  <w:bCs/>
                  <w:color w:val="0000FF"/>
                  <w:sz w:val="24"/>
                  <w:szCs w:val="24"/>
                  <w:u w:val="single"/>
                </w:rPr>
                <w:t>3886</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DL 2016/098</w:t>
            </w:r>
          </w:p>
        </w:tc>
        <w:tc>
          <w:tcPr>
            <w:tcW w:w="455"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6" w:history="1">
              <w:r w:rsidR="001E7376" w:rsidRPr="001E7376">
                <w:rPr>
                  <w:rFonts w:ascii="Calibri" w:hAnsi="Calibri"/>
                  <w:b/>
                  <w:bCs/>
                  <w:color w:val="0000FF"/>
                  <w:sz w:val="24"/>
                  <w:szCs w:val="24"/>
                  <w:u w:val="single"/>
                </w:rPr>
                <w:t>0022</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7" w:anchor="data.20160705.com" w:history="1">
              <w:r w:rsidR="001E7376" w:rsidRPr="001E7376">
                <w:rPr>
                  <w:rFonts w:ascii="Calibri" w:hAnsi="Calibri"/>
                  <w:b/>
                  <w:bCs/>
                  <w:color w:val="0000FF"/>
                  <w:sz w:val="24"/>
                  <w:szCs w:val="24"/>
                  <w:u w:val="single"/>
                </w:rPr>
                <w:t>3953</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DL 2016/067</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0"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8" w:history="1">
              <w:r w:rsidR="001E7376" w:rsidRPr="001E7376">
                <w:rPr>
                  <w:rFonts w:ascii="Calibri" w:hAnsi="Calibri"/>
                  <w:b/>
                  <w:bCs/>
                  <w:color w:val="0000FF"/>
                  <w:sz w:val="24"/>
                  <w:szCs w:val="24"/>
                  <w:u w:val="single"/>
                </w:rPr>
                <w:t>0024</w:t>
              </w:r>
            </w:hyperlink>
          </w:p>
        </w:tc>
      </w:tr>
      <w:tr w:rsidR="001E7376" w:rsidRPr="001E7376" w:rsidTr="001E7376">
        <w:trPr>
          <w:trHeight w:val="642"/>
        </w:trPr>
        <w:tc>
          <w:tcPr>
            <w:tcW w:w="409" w:type="pct"/>
            <w:tcBorders>
              <w:top w:val="nil"/>
              <w:left w:val="single" w:sz="4" w:space="0" w:color="auto"/>
              <w:bottom w:val="single" w:sz="4" w:space="0" w:color="auto"/>
              <w:right w:val="single" w:sz="4" w:space="0" w:color="auto"/>
            </w:tcBorders>
            <w:shd w:val="clear" w:color="000000" w:fill="99CCFF"/>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09" w:anchor="data.20160706.com" w:history="1">
              <w:r w:rsidR="001E7376" w:rsidRPr="001E7376">
                <w:rPr>
                  <w:rFonts w:ascii="Calibri" w:hAnsi="Calibri"/>
                  <w:b/>
                  <w:bCs/>
                  <w:color w:val="0000FF"/>
                  <w:sz w:val="24"/>
                  <w:szCs w:val="24"/>
                  <w:u w:val="single"/>
                </w:rPr>
                <w:t>3926</w:t>
              </w:r>
            </w:hyperlink>
          </w:p>
        </w:tc>
        <w:tc>
          <w:tcPr>
            <w:tcW w:w="559"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left"/>
              <w:rPr>
                <w:rFonts w:ascii="Calibri" w:hAnsi="Calibri"/>
                <w:b/>
                <w:bCs/>
                <w:szCs w:val="22"/>
              </w:rPr>
            </w:pPr>
            <w:r w:rsidRPr="001E7376">
              <w:rPr>
                <w:rFonts w:ascii="Calibri" w:hAnsi="Calibri"/>
                <w:b/>
                <w:bCs/>
                <w:szCs w:val="22"/>
              </w:rPr>
              <w:t>DL 2016/113</w:t>
            </w:r>
          </w:p>
        </w:tc>
        <w:tc>
          <w:tcPr>
            <w:tcW w:w="455"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6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725"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69"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546" w:type="pct"/>
            <w:tcBorders>
              <w:top w:val="nil"/>
              <w:left w:val="nil"/>
              <w:bottom w:val="single" w:sz="4" w:space="0" w:color="auto"/>
              <w:right w:val="single" w:sz="4" w:space="0" w:color="auto"/>
            </w:tcBorders>
            <w:shd w:val="clear" w:color="auto" w:fill="auto"/>
            <w:noWrap/>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7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1E7376" w:rsidRPr="001E7376" w:rsidRDefault="001E7376" w:rsidP="001E7376">
            <w:pPr>
              <w:spacing w:line="240" w:lineRule="auto"/>
              <w:ind w:firstLine="0"/>
              <w:jc w:val="center"/>
              <w:rPr>
                <w:rFonts w:ascii="Calibri" w:hAnsi="Calibri"/>
                <w:b/>
                <w:bCs/>
                <w:color w:val="FF0000"/>
                <w:sz w:val="20"/>
              </w:rPr>
            </w:pPr>
            <w:r w:rsidRPr="001E7376">
              <w:rPr>
                <w:rFonts w:ascii="Calibri" w:hAnsi="Calibri"/>
                <w:b/>
                <w:bCs/>
                <w:color w:val="FF0000"/>
                <w:sz w:val="20"/>
              </w:rPr>
              <w:t>SI</w:t>
            </w:r>
          </w:p>
        </w:tc>
        <w:tc>
          <w:tcPr>
            <w:tcW w:w="470" w:type="pct"/>
            <w:tcBorders>
              <w:top w:val="nil"/>
              <w:left w:val="nil"/>
              <w:bottom w:val="single" w:sz="4" w:space="0" w:color="auto"/>
              <w:right w:val="single" w:sz="4" w:space="0" w:color="auto"/>
            </w:tcBorders>
            <w:shd w:val="clear" w:color="auto" w:fill="auto"/>
            <w:vAlign w:val="center"/>
            <w:hideMark/>
          </w:tcPr>
          <w:p w:rsidR="001E7376" w:rsidRPr="001E7376" w:rsidRDefault="001E7376" w:rsidP="001E7376">
            <w:pPr>
              <w:spacing w:line="240" w:lineRule="auto"/>
              <w:ind w:firstLine="0"/>
              <w:jc w:val="center"/>
              <w:rPr>
                <w:rFonts w:ascii="Calibri" w:hAnsi="Calibri"/>
                <w:b/>
                <w:bCs/>
                <w:sz w:val="20"/>
              </w:rPr>
            </w:pPr>
            <w:r w:rsidRPr="001E7376">
              <w:rPr>
                <w:rFonts w:ascii="Calibri" w:hAnsi="Calibri"/>
                <w:b/>
                <w:bCs/>
                <w:sz w:val="20"/>
              </w:rPr>
              <w:t>NO</w:t>
            </w:r>
          </w:p>
        </w:tc>
        <w:tc>
          <w:tcPr>
            <w:tcW w:w="417" w:type="pct"/>
            <w:tcBorders>
              <w:top w:val="nil"/>
              <w:left w:val="nil"/>
              <w:bottom w:val="single" w:sz="4" w:space="0" w:color="auto"/>
              <w:right w:val="single" w:sz="4" w:space="0" w:color="auto"/>
            </w:tcBorders>
            <w:shd w:val="clear" w:color="auto" w:fill="auto"/>
            <w:vAlign w:val="center"/>
            <w:hideMark/>
          </w:tcPr>
          <w:p w:rsidR="001E7376" w:rsidRPr="001E7376" w:rsidRDefault="00DC78AD" w:rsidP="001E7376">
            <w:pPr>
              <w:spacing w:line="240" w:lineRule="auto"/>
              <w:ind w:firstLine="0"/>
              <w:jc w:val="center"/>
              <w:rPr>
                <w:rFonts w:ascii="Calibri" w:hAnsi="Calibri"/>
                <w:b/>
                <w:bCs/>
                <w:color w:val="0000FF"/>
                <w:sz w:val="24"/>
                <w:szCs w:val="24"/>
                <w:u w:val="single"/>
              </w:rPr>
            </w:pPr>
            <w:hyperlink r:id="rId210" w:history="1">
              <w:r w:rsidR="001E7376" w:rsidRPr="001E7376">
                <w:rPr>
                  <w:rFonts w:ascii="Calibri" w:hAnsi="Calibri"/>
                  <w:b/>
                  <w:bCs/>
                  <w:color w:val="0000FF"/>
                  <w:sz w:val="24"/>
                  <w:szCs w:val="24"/>
                  <w:u w:val="single"/>
                </w:rPr>
                <w:t>0025</w:t>
              </w:r>
            </w:hyperlink>
          </w:p>
        </w:tc>
      </w:tr>
    </w:tbl>
    <w:p w:rsidR="001E7376" w:rsidRDefault="001E7376" w:rsidP="00BF7BFE"/>
    <w:p w:rsidR="004D1B34" w:rsidRPr="003505A6" w:rsidRDefault="004D1B34" w:rsidP="00BF7BFE"/>
    <w:p w:rsidR="00332C22" w:rsidRPr="003505A6" w:rsidRDefault="00332C22" w:rsidP="00BF7BFE">
      <w:pPr>
        <w:sectPr w:rsidR="00332C22" w:rsidRPr="003505A6" w:rsidSect="001E7376">
          <w:headerReference w:type="even" r:id="rId211"/>
          <w:headerReference w:type="default" r:id="rId212"/>
          <w:footerReference w:type="even" r:id="rId213"/>
          <w:footerReference w:type="default" r:id="rId214"/>
          <w:headerReference w:type="first" r:id="rId215"/>
          <w:footerReference w:type="first" r:id="rId216"/>
          <w:pgSz w:w="11906" w:h="16838" w:code="9"/>
          <w:pgMar w:top="1134" w:right="964" w:bottom="1134" w:left="964" w:header="567" w:footer="567" w:gutter="0"/>
          <w:cols w:space="708"/>
          <w:docGrid w:linePitch="360"/>
        </w:sectPr>
      </w:pPr>
    </w:p>
    <w:p w:rsidR="00332C22" w:rsidRPr="00ED626C" w:rsidRDefault="00332C22" w:rsidP="00ED626C">
      <w:pPr>
        <w:pStyle w:val="Titolo2"/>
        <w:rPr>
          <w:rFonts w:ascii="Garamond" w:hAnsi="Garamond"/>
          <w:color w:val="0000FF"/>
          <w:sz w:val="32"/>
          <w:szCs w:val="32"/>
        </w:rPr>
      </w:pPr>
      <w:bookmarkStart w:id="85" w:name="_Toc458677986"/>
      <w:bookmarkStart w:id="86" w:name="TABELLA04"/>
      <w:r w:rsidRPr="003505A6">
        <w:rPr>
          <w:rFonts w:ascii="Garamond" w:hAnsi="Garamond"/>
          <w:color w:val="0000FF"/>
          <w:sz w:val="32"/>
          <w:szCs w:val="32"/>
        </w:rPr>
        <w:lastRenderedPageBreak/>
        <w:t>TAB. 4 “SISTEMA DELLE FONTI”</w:t>
      </w:r>
      <w:bookmarkEnd w:id="85"/>
    </w:p>
    <w:bookmarkEnd w:id="86"/>
    <w:p w:rsidR="00332C22" w:rsidRPr="0081412F" w:rsidRDefault="00332C22" w:rsidP="0081412F"/>
    <w:tbl>
      <w:tblPr>
        <w:tblW w:w="5000" w:type="pct"/>
        <w:tblCellMar>
          <w:left w:w="70" w:type="dxa"/>
          <w:right w:w="70" w:type="dxa"/>
        </w:tblCellMar>
        <w:tblLook w:val="04A0" w:firstRow="1" w:lastRow="0" w:firstColumn="1" w:lastColumn="0" w:noHBand="0" w:noVBand="1"/>
      </w:tblPr>
      <w:tblGrid>
        <w:gridCol w:w="970"/>
        <w:gridCol w:w="1096"/>
        <w:gridCol w:w="1180"/>
        <w:gridCol w:w="1420"/>
        <w:gridCol w:w="1122"/>
        <w:gridCol w:w="1339"/>
        <w:gridCol w:w="1125"/>
        <w:gridCol w:w="1521"/>
        <w:gridCol w:w="1122"/>
        <w:gridCol w:w="1218"/>
        <w:gridCol w:w="1295"/>
        <w:gridCol w:w="1018"/>
      </w:tblGrid>
      <w:tr w:rsidR="0081412F" w:rsidRPr="0081412F" w:rsidTr="0081412F">
        <w:trPr>
          <w:trHeight w:val="540"/>
          <w:tblHeader/>
        </w:trPr>
        <w:tc>
          <w:tcPr>
            <w:tcW w:w="5000" w:type="pct"/>
            <w:gridSpan w:val="12"/>
            <w:tcBorders>
              <w:top w:val="single" w:sz="8" w:space="0" w:color="auto"/>
              <w:left w:val="single" w:sz="8" w:space="0" w:color="auto"/>
              <w:bottom w:val="nil"/>
              <w:right w:val="single" w:sz="4" w:space="0" w:color="auto"/>
            </w:tcBorders>
            <w:shd w:val="clear" w:color="000000" w:fill="C0C0C0"/>
            <w:vAlign w:val="center"/>
            <w:hideMark/>
          </w:tcPr>
          <w:p w:rsidR="0081412F" w:rsidRPr="0081412F" w:rsidRDefault="00982103" w:rsidP="0081412F">
            <w:pPr>
              <w:spacing w:line="240" w:lineRule="auto"/>
              <w:ind w:firstLine="0"/>
              <w:jc w:val="center"/>
              <w:rPr>
                <w:rFonts w:ascii="Calibri" w:hAnsi="Calibri"/>
                <w:b/>
                <w:bCs/>
                <w:color w:val="FFFF00"/>
                <w:sz w:val="28"/>
                <w:szCs w:val="28"/>
              </w:rPr>
            </w:pPr>
            <w:r>
              <w:rPr>
                <w:rFonts w:ascii="Calibri" w:hAnsi="Calibri"/>
                <w:b/>
                <w:bCs/>
                <w:color w:val="FFFF00"/>
                <w:sz w:val="28"/>
                <w:szCs w:val="28"/>
              </w:rPr>
              <w:t>Sistema delle</w:t>
            </w:r>
            <w:r w:rsidR="0081412F" w:rsidRPr="0081412F">
              <w:rPr>
                <w:rFonts w:ascii="Calibri" w:hAnsi="Calibri"/>
                <w:b/>
                <w:bCs/>
                <w:color w:val="FFFF00"/>
                <w:sz w:val="28"/>
                <w:szCs w:val="28"/>
              </w:rPr>
              <w:t xml:space="preserve"> Fonti</w:t>
            </w:r>
          </w:p>
        </w:tc>
      </w:tr>
      <w:tr w:rsidR="0081412F" w:rsidRPr="0081412F" w:rsidTr="0081412F">
        <w:trPr>
          <w:trHeight w:val="1215"/>
          <w:tblHeader/>
        </w:trPr>
        <w:tc>
          <w:tcPr>
            <w:tcW w:w="336" w:type="pct"/>
            <w:tcBorders>
              <w:top w:val="single" w:sz="8" w:space="0" w:color="auto"/>
              <w:left w:val="single" w:sz="8" w:space="0" w:color="auto"/>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Cs w:val="22"/>
              </w:rPr>
            </w:pPr>
            <w:r w:rsidRPr="0081412F">
              <w:rPr>
                <w:rFonts w:ascii="Calibri" w:hAnsi="Calibri"/>
                <w:b/>
                <w:bCs/>
                <w:color w:val="FFFF00"/>
                <w:szCs w:val="22"/>
              </w:rPr>
              <w:t>AC</w:t>
            </w:r>
          </w:p>
        </w:tc>
        <w:tc>
          <w:tcPr>
            <w:tcW w:w="380"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Forma Atto</w:t>
            </w:r>
          </w:p>
        </w:tc>
        <w:tc>
          <w:tcPr>
            <w:tcW w:w="409"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Rapporti con fonti subordinate</w:t>
            </w:r>
          </w:p>
        </w:tc>
        <w:tc>
          <w:tcPr>
            <w:tcW w:w="492"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Delegificazione spuria</w:t>
            </w:r>
          </w:p>
        </w:tc>
        <w:tc>
          <w:tcPr>
            <w:tcW w:w="389"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Coerente utilizzo fonti normative</w:t>
            </w:r>
          </w:p>
        </w:tc>
        <w:tc>
          <w:tcPr>
            <w:tcW w:w="464"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DM non regolamentari</w:t>
            </w:r>
          </w:p>
        </w:tc>
        <w:tc>
          <w:tcPr>
            <w:tcW w:w="390"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DPCM con contenuto normativo</w:t>
            </w:r>
          </w:p>
        </w:tc>
        <w:tc>
          <w:tcPr>
            <w:tcW w:w="527"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Sovrapposizione di fonti normative</w:t>
            </w:r>
          </w:p>
        </w:tc>
        <w:tc>
          <w:tcPr>
            <w:tcW w:w="389"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proofErr w:type="spellStart"/>
            <w:r w:rsidRPr="0081412F">
              <w:rPr>
                <w:rFonts w:ascii="Calibri" w:hAnsi="Calibri"/>
                <w:b/>
                <w:bCs/>
                <w:color w:val="FFFF00"/>
                <w:sz w:val="18"/>
                <w:szCs w:val="18"/>
              </w:rPr>
              <w:t>Coord</w:t>
            </w:r>
            <w:proofErr w:type="spellEnd"/>
            <w:r w:rsidRPr="0081412F">
              <w:rPr>
                <w:rFonts w:ascii="Calibri" w:hAnsi="Calibri"/>
                <w:b/>
                <w:bCs/>
                <w:color w:val="FFFF00"/>
                <w:sz w:val="18"/>
                <w:szCs w:val="18"/>
              </w:rPr>
              <w:t>. con vigenti fonti normative</w:t>
            </w:r>
          </w:p>
        </w:tc>
        <w:tc>
          <w:tcPr>
            <w:tcW w:w="422"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 xml:space="preserve">Efficacia temporale Retroattività </w:t>
            </w:r>
            <w:proofErr w:type="spellStart"/>
            <w:r w:rsidRPr="0081412F">
              <w:rPr>
                <w:rFonts w:ascii="Calibri" w:hAnsi="Calibri"/>
                <w:b/>
                <w:bCs/>
                <w:color w:val="FFFF00"/>
                <w:sz w:val="18"/>
                <w:szCs w:val="18"/>
              </w:rPr>
              <w:t>Effic</w:t>
            </w:r>
            <w:proofErr w:type="spellEnd"/>
            <w:r w:rsidRPr="0081412F">
              <w:rPr>
                <w:rFonts w:ascii="Calibri" w:hAnsi="Calibri"/>
                <w:b/>
                <w:bCs/>
                <w:color w:val="FFFF00"/>
                <w:sz w:val="18"/>
                <w:szCs w:val="18"/>
              </w:rPr>
              <w:t>. differita</w:t>
            </w:r>
          </w:p>
        </w:tc>
        <w:tc>
          <w:tcPr>
            <w:tcW w:w="449"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Adempimenti</w:t>
            </w:r>
          </w:p>
        </w:tc>
        <w:tc>
          <w:tcPr>
            <w:tcW w:w="353" w:type="pct"/>
            <w:tcBorders>
              <w:top w:val="single" w:sz="8" w:space="0" w:color="auto"/>
              <w:left w:val="nil"/>
              <w:bottom w:val="single" w:sz="8" w:space="0" w:color="auto"/>
              <w:right w:val="single" w:sz="4" w:space="0" w:color="auto"/>
            </w:tcBorders>
            <w:shd w:val="clear" w:color="000000" w:fill="C0C0C0"/>
            <w:vAlign w:val="center"/>
            <w:hideMark/>
          </w:tcPr>
          <w:p w:rsidR="0081412F" w:rsidRPr="0081412F" w:rsidRDefault="0081412F" w:rsidP="0081412F">
            <w:pPr>
              <w:spacing w:line="240" w:lineRule="auto"/>
              <w:ind w:firstLine="0"/>
              <w:jc w:val="center"/>
              <w:rPr>
                <w:rFonts w:ascii="Calibri" w:hAnsi="Calibri"/>
                <w:b/>
                <w:bCs/>
                <w:color w:val="FFFF00"/>
                <w:sz w:val="18"/>
                <w:szCs w:val="18"/>
              </w:rPr>
            </w:pPr>
            <w:r w:rsidRPr="0081412F">
              <w:rPr>
                <w:rFonts w:ascii="Calibri" w:hAnsi="Calibri"/>
                <w:b/>
                <w:bCs/>
                <w:color w:val="FFFF00"/>
                <w:sz w:val="18"/>
                <w:szCs w:val="18"/>
              </w:rPr>
              <w:t>Scheda</w:t>
            </w:r>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17" w:anchor="data.20151111.com" w:history="1">
              <w:r w:rsidR="0081412F" w:rsidRPr="0081412F">
                <w:rPr>
                  <w:rFonts w:ascii="Calibri" w:hAnsi="Calibri"/>
                  <w:b/>
                  <w:bCs/>
                  <w:color w:val="0000FF"/>
                  <w:sz w:val="18"/>
                  <w:szCs w:val="18"/>
                  <w:u w:val="single"/>
                </w:rPr>
                <w:t>3393</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2015/174</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18" w:history="1">
              <w:r w:rsidR="0081412F" w:rsidRPr="0081412F">
                <w:rPr>
                  <w:rFonts w:ascii="Calibri" w:hAnsi="Calibri"/>
                  <w:b/>
                  <w:bCs/>
                  <w:color w:val="0000FF"/>
                  <w:sz w:val="24"/>
                  <w:szCs w:val="24"/>
                  <w:u w:val="single"/>
                </w:rPr>
                <w:t>0001</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19" w:anchor="data.20151218.com" w:history="1">
              <w:r w:rsidR="0081412F" w:rsidRPr="0081412F">
                <w:rPr>
                  <w:rFonts w:ascii="Calibri" w:hAnsi="Calibri"/>
                  <w:b/>
                  <w:bCs/>
                  <w:color w:val="0000FF"/>
                  <w:sz w:val="18"/>
                  <w:szCs w:val="18"/>
                  <w:u w:val="single"/>
                </w:rPr>
                <w:t>3481</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2015/191</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527"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20" w:history="1">
              <w:r w:rsidR="0081412F" w:rsidRPr="0081412F">
                <w:rPr>
                  <w:rFonts w:ascii="Calibri" w:hAnsi="Calibri"/>
                  <w:b/>
                  <w:bCs/>
                  <w:color w:val="0000FF"/>
                  <w:sz w:val="24"/>
                  <w:szCs w:val="24"/>
                  <w:u w:val="single"/>
                </w:rPr>
                <w:t>0003</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21" w:anchor="data.20151218.com" w:history="1">
              <w:r w:rsidR="0081412F" w:rsidRPr="0081412F">
                <w:rPr>
                  <w:rFonts w:ascii="Calibri" w:hAnsi="Calibri"/>
                  <w:b/>
                  <w:bCs/>
                  <w:color w:val="0000FF"/>
                  <w:sz w:val="18"/>
                  <w:szCs w:val="18"/>
                  <w:u w:val="single"/>
                </w:rPr>
                <w:t>3495</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2015/185</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22" w:history="1">
              <w:r w:rsidR="0081412F" w:rsidRPr="0081412F">
                <w:rPr>
                  <w:rFonts w:ascii="Calibri" w:hAnsi="Calibri"/>
                  <w:b/>
                  <w:bCs/>
                  <w:color w:val="0000FF"/>
                  <w:sz w:val="24"/>
                  <w:szCs w:val="24"/>
                  <w:u w:val="single"/>
                </w:rPr>
                <w:t>0004</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23" w:anchor="data.20160114.com48." w:history="1">
              <w:r w:rsidR="0081412F" w:rsidRPr="0081412F">
                <w:rPr>
                  <w:rFonts w:ascii="Calibri" w:hAnsi="Calibri"/>
                  <w:b/>
                  <w:bCs/>
                  <w:color w:val="0000FF"/>
                  <w:sz w:val="18"/>
                  <w:szCs w:val="18"/>
                  <w:u w:val="single"/>
                </w:rPr>
                <w:t>3513</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2015/210</w:t>
            </w:r>
          </w:p>
        </w:tc>
        <w:tc>
          <w:tcPr>
            <w:tcW w:w="40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24" w:history="1">
              <w:r w:rsidR="0081412F" w:rsidRPr="0081412F">
                <w:rPr>
                  <w:rFonts w:ascii="Calibri" w:hAnsi="Calibri"/>
                  <w:b/>
                  <w:bCs/>
                  <w:color w:val="0000FF"/>
                  <w:sz w:val="24"/>
                  <w:szCs w:val="24"/>
                  <w:u w:val="single"/>
                </w:rPr>
                <w:t>0006</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81412F" w:rsidP="0081412F">
            <w:pPr>
              <w:spacing w:line="240" w:lineRule="auto"/>
              <w:ind w:firstLine="0"/>
              <w:jc w:val="center"/>
              <w:rPr>
                <w:rFonts w:ascii="Calibri" w:hAnsi="Calibri"/>
                <w:b/>
                <w:bCs/>
                <w:color w:val="0000FF"/>
                <w:sz w:val="18"/>
                <w:szCs w:val="18"/>
                <w:u w:val="single"/>
              </w:rPr>
            </w:pPr>
            <w:r w:rsidRPr="0081412F">
              <w:rPr>
                <w:rFonts w:ascii="Calibri" w:hAnsi="Calibri"/>
                <w:b/>
                <w:bCs/>
                <w:color w:val="0000FF"/>
                <w:sz w:val="18"/>
                <w:szCs w:val="18"/>
                <w:u w:val="single"/>
              </w:rPr>
              <w:t>TU 3317</w:t>
            </w:r>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pdl</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25" w:history="1">
              <w:r w:rsidR="0081412F" w:rsidRPr="0081412F">
                <w:rPr>
                  <w:rFonts w:ascii="Calibri" w:hAnsi="Calibri"/>
                  <w:b/>
                  <w:bCs/>
                  <w:color w:val="0000FF"/>
                  <w:sz w:val="24"/>
                  <w:szCs w:val="24"/>
                  <w:u w:val="single"/>
                </w:rPr>
                <w:t>0007</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81412F" w:rsidP="0081412F">
            <w:pPr>
              <w:spacing w:line="240" w:lineRule="auto"/>
              <w:ind w:firstLine="0"/>
              <w:jc w:val="center"/>
              <w:rPr>
                <w:rFonts w:ascii="Calibri" w:hAnsi="Calibri"/>
                <w:b/>
                <w:bCs/>
                <w:color w:val="0000FF"/>
                <w:sz w:val="18"/>
                <w:szCs w:val="18"/>
                <w:u w:val="single"/>
              </w:rPr>
            </w:pPr>
            <w:r w:rsidRPr="0081412F">
              <w:rPr>
                <w:rFonts w:ascii="Calibri" w:hAnsi="Calibri"/>
                <w:b/>
                <w:bCs/>
                <w:color w:val="0000FF"/>
                <w:sz w:val="18"/>
                <w:szCs w:val="18"/>
                <w:u w:val="single"/>
              </w:rPr>
              <w:t>3119</w:t>
            </w:r>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ddl Gov</w:t>
            </w:r>
          </w:p>
        </w:tc>
        <w:tc>
          <w:tcPr>
            <w:tcW w:w="40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92"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26" w:history="1">
              <w:r w:rsidR="0081412F" w:rsidRPr="0081412F">
                <w:rPr>
                  <w:rFonts w:ascii="Calibri" w:hAnsi="Calibri"/>
                  <w:b/>
                  <w:bCs/>
                  <w:color w:val="0000FF"/>
                  <w:sz w:val="24"/>
                  <w:szCs w:val="24"/>
                  <w:u w:val="single"/>
                </w:rPr>
                <w:t>0008</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27" w:anchor="data.20160224.com" w:history="1">
              <w:r w:rsidR="0081412F" w:rsidRPr="0081412F">
                <w:rPr>
                  <w:rFonts w:ascii="Calibri" w:hAnsi="Calibri"/>
                  <w:b/>
                  <w:bCs/>
                  <w:color w:val="0000FF"/>
                  <w:sz w:val="18"/>
                  <w:szCs w:val="18"/>
                  <w:u w:val="single"/>
                </w:rPr>
                <w:t>3606</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2016/018</w:t>
            </w:r>
          </w:p>
        </w:tc>
        <w:tc>
          <w:tcPr>
            <w:tcW w:w="40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28" w:history="1">
              <w:r w:rsidR="0081412F" w:rsidRPr="0081412F">
                <w:rPr>
                  <w:rFonts w:ascii="Calibri" w:hAnsi="Calibri"/>
                  <w:b/>
                  <w:bCs/>
                  <w:color w:val="0000FF"/>
                  <w:sz w:val="24"/>
                  <w:szCs w:val="24"/>
                  <w:u w:val="single"/>
                </w:rPr>
                <w:t>0009</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29" w:anchor="data.20160224.com" w:history="1">
              <w:r w:rsidR="0081412F" w:rsidRPr="0081412F">
                <w:rPr>
                  <w:rFonts w:ascii="Calibri" w:hAnsi="Calibri"/>
                  <w:b/>
                  <w:bCs/>
                  <w:color w:val="0000FF"/>
                  <w:sz w:val="18"/>
                  <w:szCs w:val="18"/>
                  <w:u w:val="single"/>
                </w:rPr>
                <w:t>2039 NT</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ddl Gov</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30" w:history="1">
              <w:r w:rsidR="0081412F" w:rsidRPr="0081412F">
                <w:rPr>
                  <w:rFonts w:ascii="Calibri" w:hAnsi="Calibri"/>
                  <w:b/>
                  <w:bCs/>
                  <w:color w:val="0000FF"/>
                  <w:sz w:val="24"/>
                  <w:szCs w:val="24"/>
                  <w:u w:val="single"/>
                </w:rPr>
                <w:t>0010</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31" w:anchor="data.20160303.com" w:history="1">
              <w:r w:rsidR="0081412F" w:rsidRPr="0081412F">
                <w:rPr>
                  <w:rFonts w:ascii="Calibri" w:hAnsi="Calibri"/>
                  <w:b/>
                  <w:bCs/>
                  <w:color w:val="0000FF"/>
                  <w:sz w:val="18"/>
                  <w:szCs w:val="18"/>
                  <w:u w:val="single"/>
                </w:rPr>
                <w:t>3540</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ddl Gov</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32" w:history="1">
              <w:r w:rsidR="0081412F" w:rsidRPr="0081412F">
                <w:rPr>
                  <w:rFonts w:ascii="Calibri" w:hAnsi="Calibri"/>
                  <w:b/>
                  <w:bCs/>
                  <w:color w:val="0000FF"/>
                  <w:sz w:val="24"/>
                  <w:szCs w:val="24"/>
                  <w:u w:val="single"/>
                </w:rPr>
                <w:t>0011</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33" w:anchor="data.20160309.com" w:history="1">
              <w:r w:rsidR="0081412F" w:rsidRPr="0081412F">
                <w:rPr>
                  <w:rFonts w:ascii="Calibri" w:hAnsi="Calibri"/>
                  <w:b/>
                  <w:bCs/>
                  <w:color w:val="0000FF"/>
                  <w:sz w:val="18"/>
                  <w:szCs w:val="18"/>
                  <w:u w:val="single"/>
                </w:rPr>
                <w:t>2212</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pdl</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34" w:history="1">
              <w:r w:rsidR="0081412F" w:rsidRPr="0081412F">
                <w:rPr>
                  <w:rFonts w:ascii="Calibri" w:hAnsi="Calibri"/>
                  <w:b/>
                  <w:bCs/>
                  <w:color w:val="0000FF"/>
                  <w:sz w:val="24"/>
                  <w:szCs w:val="24"/>
                  <w:u w:val="single"/>
                </w:rPr>
                <w:t>0012</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35" w:anchor="data.20160412.com" w:history="1">
              <w:r w:rsidR="0081412F" w:rsidRPr="0081412F">
                <w:rPr>
                  <w:rFonts w:ascii="Calibri" w:hAnsi="Calibri"/>
                  <w:b/>
                  <w:bCs/>
                  <w:color w:val="0000FF"/>
                  <w:sz w:val="18"/>
                  <w:szCs w:val="18"/>
                  <w:u w:val="single"/>
                </w:rPr>
                <w:t>3634</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pdl</w:t>
            </w:r>
          </w:p>
        </w:tc>
        <w:tc>
          <w:tcPr>
            <w:tcW w:w="40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92"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36" w:history="1">
              <w:r w:rsidR="0081412F" w:rsidRPr="0081412F">
                <w:rPr>
                  <w:rFonts w:ascii="Calibri" w:hAnsi="Calibri"/>
                  <w:b/>
                  <w:bCs/>
                  <w:color w:val="0000FF"/>
                  <w:sz w:val="24"/>
                  <w:szCs w:val="24"/>
                  <w:u w:val="single"/>
                </w:rPr>
                <w:t>0013</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37" w:anchor="data.20160412.com" w:history="1">
              <w:r w:rsidR="0081412F" w:rsidRPr="0081412F">
                <w:rPr>
                  <w:rFonts w:ascii="Calibri" w:hAnsi="Calibri"/>
                  <w:b/>
                  <w:bCs/>
                  <w:color w:val="0000FF"/>
                  <w:sz w:val="18"/>
                  <w:szCs w:val="18"/>
                  <w:u w:val="single"/>
                </w:rPr>
                <w:t>3672</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ddl Gov</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38" w:history="1">
              <w:r w:rsidR="0081412F" w:rsidRPr="0081412F">
                <w:rPr>
                  <w:rFonts w:ascii="Calibri" w:hAnsi="Calibri"/>
                  <w:b/>
                  <w:bCs/>
                  <w:color w:val="0000FF"/>
                  <w:sz w:val="24"/>
                  <w:szCs w:val="24"/>
                  <w:u w:val="single"/>
                </w:rPr>
                <w:t>0014</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39" w:anchor="data.20160512.com" w:history="1">
              <w:r w:rsidR="0081412F" w:rsidRPr="0081412F">
                <w:rPr>
                  <w:rFonts w:ascii="Calibri" w:hAnsi="Calibri"/>
                  <w:b/>
                  <w:bCs/>
                  <w:color w:val="0000FF"/>
                  <w:sz w:val="18"/>
                  <w:szCs w:val="18"/>
                  <w:u w:val="single"/>
                </w:rPr>
                <w:t>2617-B</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ddl Gov</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40" w:history="1">
              <w:r w:rsidR="0081412F" w:rsidRPr="0081412F">
                <w:rPr>
                  <w:rFonts w:ascii="Calibri" w:hAnsi="Calibri"/>
                  <w:b/>
                  <w:bCs/>
                  <w:color w:val="0000FF"/>
                  <w:sz w:val="24"/>
                  <w:szCs w:val="24"/>
                  <w:u w:val="single"/>
                </w:rPr>
                <w:t>0015</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41" w:anchor="data.20160518.com" w:history="1">
              <w:r w:rsidR="0081412F" w:rsidRPr="0081412F">
                <w:rPr>
                  <w:rFonts w:ascii="Calibri" w:hAnsi="Calibri"/>
                  <w:b/>
                  <w:bCs/>
                  <w:color w:val="0000FF"/>
                  <w:sz w:val="18"/>
                  <w:szCs w:val="18"/>
                  <w:u w:val="single"/>
                </w:rPr>
                <w:t>3822</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2016/042</w:t>
            </w:r>
          </w:p>
        </w:tc>
        <w:tc>
          <w:tcPr>
            <w:tcW w:w="40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42" w:history="1">
              <w:r w:rsidR="0081412F" w:rsidRPr="0081412F">
                <w:rPr>
                  <w:rFonts w:ascii="Calibri" w:hAnsi="Calibri"/>
                  <w:b/>
                  <w:bCs/>
                  <w:color w:val="0000FF"/>
                  <w:sz w:val="24"/>
                  <w:szCs w:val="24"/>
                  <w:u w:val="single"/>
                </w:rPr>
                <w:t>0016</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43" w:anchor="data.20160525.com" w:history="1">
              <w:r w:rsidR="0081412F" w:rsidRPr="0081412F">
                <w:rPr>
                  <w:rFonts w:ascii="Calibri" w:hAnsi="Calibri"/>
                  <w:b/>
                  <w:bCs/>
                  <w:color w:val="0000FF"/>
                  <w:sz w:val="18"/>
                  <w:szCs w:val="18"/>
                  <w:u w:val="single"/>
                </w:rPr>
                <w:t>TU 2839</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pdl</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44" w:history="1">
              <w:r w:rsidR="0081412F" w:rsidRPr="0081412F">
                <w:rPr>
                  <w:rFonts w:ascii="Calibri" w:hAnsi="Calibri"/>
                  <w:b/>
                  <w:bCs/>
                  <w:color w:val="0000FF"/>
                  <w:sz w:val="24"/>
                  <w:szCs w:val="24"/>
                  <w:u w:val="single"/>
                </w:rPr>
                <w:t>0017</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45" w:anchor="data.20160621.com" w:history="1">
              <w:r w:rsidR="0081412F" w:rsidRPr="0081412F">
                <w:rPr>
                  <w:rFonts w:ascii="Calibri" w:hAnsi="Calibri"/>
                  <w:b/>
                  <w:bCs/>
                  <w:color w:val="0000FF"/>
                  <w:sz w:val="18"/>
                  <w:szCs w:val="18"/>
                  <w:u w:val="single"/>
                </w:rPr>
                <w:t>3821</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ddl Gov</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4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46" w:history="1">
              <w:r w:rsidR="0081412F" w:rsidRPr="0081412F">
                <w:rPr>
                  <w:rFonts w:ascii="Calibri" w:hAnsi="Calibri"/>
                  <w:b/>
                  <w:bCs/>
                  <w:color w:val="0000FF"/>
                  <w:sz w:val="24"/>
                  <w:szCs w:val="24"/>
                  <w:u w:val="single"/>
                </w:rPr>
                <w:t>0020</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47" w:anchor="data.20160622.com" w:history="1">
              <w:r w:rsidR="0081412F" w:rsidRPr="0081412F">
                <w:rPr>
                  <w:rFonts w:ascii="Calibri" w:hAnsi="Calibri"/>
                  <w:b/>
                  <w:bCs/>
                  <w:color w:val="0000FF"/>
                  <w:sz w:val="18"/>
                  <w:szCs w:val="18"/>
                  <w:u w:val="single"/>
                </w:rPr>
                <w:t>3892</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2016/059</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48" w:history="1">
              <w:r w:rsidR="0081412F" w:rsidRPr="0081412F">
                <w:rPr>
                  <w:rFonts w:ascii="Calibri" w:hAnsi="Calibri"/>
                  <w:b/>
                  <w:bCs/>
                  <w:color w:val="0000FF"/>
                  <w:sz w:val="24"/>
                  <w:szCs w:val="24"/>
                  <w:u w:val="single"/>
                </w:rPr>
                <w:t>0021</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49" w:anchor="data.20160622.com" w:history="1">
              <w:r w:rsidR="0081412F" w:rsidRPr="0081412F">
                <w:rPr>
                  <w:rFonts w:ascii="Calibri" w:hAnsi="Calibri"/>
                  <w:b/>
                  <w:bCs/>
                  <w:color w:val="0000FF"/>
                  <w:sz w:val="18"/>
                  <w:szCs w:val="18"/>
                  <w:u w:val="single"/>
                </w:rPr>
                <w:t>3886</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2016/098</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50" w:history="1">
              <w:r w:rsidR="0081412F" w:rsidRPr="0081412F">
                <w:rPr>
                  <w:rFonts w:ascii="Calibri" w:hAnsi="Calibri"/>
                  <w:b/>
                  <w:bCs/>
                  <w:color w:val="0000FF"/>
                  <w:sz w:val="24"/>
                  <w:szCs w:val="24"/>
                  <w:u w:val="single"/>
                </w:rPr>
                <w:t>0022</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51" w:anchor="data.20160705.com" w:history="1">
              <w:r w:rsidR="0081412F" w:rsidRPr="0081412F">
                <w:rPr>
                  <w:rFonts w:ascii="Calibri" w:hAnsi="Calibri"/>
                  <w:b/>
                  <w:bCs/>
                  <w:color w:val="0000FF"/>
                  <w:sz w:val="18"/>
                  <w:szCs w:val="18"/>
                  <w:u w:val="single"/>
                </w:rPr>
                <w:t>3953</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2016/067</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52" w:history="1">
              <w:r w:rsidR="0081412F" w:rsidRPr="0081412F">
                <w:rPr>
                  <w:rFonts w:ascii="Calibri" w:hAnsi="Calibri"/>
                  <w:b/>
                  <w:bCs/>
                  <w:color w:val="0000FF"/>
                  <w:sz w:val="24"/>
                  <w:szCs w:val="24"/>
                  <w:u w:val="single"/>
                </w:rPr>
                <w:t>0024</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53" w:anchor="data.20160706.com" w:history="1">
              <w:r w:rsidR="0081412F" w:rsidRPr="0081412F">
                <w:rPr>
                  <w:rFonts w:ascii="Calibri" w:hAnsi="Calibri"/>
                  <w:b/>
                  <w:bCs/>
                  <w:color w:val="0000FF"/>
                  <w:sz w:val="18"/>
                  <w:szCs w:val="18"/>
                  <w:u w:val="single"/>
                </w:rPr>
                <w:t>3926</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2016/113</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54" w:history="1">
              <w:r w:rsidR="0081412F" w:rsidRPr="0081412F">
                <w:rPr>
                  <w:rFonts w:ascii="Calibri" w:hAnsi="Calibri"/>
                  <w:b/>
                  <w:bCs/>
                  <w:color w:val="0000FF"/>
                  <w:sz w:val="24"/>
                  <w:szCs w:val="24"/>
                  <w:u w:val="single"/>
                </w:rPr>
                <w:t>0025</w:t>
              </w:r>
            </w:hyperlink>
          </w:p>
        </w:tc>
      </w:tr>
      <w:tr w:rsidR="0081412F" w:rsidRPr="0081412F" w:rsidTr="0081412F">
        <w:trPr>
          <w:trHeight w:val="402"/>
        </w:trPr>
        <w:tc>
          <w:tcPr>
            <w:tcW w:w="336" w:type="pct"/>
            <w:tcBorders>
              <w:top w:val="nil"/>
              <w:left w:val="single" w:sz="4" w:space="0" w:color="auto"/>
              <w:bottom w:val="single" w:sz="4" w:space="0" w:color="auto"/>
              <w:right w:val="single" w:sz="4" w:space="0" w:color="auto"/>
            </w:tcBorders>
            <w:shd w:val="clear" w:color="000000" w:fill="99CCFF"/>
            <w:vAlign w:val="center"/>
            <w:hideMark/>
          </w:tcPr>
          <w:p w:rsidR="0081412F" w:rsidRPr="0081412F" w:rsidRDefault="00DC78AD" w:rsidP="0081412F">
            <w:pPr>
              <w:spacing w:line="240" w:lineRule="auto"/>
              <w:ind w:firstLine="0"/>
              <w:jc w:val="center"/>
              <w:rPr>
                <w:rFonts w:ascii="Calibri" w:hAnsi="Calibri"/>
                <w:b/>
                <w:bCs/>
                <w:color w:val="0000FF"/>
                <w:sz w:val="18"/>
                <w:szCs w:val="18"/>
                <w:u w:val="single"/>
              </w:rPr>
            </w:pPr>
            <w:hyperlink r:id="rId255" w:anchor="data.20160706.com" w:history="1">
              <w:r w:rsidR="0081412F" w:rsidRPr="0081412F">
                <w:rPr>
                  <w:rFonts w:ascii="Calibri" w:hAnsi="Calibri"/>
                  <w:b/>
                  <w:bCs/>
                  <w:color w:val="0000FF"/>
                  <w:sz w:val="18"/>
                  <w:szCs w:val="18"/>
                  <w:u w:val="single"/>
                </w:rPr>
                <w:t>3954</w:t>
              </w:r>
            </w:hyperlink>
          </w:p>
        </w:tc>
        <w:tc>
          <w:tcPr>
            <w:tcW w:w="38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left"/>
              <w:rPr>
                <w:rFonts w:ascii="Calibri" w:hAnsi="Calibri"/>
                <w:b/>
                <w:bCs/>
                <w:sz w:val="18"/>
                <w:szCs w:val="18"/>
              </w:rPr>
            </w:pPr>
            <w:r w:rsidRPr="0081412F">
              <w:rPr>
                <w:rFonts w:ascii="Calibri" w:hAnsi="Calibri"/>
                <w:b/>
                <w:bCs/>
                <w:sz w:val="18"/>
                <w:szCs w:val="18"/>
              </w:rPr>
              <w:t>DL 2016/117</w:t>
            </w:r>
          </w:p>
        </w:tc>
        <w:tc>
          <w:tcPr>
            <w:tcW w:w="40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9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64"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90"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527"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89" w:type="pct"/>
            <w:tcBorders>
              <w:top w:val="single" w:sz="4" w:space="0" w:color="auto"/>
              <w:left w:val="single" w:sz="4" w:space="0" w:color="auto"/>
              <w:bottom w:val="single" w:sz="4" w:space="0" w:color="auto"/>
              <w:right w:val="single" w:sz="4" w:space="0" w:color="auto"/>
            </w:tcBorders>
            <w:shd w:val="clear" w:color="000000" w:fill="FFFF99"/>
            <w:vAlign w:val="center"/>
            <w:hideMark/>
          </w:tcPr>
          <w:p w:rsidR="0081412F" w:rsidRPr="0081412F" w:rsidRDefault="0081412F" w:rsidP="0081412F">
            <w:pPr>
              <w:spacing w:line="240" w:lineRule="auto"/>
              <w:ind w:firstLine="0"/>
              <w:jc w:val="center"/>
              <w:rPr>
                <w:rFonts w:ascii="Calibri" w:hAnsi="Calibri"/>
                <w:b/>
                <w:bCs/>
                <w:color w:val="FF0000"/>
                <w:sz w:val="18"/>
                <w:szCs w:val="18"/>
              </w:rPr>
            </w:pPr>
            <w:r w:rsidRPr="0081412F">
              <w:rPr>
                <w:rFonts w:ascii="Calibri" w:hAnsi="Calibri"/>
                <w:b/>
                <w:bCs/>
                <w:color w:val="FF0000"/>
                <w:sz w:val="18"/>
                <w:szCs w:val="18"/>
              </w:rPr>
              <w:t>SI</w:t>
            </w:r>
          </w:p>
        </w:tc>
        <w:tc>
          <w:tcPr>
            <w:tcW w:w="422"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449" w:type="pct"/>
            <w:tcBorders>
              <w:top w:val="nil"/>
              <w:left w:val="nil"/>
              <w:bottom w:val="single" w:sz="4" w:space="0" w:color="auto"/>
              <w:right w:val="single" w:sz="4" w:space="0" w:color="auto"/>
            </w:tcBorders>
            <w:shd w:val="clear" w:color="auto" w:fill="auto"/>
            <w:vAlign w:val="center"/>
            <w:hideMark/>
          </w:tcPr>
          <w:p w:rsidR="0081412F" w:rsidRPr="0081412F" w:rsidRDefault="0081412F" w:rsidP="0081412F">
            <w:pPr>
              <w:spacing w:line="240" w:lineRule="auto"/>
              <w:ind w:firstLine="0"/>
              <w:jc w:val="center"/>
              <w:rPr>
                <w:rFonts w:ascii="Calibri" w:hAnsi="Calibri"/>
                <w:sz w:val="18"/>
                <w:szCs w:val="18"/>
              </w:rPr>
            </w:pPr>
            <w:r w:rsidRPr="0081412F">
              <w:rPr>
                <w:rFonts w:ascii="Calibri" w:hAnsi="Calibri"/>
                <w:sz w:val="18"/>
                <w:szCs w:val="18"/>
              </w:rPr>
              <w:t>NO</w:t>
            </w:r>
          </w:p>
        </w:tc>
        <w:tc>
          <w:tcPr>
            <w:tcW w:w="353" w:type="pct"/>
            <w:tcBorders>
              <w:top w:val="nil"/>
              <w:left w:val="nil"/>
              <w:bottom w:val="single" w:sz="4" w:space="0" w:color="auto"/>
              <w:right w:val="single" w:sz="4" w:space="0" w:color="auto"/>
            </w:tcBorders>
            <w:shd w:val="clear" w:color="auto" w:fill="auto"/>
            <w:vAlign w:val="center"/>
            <w:hideMark/>
          </w:tcPr>
          <w:p w:rsidR="0081412F" w:rsidRPr="0081412F" w:rsidRDefault="00DC78AD" w:rsidP="0081412F">
            <w:pPr>
              <w:spacing w:line="240" w:lineRule="auto"/>
              <w:ind w:firstLine="0"/>
              <w:jc w:val="center"/>
              <w:rPr>
                <w:rFonts w:ascii="Calibri" w:hAnsi="Calibri"/>
                <w:b/>
                <w:bCs/>
                <w:color w:val="0000FF"/>
                <w:sz w:val="24"/>
                <w:szCs w:val="24"/>
                <w:u w:val="single"/>
              </w:rPr>
            </w:pPr>
            <w:hyperlink r:id="rId256" w:history="1">
              <w:r w:rsidR="0081412F" w:rsidRPr="0081412F">
                <w:rPr>
                  <w:rFonts w:ascii="Calibri" w:hAnsi="Calibri"/>
                  <w:b/>
                  <w:bCs/>
                  <w:color w:val="0000FF"/>
                  <w:sz w:val="24"/>
                  <w:szCs w:val="24"/>
                  <w:u w:val="single"/>
                </w:rPr>
                <w:t>0026</w:t>
              </w:r>
            </w:hyperlink>
          </w:p>
        </w:tc>
      </w:tr>
    </w:tbl>
    <w:p w:rsidR="0081412F" w:rsidRPr="0081412F" w:rsidRDefault="0081412F" w:rsidP="0081412F"/>
    <w:p w:rsidR="0081412F" w:rsidRPr="0081412F" w:rsidRDefault="0081412F" w:rsidP="0081412F"/>
    <w:p w:rsidR="00332C22" w:rsidRPr="003505A6" w:rsidRDefault="00332C22" w:rsidP="00BF7BFE">
      <w:pPr>
        <w:sectPr w:rsidR="00332C22" w:rsidRPr="003505A6" w:rsidSect="00332C22">
          <w:headerReference w:type="even" r:id="rId257"/>
          <w:headerReference w:type="default" r:id="rId258"/>
          <w:footerReference w:type="even" r:id="rId259"/>
          <w:footerReference w:type="default" r:id="rId260"/>
          <w:headerReference w:type="first" r:id="rId261"/>
          <w:footerReference w:type="first" r:id="rId262"/>
          <w:pgSz w:w="16838" w:h="11906" w:orient="landscape" w:code="9"/>
          <w:pgMar w:top="1418" w:right="1418" w:bottom="1418" w:left="1134" w:header="567" w:footer="567" w:gutter="0"/>
          <w:cols w:space="708"/>
          <w:docGrid w:linePitch="360"/>
        </w:sectPr>
      </w:pPr>
    </w:p>
    <w:p w:rsidR="00332C22" w:rsidRDefault="00332C22" w:rsidP="00047558">
      <w:pPr>
        <w:pStyle w:val="Titolo2"/>
        <w:rPr>
          <w:rFonts w:ascii="Garamond" w:hAnsi="Garamond"/>
          <w:color w:val="0000FF"/>
          <w:sz w:val="32"/>
          <w:szCs w:val="32"/>
        </w:rPr>
      </w:pPr>
      <w:bookmarkStart w:id="87" w:name="_Toc458677987"/>
      <w:bookmarkStart w:id="88" w:name="TABELLA05"/>
      <w:r w:rsidRPr="003505A6">
        <w:rPr>
          <w:rFonts w:ascii="Garamond" w:hAnsi="Garamond"/>
          <w:color w:val="0000FF"/>
          <w:sz w:val="32"/>
          <w:szCs w:val="32"/>
        </w:rPr>
        <w:lastRenderedPageBreak/>
        <w:t>TAB. 5 “LEGGE 400/1988”</w:t>
      </w:r>
      <w:bookmarkEnd w:id="87"/>
    </w:p>
    <w:bookmarkEnd w:id="88"/>
    <w:p w:rsidR="00B71CF4" w:rsidRPr="00B71CF4" w:rsidRDefault="00B71CF4" w:rsidP="00B71CF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
        <w:gridCol w:w="1433"/>
        <w:gridCol w:w="1241"/>
        <w:gridCol w:w="1359"/>
        <w:gridCol w:w="1189"/>
        <w:gridCol w:w="1521"/>
        <w:gridCol w:w="1324"/>
        <w:gridCol w:w="1125"/>
        <w:gridCol w:w="1163"/>
        <w:gridCol w:w="1215"/>
        <w:gridCol w:w="1538"/>
        <w:gridCol w:w="1287"/>
        <w:gridCol w:w="20"/>
      </w:tblGrid>
      <w:tr w:rsidR="00047558" w:rsidRPr="003505A6" w:rsidTr="00047558">
        <w:trPr>
          <w:trHeight w:val="435"/>
          <w:jc w:val="center"/>
        </w:trPr>
        <w:tc>
          <w:tcPr>
            <w:tcW w:w="5000" w:type="pct"/>
            <w:gridSpan w:val="13"/>
            <w:shd w:val="clear" w:color="auto" w:fill="FFFF99"/>
            <w:vAlign w:val="bottom"/>
            <w:hideMark/>
          </w:tcPr>
          <w:p w:rsidR="00047558" w:rsidRPr="003505A6" w:rsidRDefault="00047558" w:rsidP="00047558">
            <w:pPr>
              <w:spacing w:line="240" w:lineRule="auto"/>
              <w:ind w:firstLine="0"/>
              <w:jc w:val="center"/>
              <w:rPr>
                <w:rFonts w:ascii="Garamond" w:hAnsi="Garamond"/>
                <w:b/>
                <w:bCs/>
                <w:color w:val="0000FF"/>
                <w:sz w:val="32"/>
                <w:szCs w:val="32"/>
              </w:rPr>
            </w:pPr>
            <w:r w:rsidRPr="003505A6">
              <w:rPr>
                <w:rFonts w:ascii="Garamond" w:hAnsi="Garamond"/>
                <w:b/>
                <w:bCs/>
                <w:color w:val="0000FF"/>
                <w:sz w:val="32"/>
                <w:szCs w:val="32"/>
              </w:rPr>
              <w:t>Riferimenti normativi citati (L. 400/1988)</w:t>
            </w:r>
          </w:p>
        </w:tc>
      </w:tr>
      <w:tr w:rsidR="00047558" w:rsidRPr="00047558" w:rsidTr="00047558">
        <w:trPr>
          <w:gridBefore w:val="1"/>
          <w:gridAfter w:val="1"/>
          <w:wBefore w:w="4" w:type="pct"/>
          <w:wAfter w:w="6" w:type="pct"/>
          <w:trHeight w:val="675"/>
          <w:jc w:val="center"/>
        </w:trPr>
        <w:tc>
          <w:tcPr>
            <w:tcW w:w="497" w:type="pct"/>
            <w:vMerge w:val="restart"/>
            <w:shd w:val="clear" w:color="auto" w:fill="FFFF99"/>
            <w:vAlign w:val="center"/>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AC</w:t>
            </w:r>
          </w:p>
        </w:tc>
        <w:tc>
          <w:tcPr>
            <w:tcW w:w="430"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art.</w:t>
            </w:r>
            <w:r w:rsidRPr="00047558">
              <w:rPr>
                <w:rFonts w:ascii="Calibri" w:hAnsi="Calibri"/>
                <w:b/>
                <w:bCs/>
                <w:color w:val="0000FF"/>
                <w:sz w:val="20"/>
              </w:rPr>
              <w:br/>
              <w:t>13-bis</w:t>
            </w:r>
          </w:p>
        </w:tc>
        <w:tc>
          <w:tcPr>
            <w:tcW w:w="471"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art. 15, c.1</w:t>
            </w:r>
          </w:p>
        </w:tc>
        <w:tc>
          <w:tcPr>
            <w:tcW w:w="412"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art.</w:t>
            </w:r>
            <w:r w:rsidRPr="00047558">
              <w:rPr>
                <w:rFonts w:ascii="Calibri" w:hAnsi="Calibri"/>
                <w:b/>
                <w:bCs/>
                <w:color w:val="0000FF"/>
                <w:sz w:val="20"/>
              </w:rPr>
              <w:br/>
              <w:t>15, c.2, a</w:t>
            </w:r>
          </w:p>
        </w:tc>
        <w:tc>
          <w:tcPr>
            <w:tcW w:w="527"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art.</w:t>
            </w:r>
            <w:r w:rsidRPr="00047558">
              <w:rPr>
                <w:rFonts w:ascii="Calibri" w:hAnsi="Calibri"/>
                <w:b/>
                <w:bCs/>
                <w:color w:val="0000FF"/>
                <w:sz w:val="20"/>
              </w:rPr>
              <w:br/>
              <w:t>15, c.3</w:t>
            </w:r>
          </w:p>
        </w:tc>
        <w:tc>
          <w:tcPr>
            <w:tcW w:w="459"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art.</w:t>
            </w:r>
            <w:r w:rsidRPr="00047558">
              <w:rPr>
                <w:rFonts w:ascii="Calibri" w:hAnsi="Calibri"/>
                <w:b/>
                <w:bCs/>
                <w:color w:val="0000FF"/>
                <w:sz w:val="20"/>
              </w:rPr>
              <w:br/>
              <w:t>15, c.3</w:t>
            </w:r>
          </w:p>
        </w:tc>
        <w:tc>
          <w:tcPr>
            <w:tcW w:w="390"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art.</w:t>
            </w:r>
            <w:r w:rsidRPr="00047558">
              <w:rPr>
                <w:rFonts w:ascii="Calibri" w:hAnsi="Calibri"/>
                <w:b/>
                <w:bCs/>
                <w:color w:val="0000FF"/>
                <w:sz w:val="20"/>
              </w:rPr>
              <w:br/>
              <w:t>17  c.1</w:t>
            </w:r>
          </w:p>
        </w:tc>
        <w:tc>
          <w:tcPr>
            <w:tcW w:w="403"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art.</w:t>
            </w:r>
            <w:r w:rsidRPr="00047558">
              <w:rPr>
                <w:rFonts w:ascii="Calibri" w:hAnsi="Calibri"/>
                <w:b/>
                <w:bCs/>
                <w:color w:val="0000FF"/>
                <w:sz w:val="20"/>
              </w:rPr>
              <w:br/>
              <w:t>17, c.2</w:t>
            </w:r>
          </w:p>
        </w:tc>
        <w:tc>
          <w:tcPr>
            <w:tcW w:w="421"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art.</w:t>
            </w:r>
            <w:r w:rsidRPr="00047558">
              <w:rPr>
                <w:rFonts w:ascii="Calibri" w:hAnsi="Calibri"/>
                <w:b/>
                <w:bCs/>
                <w:color w:val="0000FF"/>
                <w:sz w:val="20"/>
              </w:rPr>
              <w:br/>
              <w:t>17, c.3</w:t>
            </w:r>
          </w:p>
        </w:tc>
        <w:tc>
          <w:tcPr>
            <w:tcW w:w="533"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art.</w:t>
            </w:r>
            <w:r w:rsidRPr="00047558">
              <w:rPr>
                <w:rFonts w:ascii="Calibri" w:hAnsi="Calibri"/>
                <w:b/>
                <w:bCs/>
                <w:color w:val="0000FF"/>
                <w:sz w:val="20"/>
              </w:rPr>
              <w:br/>
              <w:t>17 in generale</w:t>
            </w:r>
          </w:p>
        </w:tc>
        <w:tc>
          <w:tcPr>
            <w:tcW w:w="446"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Pr>
                <w:rFonts w:ascii="Calibri" w:hAnsi="Calibri"/>
                <w:b/>
                <w:bCs/>
                <w:color w:val="0000FF"/>
                <w:sz w:val="20"/>
              </w:rPr>
              <w:t>Scheda</w:t>
            </w:r>
          </w:p>
        </w:tc>
      </w:tr>
      <w:tr w:rsidR="00047558" w:rsidRPr="00047558" w:rsidTr="00047558">
        <w:trPr>
          <w:gridBefore w:val="1"/>
          <w:gridAfter w:val="1"/>
          <w:wBefore w:w="4" w:type="pct"/>
          <w:wAfter w:w="6" w:type="pct"/>
          <w:trHeight w:val="1140"/>
          <w:jc w:val="center"/>
        </w:trPr>
        <w:tc>
          <w:tcPr>
            <w:tcW w:w="497" w:type="pct"/>
            <w:vMerge/>
            <w:shd w:val="clear" w:color="auto" w:fill="FFFF99"/>
            <w:vAlign w:val="center"/>
            <w:hideMark/>
          </w:tcPr>
          <w:p w:rsidR="00047558" w:rsidRPr="00047558" w:rsidRDefault="00047558" w:rsidP="00047558">
            <w:pPr>
              <w:spacing w:line="240" w:lineRule="auto"/>
              <w:ind w:firstLine="0"/>
              <w:jc w:val="left"/>
              <w:rPr>
                <w:rFonts w:ascii="Calibri" w:hAnsi="Calibri"/>
                <w:b/>
                <w:bCs/>
                <w:color w:val="0000FF"/>
                <w:sz w:val="20"/>
              </w:rPr>
            </w:pPr>
          </w:p>
        </w:tc>
        <w:tc>
          <w:tcPr>
            <w:tcW w:w="430"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Chiarezza testi normativi</w:t>
            </w:r>
          </w:p>
        </w:tc>
        <w:tc>
          <w:tcPr>
            <w:tcW w:w="471"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Preambolo</w:t>
            </w:r>
          </w:p>
        </w:tc>
        <w:tc>
          <w:tcPr>
            <w:tcW w:w="412"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Deleghe in DL</w:t>
            </w:r>
          </w:p>
        </w:tc>
        <w:tc>
          <w:tcPr>
            <w:tcW w:w="527"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proofErr w:type="spellStart"/>
            <w:r w:rsidRPr="00047558">
              <w:rPr>
                <w:rFonts w:ascii="Calibri" w:hAnsi="Calibri"/>
                <w:b/>
                <w:bCs/>
                <w:color w:val="0000FF"/>
                <w:sz w:val="20"/>
              </w:rPr>
              <w:t>Immed</w:t>
            </w:r>
            <w:proofErr w:type="spellEnd"/>
            <w:r w:rsidRPr="00047558">
              <w:rPr>
                <w:rFonts w:ascii="Calibri" w:hAnsi="Calibri"/>
                <w:b/>
                <w:bCs/>
                <w:color w:val="0000FF"/>
                <w:sz w:val="20"/>
              </w:rPr>
              <w:t>. applicazione</w:t>
            </w:r>
          </w:p>
        </w:tc>
        <w:tc>
          <w:tcPr>
            <w:tcW w:w="459"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Contenuto Limiti</w:t>
            </w:r>
          </w:p>
        </w:tc>
        <w:tc>
          <w:tcPr>
            <w:tcW w:w="390"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 xml:space="preserve">Reg. </w:t>
            </w:r>
            <w:proofErr w:type="spellStart"/>
            <w:r w:rsidRPr="00047558">
              <w:rPr>
                <w:rFonts w:ascii="Calibri" w:hAnsi="Calibri"/>
                <w:b/>
                <w:bCs/>
                <w:color w:val="0000FF"/>
                <w:sz w:val="20"/>
              </w:rPr>
              <w:t>esec</w:t>
            </w:r>
            <w:proofErr w:type="spellEnd"/>
            <w:r w:rsidRPr="00047558">
              <w:rPr>
                <w:rFonts w:ascii="Calibri" w:hAnsi="Calibri"/>
                <w:b/>
                <w:bCs/>
                <w:color w:val="0000FF"/>
                <w:sz w:val="20"/>
              </w:rPr>
              <w:t xml:space="preserve">., </w:t>
            </w:r>
            <w:proofErr w:type="spellStart"/>
            <w:r w:rsidRPr="00047558">
              <w:rPr>
                <w:rFonts w:ascii="Calibri" w:hAnsi="Calibri"/>
                <w:b/>
                <w:bCs/>
                <w:color w:val="0000FF"/>
                <w:sz w:val="20"/>
              </w:rPr>
              <w:t>att</w:t>
            </w:r>
            <w:proofErr w:type="spellEnd"/>
            <w:r w:rsidRPr="00047558">
              <w:rPr>
                <w:rFonts w:ascii="Calibri" w:hAnsi="Calibri"/>
                <w:b/>
                <w:bCs/>
                <w:color w:val="0000FF"/>
                <w:sz w:val="20"/>
              </w:rPr>
              <w:t>. -</w:t>
            </w:r>
            <w:proofErr w:type="spellStart"/>
            <w:r w:rsidRPr="00047558">
              <w:rPr>
                <w:rFonts w:ascii="Calibri" w:hAnsi="Calibri"/>
                <w:b/>
                <w:bCs/>
                <w:color w:val="0000FF"/>
                <w:sz w:val="20"/>
              </w:rPr>
              <w:t>integ</w:t>
            </w:r>
            <w:proofErr w:type="spellEnd"/>
            <w:r w:rsidRPr="00047558">
              <w:rPr>
                <w:rFonts w:ascii="Calibri" w:hAnsi="Calibri"/>
                <w:b/>
                <w:bCs/>
                <w:color w:val="0000FF"/>
                <w:sz w:val="20"/>
              </w:rPr>
              <w:t xml:space="preserve">., </w:t>
            </w:r>
            <w:proofErr w:type="spellStart"/>
            <w:r w:rsidRPr="00047558">
              <w:rPr>
                <w:rFonts w:ascii="Calibri" w:hAnsi="Calibri"/>
                <w:b/>
                <w:bCs/>
                <w:color w:val="0000FF"/>
                <w:sz w:val="20"/>
              </w:rPr>
              <w:t>indip</w:t>
            </w:r>
            <w:proofErr w:type="spellEnd"/>
            <w:r w:rsidRPr="00047558">
              <w:rPr>
                <w:rFonts w:ascii="Calibri" w:hAnsi="Calibri"/>
                <w:b/>
                <w:bCs/>
                <w:color w:val="0000FF"/>
                <w:sz w:val="20"/>
              </w:rPr>
              <w:t>. (DPR)</w:t>
            </w:r>
          </w:p>
        </w:tc>
        <w:tc>
          <w:tcPr>
            <w:tcW w:w="403"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 xml:space="preserve">Reg. </w:t>
            </w:r>
            <w:proofErr w:type="spellStart"/>
            <w:r w:rsidRPr="00047558">
              <w:rPr>
                <w:rFonts w:ascii="Calibri" w:hAnsi="Calibri"/>
                <w:b/>
                <w:bCs/>
                <w:color w:val="0000FF"/>
                <w:sz w:val="20"/>
              </w:rPr>
              <w:t>delegif</w:t>
            </w:r>
            <w:proofErr w:type="spellEnd"/>
            <w:r w:rsidRPr="00047558">
              <w:rPr>
                <w:rFonts w:ascii="Calibri" w:hAnsi="Calibri"/>
                <w:b/>
                <w:bCs/>
                <w:color w:val="0000FF"/>
                <w:sz w:val="20"/>
              </w:rPr>
              <w:t>. (DPR)</w:t>
            </w:r>
          </w:p>
        </w:tc>
        <w:tc>
          <w:tcPr>
            <w:tcW w:w="421"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Reg. settoriali (DM)</w:t>
            </w:r>
          </w:p>
        </w:tc>
        <w:tc>
          <w:tcPr>
            <w:tcW w:w="533"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Regolamenti</w:t>
            </w:r>
          </w:p>
        </w:tc>
        <w:tc>
          <w:tcPr>
            <w:tcW w:w="446" w:type="pct"/>
            <w:shd w:val="clear" w:color="auto" w:fill="FFFF99"/>
            <w:hideMark/>
          </w:tcPr>
          <w:p w:rsidR="00047558" w:rsidRPr="00047558" w:rsidRDefault="00047558" w:rsidP="00047558">
            <w:pPr>
              <w:spacing w:line="240" w:lineRule="auto"/>
              <w:ind w:firstLine="0"/>
              <w:jc w:val="center"/>
              <w:rPr>
                <w:rFonts w:ascii="Calibri" w:hAnsi="Calibri"/>
                <w:b/>
                <w:bCs/>
                <w:color w:val="0000FF"/>
                <w:sz w:val="20"/>
              </w:rPr>
            </w:pPr>
            <w:r w:rsidRPr="00047558">
              <w:rPr>
                <w:rFonts w:ascii="Calibri" w:hAnsi="Calibri"/>
                <w:b/>
                <w:bCs/>
                <w:color w:val="0000FF"/>
                <w:sz w:val="20"/>
              </w:rPr>
              <w:t> </w:t>
            </w:r>
          </w:p>
        </w:tc>
      </w:tr>
      <w:tr w:rsidR="00047558" w:rsidRPr="00047558" w:rsidTr="00047558">
        <w:trPr>
          <w:gridBefore w:val="1"/>
          <w:gridAfter w:val="1"/>
          <w:wBefore w:w="4" w:type="pct"/>
          <w:wAfter w:w="6" w:type="pct"/>
          <w:trHeight w:val="315"/>
          <w:jc w:val="center"/>
        </w:trPr>
        <w:tc>
          <w:tcPr>
            <w:tcW w:w="497" w:type="pct"/>
            <w:shd w:val="clear" w:color="000000" w:fill="99CCFF"/>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63" w:anchor="data.20151111.com" w:history="1">
              <w:r w:rsidR="00047558" w:rsidRPr="00047558">
                <w:rPr>
                  <w:rFonts w:ascii="Calibri" w:hAnsi="Calibri"/>
                  <w:b/>
                  <w:bCs/>
                  <w:color w:val="0000FF"/>
                  <w:sz w:val="24"/>
                  <w:szCs w:val="24"/>
                  <w:u w:val="single"/>
                </w:rPr>
                <w:t>3393</w:t>
              </w:r>
            </w:hyperlink>
          </w:p>
        </w:tc>
        <w:tc>
          <w:tcPr>
            <w:tcW w:w="430"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7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12"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27"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59"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39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0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2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3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46" w:type="pct"/>
            <w:shd w:val="clear" w:color="auto" w:fill="auto"/>
            <w:vAlign w:val="center"/>
            <w:hideMark/>
          </w:tcPr>
          <w:p w:rsidR="00047558" w:rsidRPr="00047558" w:rsidRDefault="00DC78AD" w:rsidP="00047558">
            <w:pPr>
              <w:spacing w:line="240" w:lineRule="auto"/>
              <w:ind w:firstLine="0"/>
              <w:jc w:val="center"/>
              <w:rPr>
                <w:rFonts w:ascii="Calibri" w:hAnsi="Calibri"/>
                <w:b/>
                <w:bCs/>
                <w:color w:val="0000FF"/>
                <w:szCs w:val="22"/>
                <w:u w:val="single"/>
              </w:rPr>
            </w:pPr>
            <w:hyperlink r:id="rId264" w:history="1">
              <w:r w:rsidR="00047558" w:rsidRPr="00047558">
                <w:rPr>
                  <w:rFonts w:ascii="Calibri" w:hAnsi="Calibri"/>
                  <w:b/>
                  <w:bCs/>
                  <w:color w:val="0000FF"/>
                  <w:szCs w:val="22"/>
                  <w:u w:val="single"/>
                </w:rPr>
                <w:t>0001</w:t>
              </w:r>
            </w:hyperlink>
          </w:p>
        </w:tc>
      </w:tr>
      <w:tr w:rsidR="00047558" w:rsidRPr="00047558" w:rsidTr="00047558">
        <w:trPr>
          <w:gridBefore w:val="1"/>
          <w:gridAfter w:val="1"/>
          <w:wBefore w:w="4" w:type="pct"/>
          <w:wAfter w:w="6" w:type="pct"/>
          <w:trHeight w:val="315"/>
          <w:jc w:val="center"/>
        </w:trPr>
        <w:tc>
          <w:tcPr>
            <w:tcW w:w="497" w:type="pct"/>
            <w:shd w:val="clear" w:color="000000" w:fill="99CCFF"/>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65" w:anchor="data.20151218.com" w:history="1">
              <w:r w:rsidR="00047558" w:rsidRPr="00047558">
                <w:rPr>
                  <w:rFonts w:ascii="Calibri" w:hAnsi="Calibri"/>
                  <w:b/>
                  <w:bCs/>
                  <w:color w:val="0000FF"/>
                  <w:sz w:val="24"/>
                  <w:szCs w:val="24"/>
                  <w:u w:val="single"/>
                </w:rPr>
                <w:t>3495</w:t>
              </w:r>
            </w:hyperlink>
          </w:p>
        </w:tc>
        <w:tc>
          <w:tcPr>
            <w:tcW w:w="43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7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12"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527"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59"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39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0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2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3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46" w:type="pct"/>
            <w:shd w:val="clear" w:color="auto" w:fill="auto"/>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66" w:history="1">
              <w:r w:rsidR="00047558" w:rsidRPr="00047558">
                <w:rPr>
                  <w:rFonts w:ascii="Calibri" w:hAnsi="Calibri"/>
                  <w:b/>
                  <w:bCs/>
                  <w:color w:val="0000FF"/>
                  <w:sz w:val="24"/>
                  <w:szCs w:val="24"/>
                  <w:u w:val="single"/>
                </w:rPr>
                <w:t>0004</w:t>
              </w:r>
            </w:hyperlink>
          </w:p>
        </w:tc>
      </w:tr>
      <w:tr w:rsidR="00047558" w:rsidRPr="00047558" w:rsidTr="00047558">
        <w:trPr>
          <w:gridBefore w:val="1"/>
          <w:gridAfter w:val="1"/>
          <w:wBefore w:w="4" w:type="pct"/>
          <w:wAfter w:w="6" w:type="pct"/>
          <w:trHeight w:val="315"/>
          <w:jc w:val="center"/>
        </w:trPr>
        <w:tc>
          <w:tcPr>
            <w:tcW w:w="497" w:type="pct"/>
            <w:shd w:val="clear" w:color="000000" w:fill="99CCFF"/>
            <w:vAlign w:val="center"/>
            <w:hideMark/>
          </w:tcPr>
          <w:p w:rsidR="00047558" w:rsidRPr="00047558" w:rsidRDefault="00047558" w:rsidP="00047558">
            <w:pPr>
              <w:spacing w:line="240" w:lineRule="auto"/>
              <w:ind w:firstLine="0"/>
              <w:jc w:val="center"/>
              <w:rPr>
                <w:rFonts w:ascii="Calibri" w:hAnsi="Calibri"/>
                <w:b/>
                <w:bCs/>
                <w:color w:val="0000FF"/>
                <w:sz w:val="24"/>
                <w:szCs w:val="24"/>
                <w:u w:val="single"/>
              </w:rPr>
            </w:pPr>
            <w:r w:rsidRPr="00047558">
              <w:rPr>
                <w:rFonts w:ascii="Calibri" w:hAnsi="Calibri"/>
                <w:b/>
                <w:bCs/>
                <w:color w:val="0000FF"/>
                <w:sz w:val="24"/>
                <w:szCs w:val="24"/>
                <w:u w:val="single"/>
              </w:rPr>
              <w:t>3119</w:t>
            </w:r>
          </w:p>
        </w:tc>
        <w:tc>
          <w:tcPr>
            <w:tcW w:w="43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7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12"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27"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59"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39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03"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2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3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46" w:type="pct"/>
            <w:shd w:val="clear" w:color="auto" w:fill="auto"/>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67" w:history="1">
              <w:r w:rsidR="00047558" w:rsidRPr="00047558">
                <w:rPr>
                  <w:rFonts w:ascii="Calibri" w:hAnsi="Calibri"/>
                  <w:b/>
                  <w:bCs/>
                  <w:color w:val="0000FF"/>
                  <w:sz w:val="24"/>
                  <w:szCs w:val="24"/>
                  <w:u w:val="single"/>
                </w:rPr>
                <w:t>0008</w:t>
              </w:r>
            </w:hyperlink>
          </w:p>
        </w:tc>
      </w:tr>
      <w:tr w:rsidR="00047558" w:rsidRPr="00047558" w:rsidTr="00047558">
        <w:trPr>
          <w:gridBefore w:val="1"/>
          <w:gridAfter w:val="1"/>
          <w:wBefore w:w="4" w:type="pct"/>
          <w:wAfter w:w="6" w:type="pct"/>
          <w:trHeight w:val="315"/>
          <w:jc w:val="center"/>
        </w:trPr>
        <w:tc>
          <w:tcPr>
            <w:tcW w:w="497" w:type="pct"/>
            <w:shd w:val="clear" w:color="000000" w:fill="99CCFF"/>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68" w:anchor="data.20160224.com" w:history="1">
              <w:r w:rsidR="00047558" w:rsidRPr="00047558">
                <w:rPr>
                  <w:rFonts w:ascii="Calibri" w:hAnsi="Calibri"/>
                  <w:b/>
                  <w:bCs/>
                  <w:color w:val="0000FF"/>
                  <w:sz w:val="24"/>
                  <w:szCs w:val="24"/>
                  <w:u w:val="single"/>
                </w:rPr>
                <w:t>3606</w:t>
              </w:r>
            </w:hyperlink>
          </w:p>
        </w:tc>
        <w:tc>
          <w:tcPr>
            <w:tcW w:w="43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7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12"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27"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59"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39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03"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21"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53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46" w:type="pct"/>
            <w:shd w:val="clear" w:color="auto" w:fill="auto"/>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69" w:history="1">
              <w:r w:rsidR="00047558" w:rsidRPr="00047558">
                <w:rPr>
                  <w:rFonts w:ascii="Calibri" w:hAnsi="Calibri"/>
                  <w:b/>
                  <w:bCs/>
                  <w:color w:val="0000FF"/>
                  <w:sz w:val="24"/>
                  <w:szCs w:val="24"/>
                  <w:u w:val="single"/>
                </w:rPr>
                <w:t>0009</w:t>
              </w:r>
            </w:hyperlink>
          </w:p>
        </w:tc>
      </w:tr>
      <w:tr w:rsidR="00047558" w:rsidRPr="00047558" w:rsidTr="00047558">
        <w:trPr>
          <w:gridBefore w:val="1"/>
          <w:gridAfter w:val="1"/>
          <w:wBefore w:w="4" w:type="pct"/>
          <w:wAfter w:w="6" w:type="pct"/>
          <w:trHeight w:val="315"/>
          <w:jc w:val="center"/>
        </w:trPr>
        <w:tc>
          <w:tcPr>
            <w:tcW w:w="497" w:type="pct"/>
            <w:shd w:val="clear" w:color="000000" w:fill="99CCFF"/>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0" w:anchor="data.20160224.com" w:history="1">
              <w:r w:rsidR="00047558" w:rsidRPr="00047558">
                <w:rPr>
                  <w:rFonts w:ascii="Calibri" w:hAnsi="Calibri"/>
                  <w:b/>
                  <w:bCs/>
                  <w:color w:val="0000FF"/>
                  <w:sz w:val="24"/>
                  <w:szCs w:val="24"/>
                  <w:u w:val="single"/>
                </w:rPr>
                <w:t>2039 NT</w:t>
              </w:r>
            </w:hyperlink>
          </w:p>
        </w:tc>
        <w:tc>
          <w:tcPr>
            <w:tcW w:w="43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7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12"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27"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59"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39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0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21"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53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46" w:type="pct"/>
            <w:shd w:val="clear" w:color="auto" w:fill="auto"/>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1" w:history="1">
              <w:r w:rsidR="00047558" w:rsidRPr="00047558">
                <w:rPr>
                  <w:rFonts w:ascii="Calibri" w:hAnsi="Calibri"/>
                  <w:b/>
                  <w:bCs/>
                  <w:color w:val="0000FF"/>
                  <w:sz w:val="24"/>
                  <w:szCs w:val="24"/>
                  <w:u w:val="single"/>
                </w:rPr>
                <w:t>0010</w:t>
              </w:r>
            </w:hyperlink>
          </w:p>
        </w:tc>
      </w:tr>
      <w:tr w:rsidR="00047558" w:rsidRPr="00047558" w:rsidTr="00047558">
        <w:trPr>
          <w:gridBefore w:val="1"/>
          <w:gridAfter w:val="1"/>
          <w:wBefore w:w="4" w:type="pct"/>
          <w:wAfter w:w="6" w:type="pct"/>
          <w:trHeight w:val="315"/>
          <w:jc w:val="center"/>
        </w:trPr>
        <w:tc>
          <w:tcPr>
            <w:tcW w:w="497" w:type="pct"/>
            <w:shd w:val="clear" w:color="000000" w:fill="99CCFF"/>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2" w:anchor="data.20160518.com" w:history="1">
              <w:r w:rsidR="00047558" w:rsidRPr="00047558">
                <w:rPr>
                  <w:rFonts w:ascii="Calibri" w:hAnsi="Calibri"/>
                  <w:b/>
                  <w:bCs/>
                  <w:color w:val="0000FF"/>
                  <w:sz w:val="24"/>
                  <w:szCs w:val="24"/>
                  <w:u w:val="single"/>
                </w:rPr>
                <w:t>3822</w:t>
              </w:r>
            </w:hyperlink>
          </w:p>
        </w:tc>
        <w:tc>
          <w:tcPr>
            <w:tcW w:w="43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7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12"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527"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59"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39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0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2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33"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46" w:type="pct"/>
            <w:shd w:val="clear" w:color="auto" w:fill="auto"/>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3" w:history="1">
              <w:r w:rsidR="00047558" w:rsidRPr="00047558">
                <w:rPr>
                  <w:rFonts w:ascii="Calibri" w:hAnsi="Calibri"/>
                  <w:b/>
                  <w:bCs/>
                  <w:color w:val="0000FF"/>
                  <w:sz w:val="24"/>
                  <w:szCs w:val="24"/>
                  <w:u w:val="single"/>
                </w:rPr>
                <w:t>0016</w:t>
              </w:r>
            </w:hyperlink>
          </w:p>
        </w:tc>
      </w:tr>
      <w:tr w:rsidR="00047558" w:rsidRPr="00047558" w:rsidTr="00047558">
        <w:trPr>
          <w:gridBefore w:val="1"/>
          <w:gridAfter w:val="1"/>
          <w:wBefore w:w="4" w:type="pct"/>
          <w:wAfter w:w="6" w:type="pct"/>
          <w:trHeight w:val="315"/>
          <w:jc w:val="center"/>
        </w:trPr>
        <w:tc>
          <w:tcPr>
            <w:tcW w:w="497" w:type="pct"/>
            <w:shd w:val="clear" w:color="000000" w:fill="99CCFF"/>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4" w:anchor="data.20160621.com" w:history="1">
              <w:r w:rsidR="00047558" w:rsidRPr="00047558">
                <w:rPr>
                  <w:rFonts w:ascii="Calibri" w:hAnsi="Calibri"/>
                  <w:b/>
                  <w:bCs/>
                  <w:color w:val="0000FF"/>
                  <w:sz w:val="24"/>
                  <w:szCs w:val="24"/>
                  <w:u w:val="single"/>
                </w:rPr>
                <w:t>3821</w:t>
              </w:r>
            </w:hyperlink>
          </w:p>
        </w:tc>
        <w:tc>
          <w:tcPr>
            <w:tcW w:w="43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7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12"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27"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59"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390"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0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2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33"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46" w:type="pct"/>
            <w:shd w:val="clear" w:color="auto" w:fill="auto"/>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5" w:history="1">
              <w:r w:rsidR="00047558" w:rsidRPr="00047558">
                <w:rPr>
                  <w:rFonts w:ascii="Calibri" w:hAnsi="Calibri"/>
                  <w:b/>
                  <w:bCs/>
                  <w:color w:val="0000FF"/>
                  <w:sz w:val="24"/>
                  <w:szCs w:val="24"/>
                  <w:u w:val="single"/>
                </w:rPr>
                <w:t>0020</w:t>
              </w:r>
            </w:hyperlink>
          </w:p>
        </w:tc>
      </w:tr>
      <w:tr w:rsidR="00047558" w:rsidRPr="00047558" w:rsidTr="00047558">
        <w:trPr>
          <w:gridBefore w:val="1"/>
          <w:gridAfter w:val="1"/>
          <w:wBefore w:w="4" w:type="pct"/>
          <w:wAfter w:w="6" w:type="pct"/>
          <w:trHeight w:val="315"/>
          <w:jc w:val="center"/>
        </w:trPr>
        <w:tc>
          <w:tcPr>
            <w:tcW w:w="497" w:type="pct"/>
            <w:shd w:val="clear" w:color="000000" w:fill="99CCFF"/>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6" w:anchor="data.20160622.com" w:history="1">
              <w:r w:rsidR="00047558" w:rsidRPr="00047558">
                <w:rPr>
                  <w:rFonts w:ascii="Calibri" w:hAnsi="Calibri"/>
                  <w:b/>
                  <w:bCs/>
                  <w:color w:val="0000FF"/>
                  <w:sz w:val="24"/>
                  <w:szCs w:val="24"/>
                  <w:u w:val="single"/>
                </w:rPr>
                <w:t>3886</w:t>
              </w:r>
            </w:hyperlink>
          </w:p>
        </w:tc>
        <w:tc>
          <w:tcPr>
            <w:tcW w:w="43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7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12"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27"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59"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39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03"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2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3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46" w:type="pct"/>
            <w:shd w:val="clear" w:color="auto" w:fill="auto"/>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7" w:history="1">
              <w:r w:rsidR="00047558" w:rsidRPr="00047558">
                <w:rPr>
                  <w:rFonts w:ascii="Calibri" w:hAnsi="Calibri"/>
                  <w:b/>
                  <w:bCs/>
                  <w:color w:val="0000FF"/>
                  <w:sz w:val="24"/>
                  <w:szCs w:val="24"/>
                  <w:u w:val="single"/>
                </w:rPr>
                <w:t>0022</w:t>
              </w:r>
            </w:hyperlink>
          </w:p>
        </w:tc>
      </w:tr>
      <w:tr w:rsidR="00047558" w:rsidRPr="00047558" w:rsidTr="00047558">
        <w:trPr>
          <w:gridBefore w:val="1"/>
          <w:gridAfter w:val="1"/>
          <w:wBefore w:w="4" w:type="pct"/>
          <w:wAfter w:w="6" w:type="pct"/>
          <w:trHeight w:val="315"/>
          <w:jc w:val="center"/>
        </w:trPr>
        <w:tc>
          <w:tcPr>
            <w:tcW w:w="497" w:type="pct"/>
            <w:shd w:val="clear" w:color="000000" w:fill="99CCFF"/>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8" w:anchor="data.20160705.com" w:history="1">
              <w:r w:rsidR="00047558" w:rsidRPr="00047558">
                <w:rPr>
                  <w:rFonts w:ascii="Calibri" w:hAnsi="Calibri"/>
                  <w:b/>
                  <w:bCs/>
                  <w:color w:val="0000FF"/>
                  <w:sz w:val="24"/>
                  <w:szCs w:val="24"/>
                  <w:u w:val="single"/>
                </w:rPr>
                <w:t>3953</w:t>
              </w:r>
            </w:hyperlink>
          </w:p>
        </w:tc>
        <w:tc>
          <w:tcPr>
            <w:tcW w:w="430"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47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12"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527"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59" w:type="pct"/>
            <w:shd w:val="clear" w:color="000000" w:fill="FFFFCC"/>
            <w:vAlign w:val="center"/>
            <w:hideMark/>
          </w:tcPr>
          <w:p w:rsidR="00047558" w:rsidRPr="00047558" w:rsidRDefault="00047558" w:rsidP="00047558">
            <w:pPr>
              <w:spacing w:line="240" w:lineRule="auto"/>
              <w:ind w:firstLine="0"/>
              <w:jc w:val="center"/>
              <w:rPr>
                <w:rFonts w:ascii="Calibri" w:hAnsi="Calibri"/>
                <w:b/>
                <w:bCs/>
                <w:color w:val="FF0000"/>
                <w:szCs w:val="22"/>
              </w:rPr>
            </w:pPr>
            <w:r w:rsidRPr="00047558">
              <w:rPr>
                <w:rFonts w:ascii="Calibri" w:hAnsi="Calibri"/>
                <w:b/>
                <w:bCs/>
                <w:color w:val="FF0000"/>
                <w:szCs w:val="22"/>
              </w:rPr>
              <w:t>SI</w:t>
            </w:r>
          </w:p>
        </w:tc>
        <w:tc>
          <w:tcPr>
            <w:tcW w:w="390"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0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21"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533" w:type="pct"/>
            <w:shd w:val="clear" w:color="auto" w:fill="auto"/>
            <w:vAlign w:val="center"/>
            <w:hideMark/>
          </w:tcPr>
          <w:p w:rsidR="00047558" w:rsidRPr="00047558" w:rsidRDefault="00047558" w:rsidP="00047558">
            <w:pPr>
              <w:spacing w:line="240" w:lineRule="auto"/>
              <w:ind w:firstLine="0"/>
              <w:jc w:val="center"/>
              <w:rPr>
                <w:rFonts w:ascii="Calibri" w:hAnsi="Calibri"/>
                <w:b/>
                <w:bCs/>
                <w:szCs w:val="22"/>
              </w:rPr>
            </w:pPr>
            <w:r w:rsidRPr="00047558">
              <w:rPr>
                <w:rFonts w:ascii="Calibri" w:hAnsi="Calibri"/>
                <w:b/>
                <w:bCs/>
                <w:szCs w:val="22"/>
              </w:rPr>
              <w:t>NO</w:t>
            </w:r>
          </w:p>
        </w:tc>
        <w:tc>
          <w:tcPr>
            <w:tcW w:w="446" w:type="pct"/>
            <w:shd w:val="clear" w:color="auto" w:fill="auto"/>
            <w:vAlign w:val="center"/>
            <w:hideMark/>
          </w:tcPr>
          <w:p w:rsidR="00047558" w:rsidRPr="00047558" w:rsidRDefault="00DC78AD" w:rsidP="00047558">
            <w:pPr>
              <w:spacing w:line="240" w:lineRule="auto"/>
              <w:ind w:firstLine="0"/>
              <w:jc w:val="center"/>
              <w:rPr>
                <w:rFonts w:ascii="Calibri" w:hAnsi="Calibri"/>
                <w:b/>
                <w:bCs/>
                <w:color w:val="0000FF"/>
                <w:sz w:val="24"/>
                <w:szCs w:val="24"/>
                <w:u w:val="single"/>
              </w:rPr>
            </w:pPr>
            <w:hyperlink r:id="rId279" w:history="1">
              <w:r w:rsidR="00047558" w:rsidRPr="00047558">
                <w:rPr>
                  <w:rFonts w:ascii="Calibri" w:hAnsi="Calibri"/>
                  <w:b/>
                  <w:bCs/>
                  <w:color w:val="0000FF"/>
                  <w:sz w:val="24"/>
                  <w:szCs w:val="24"/>
                  <w:u w:val="single"/>
                </w:rPr>
                <w:t>0024</w:t>
              </w:r>
            </w:hyperlink>
          </w:p>
        </w:tc>
      </w:tr>
    </w:tbl>
    <w:p w:rsidR="00047558" w:rsidRDefault="00047558" w:rsidP="00BF7BFE"/>
    <w:p w:rsidR="00047558" w:rsidRPr="003505A6" w:rsidRDefault="00047558" w:rsidP="00BF7BFE"/>
    <w:p w:rsidR="00332C22" w:rsidRPr="003505A6" w:rsidRDefault="00332C22" w:rsidP="00BF7BFE">
      <w:pPr>
        <w:sectPr w:rsidR="00332C22" w:rsidRPr="003505A6" w:rsidSect="00332C22">
          <w:headerReference w:type="even" r:id="rId280"/>
          <w:headerReference w:type="default" r:id="rId281"/>
          <w:footerReference w:type="even" r:id="rId282"/>
          <w:footerReference w:type="default" r:id="rId283"/>
          <w:headerReference w:type="first" r:id="rId284"/>
          <w:footerReference w:type="first" r:id="rId285"/>
          <w:pgSz w:w="16838" w:h="11906" w:orient="landscape" w:code="9"/>
          <w:pgMar w:top="1418" w:right="1418" w:bottom="1418" w:left="1134" w:header="567" w:footer="567" w:gutter="0"/>
          <w:cols w:space="708"/>
          <w:docGrid w:linePitch="360"/>
        </w:sectPr>
      </w:pPr>
    </w:p>
    <w:p w:rsidR="00332C22" w:rsidRPr="003505A6" w:rsidRDefault="00332C22" w:rsidP="00BF7BFE"/>
    <w:p w:rsidR="00332C22" w:rsidRDefault="00332C22" w:rsidP="00AA5B8B">
      <w:pPr>
        <w:pStyle w:val="Titolo2"/>
        <w:rPr>
          <w:rFonts w:ascii="Garamond" w:hAnsi="Garamond"/>
          <w:color w:val="0000FF"/>
          <w:sz w:val="32"/>
          <w:szCs w:val="32"/>
        </w:rPr>
      </w:pPr>
      <w:bookmarkStart w:id="89" w:name="_Toc458677988"/>
      <w:bookmarkStart w:id="90" w:name="TABELLA06"/>
      <w:r w:rsidRPr="003505A6">
        <w:rPr>
          <w:rFonts w:ascii="Garamond" w:hAnsi="Garamond"/>
          <w:color w:val="0000FF"/>
          <w:sz w:val="32"/>
          <w:szCs w:val="32"/>
        </w:rPr>
        <w:t>TAB. 6 “DISPOSIZIONI DI DELEGA”</w:t>
      </w:r>
      <w:bookmarkEnd w:id="89"/>
    </w:p>
    <w:bookmarkEnd w:id="90"/>
    <w:p w:rsidR="00AA5B8B" w:rsidRDefault="00AA5B8B" w:rsidP="00AA5B8B"/>
    <w:tbl>
      <w:tblPr>
        <w:tblW w:w="5000" w:type="pct"/>
        <w:tblCellMar>
          <w:left w:w="70" w:type="dxa"/>
          <w:right w:w="70" w:type="dxa"/>
        </w:tblCellMar>
        <w:tblLook w:val="04A0" w:firstRow="1" w:lastRow="0" w:firstColumn="1" w:lastColumn="0" w:noHBand="0" w:noVBand="1"/>
      </w:tblPr>
      <w:tblGrid>
        <w:gridCol w:w="701"/>
        <w:gridCol w:w="1016"/>
        <w:gridCol w:w="815"/>
        <w:gridCol w:w="1680"/>
        <w:gridCol w:w="855"/>
        <w:gridCol w:w="966"/>
        <w:gridCol w:w="1140"/>
        <w:gridCol w:w="763"/>
        <w:gridCol w:w="1142"/>
        <w:gridCol w:w="700"/>
      </w:tblGrid>
      <w:tr w:rsidR="00AA5B8B" w:rsidRPr="00AA5B8B" w:rsidTr="00AA5B8B">
        <w:trPr>
          <w:trHeight w:val="795"/>
        </w:trPr>
        <w:tc>
          <w:tcPr>
            <w:tcW w:w="5000" w:type="pct"/>
            <w:gridSpan w:val="10"/>
            <w:tcBorders>
              <w:top w:val="single" w:sz="8" w:space="0" w:color="auto"/>
              <w:left w:val="single" w:sz="8" w:space="0" w:color="auto"/>
              <w:bottom w:val="single" w:sz="8" w:space="0" w:color="auto"/>
              <w:right w:val="single" w:sz="8" w:space="0" w:color="000000"/>
            </w:tcBorders>
            <w:shd w:val="clear" w:color="000000" w:fill="CC99FF"/>
            <w:noWrap/>
            <w:vAlign w:val="center"/>
            <w:hideMark/>
          </w:tcPr>
          <w:p w:rsidR="00AA5B8B" w:rsidRPr="00AA5B8B" w:rsidRDefault="00AA5B8B" w:rsidP="00AA5B8B">
            <w:pPr>
              <w:spacing w:line="240" w:lineRule="auto"/>
              <w:ind w:firstLine="0"/>
              <w:jc w:val="center"/>
              <w:rPr>
                <w:rFonts w:ascii="Calibri" w:hAnsi="Calibri"/>
                <w:b/>
                <w:bCs/>
                <w:color w:val="FFFFFF"/>
                <w:sz w:val="32"/>
                <w:szCs w:val="32"/>
              </w:rPr>
            </w:pPr>
            <w:r w:rsidRPr="00AA5B8B">
              <w:rPr>
                <w:rFonts w:ascii="Calibri" w:hAnsi="Calibri"/>
                <w:b/>
                <w:bCs/>
                <w:color w:val="FFFFFF"/>
                <w:sz w:val="32"/>
                <w:szCs w:val="32"/>
              </w:rPr>
              <w:t>DISPOSIZIONI DI DELEGA</w:t>
            </w:r>
          </w:p>
        </w:tc>
      </w:tr>
      <w:tr w:rsidR="00AA5B8B" w:rsidRPr="00FF237F" w:rsidTr="00AA5B8B">
        <w:trPr>
          <w:trHeight w:val="1905"/>
        </w:trPr>
        <w:tc>
          <w:tcPr>
            <w:tcW w:w="306" w:type="pct"/>
            <w:tcBorders>
              <w:top w:val="nil"/>
              <w:left w:val="single" w:sz="8" w:space="0" w:color="auto"/>
              <w:bottom w:val="single" w:sz="8" w:space="0" w:color="auto"/>
              <w:right w:val="nil"/>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r w:rsidRPr="00982103">
              <w:rPr>
                <w:rFonts w:ascii="Calibri" w:hAnsi="Calibri"/>
                <w:b/>
                <w:bCs/>
                <w:color w:val="FFFFFF"/>
                <w:sz w:val="19"/>
                <w:szCs w:val="19"/>
              </w:rPr>
              <w:t>AC</w:t>
            </w:r>
          </w:p>
        </w:tc>
        <w:tc>
          <w:tcPr>
            <w:tcW w:w="444" w:type="pct"/>
            <w:tcBorders>
              <w:top w:val="nil"/>
              <w:left w:val="single" w:sz="8" w:space="0" w:color="auto"/>
              <w:bottom w:val="single" w:sz="8" w:space="0" w:color="auto"/>
              <w:right w:val="single" w:sz="8" w:space="0" w:color="auto"/>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r w:rsidRPr="00982103">
              <w:rPr>
                <w:rFonts w:ascii="Calibri" w:hAnsi="Calibri"/>
                <w:b/>
                <w:bCs/>
                <w:color w:val="FFFFFF"/>
                <w:sz w:val="19"/>
                <w:szCs w:val="19"/>
              </w:rPr>
              <w:t>Forma Atto</w:t>
            </w:r>
          </w:p>
        </w:tc>
        <w:tc>
          <w:tcPr>
            <w:tcW w:w="433" w:type="pct"/>
            <w:tcBorders>
              <w:top w:val="nil"/>
              <w:left w:val="nil"/>
              <w:bottom w:val="single" w:sz="8" w:space="0" w:color="auto"/>
              <w:right w:val="single" w:sz="4" w:space="0" w:color="auto"/>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r w:rsidRPr="00982103">
              <w:rPr>
                <w:rFonts w:ascii="Calibri" w:hAnsi="Calibri"/>
                <w:b/>
                <w:bCs/>
                <w:color w:val="FFFFFF"/>
                <w:sz w:val="19"/>
                <w:szCs w:val="19"/>
              </w:rPr>
              <w:t>Nuove Deleghe</w:t>
            </w:r>
          </w:p>
        </w:tc>
        <w:tc>
          <w:tcPr>
            <w:tcW w:w="875" w:type="pct"/>
            <w:tcBorders>
              <w:top w:val="nil"/>
              <w:left w:val="nil"/>
              <w:bottom w:val="single" w:sz="8" w:space="0" w:color="auto"/>
              <w:right w:val="single" w:sz="4" w:space="0" w:color="auto"/>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proofErr w:type="spellStart"/>
            <w:r w:rsidRPr="00982103">
              <w:rPr>
                <w:rFonts w:ascii="Calibri" w:hAnsi="Calibri"/>
                <w:b/>
                <w:bCs/>
                <w:color w:val="FFFFFF"/>
                <w:sz w:val="19"/>
                <w:szCs w:val="19"/>
              </w:rPr>
              <w:t>Princ</w:t>
            </w:r>
            <w:proofErr w:type="spellEnd"/>
            <w:r w:rsidRPr="00982103">
              <w:rPr>
                <w:rFonts w:ascii="Calibri" w:hAnsi="Calibri"/>
                <w:b/>
                <w:bCs/>
                <w:color w:val="FFFFFF"/>
                <w:sz w:val="19"/>
                <w:szCs w:val="19"/>
              </w:rPr>
              <w:t>. e criteri dir. Generici/mancanti</w:t>
            </w:r>
          </w:p>
        </w:tc>
        <w:tc>
          <w:tcPr>
            <w:tcW w:w="453" w:type="pct"/>
            <w:tcBorders>
              <w:top w:val="nil"/>
              <w:left w:val="nil"/>
              <w:bottom w:val="single" w:sz="8" w:space="0" w:color="auto"/>
              <w:right w:val="single" w:sz="4" w:space="0" w:color="auto"/>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proofErr w:type="spellStart"/>
            <w:r w:rsidRPr="00982103">
              <w:rPr>
                <w:rFonts w:ascii="Calibri" w:hAnsi="Calibri"/>
                <w:b/>
                <w:bCs/>
                <w:color w:val="FFFFFF"/>
                <w:sz w:val="19"/>
                <w:szCs w:val="19"/>
              </w:rPr>
              <w:t>Sovrapp</w:t>
            </w:r>
            <w:proofErr w:type="spellEnd"/>
            <w:r w:rsidRPr="00982103">
              <w:rPr>
                <w:rFonts w:ascii="Calibri" w:hAnsi="Calibri"/>
                <w:b/>
                <w:bCs/>
                <w:color w:val="FFFFFF"/>
                <w:sz w:val="19"/>
                <w:szCs w:val="19"/>
              </w:rPr>
              <w:t xml:space="preserve">. tra </w:t>
            </w:r>
            <w:proofErr w:type="spellStart"/>
            <w:r w:rsidRPr="00982103">
              <w:rPr>
                <w:rFonts w:ascii="Calibri" w:hAnsi="Calibri"/>
                <w:b/>
                <w:bCs/>
                <w:color w:val="FFFFFF"/>
                <w:sz w:val="19"/>
                <w:szCs w:val="19"/>
              </w:rPr>
              <w:t>princ</w:t>
            </w:r>
            <w:proofErr w:type="spellEnd"/>
            <w:r w:rsidRPr="00982103">
              <w:rPr>
                <w:rFonts w:ascii="Calibri" w:hAnsi="Calibri"/>
                <w:b/>
                <w:bCs/>
                <w:color w:val="FFFFFF"/>
                <w:sz w:val="19"/>
                <w:szCs w:val="19"/>
              </w:rPr>
              <w:t xml:space="preserve">., </w:t>
            </w:r>
            <w:proofErr w:type="spellStart"/>
            <w:r w:rsidRPr="00982103">
              <w:rPr>
                <w:rFonts w:ascii="Calibri" w:hAnsi="Calibri"/>
                <w:b/>
                <w:bCs/>
                <w:color w:val="FFFFFF"/>
                <w:sz w:val="19"/>
                <w:szCs w:val="19"/>
              </w:rPr>
              <w:t>crit</w:t>
            </w:r>
            <w:proofErr w:type="spellEnd"/>
            <w:r w:rsidRPr="00982103">
              <w:rPr>
                <w:rFonts w:ascii="Calibri" w:hAnsi="Calibri"/>
                <w:b/>
                <w:bCs/>
                <w:color w:val="FFFFFF"/>
                <w:sz w:val="19"/>
                <w:szCs w:val="19"/>
              </w:rPr>
              <w:t>. e ogg. delega</w:t>
            </w:r>
          </w:p>
        </w:tc>
        <w:tc>
          <w:tcPr>
            <w:tcW w:w="510" w:type="pct"/>
            <w:tcBorders>
              <w:top w:val="nil"/>
              <w:left w:val="nil"/>
              <w:bottom w:val="single" w:sz="8" w:space="0" w:color="auto"/>
              <w:right w:val="single" w:sz="4" w:space="0" w:color="auto"/>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r w:rsidRPr="00982103">
              <w:rPr>
                <w:rFonts w:ascii="Calibri" w:hAnsi="Calibri"/>
                <w:b/>
                <w:bCs/>
                <w:color w:val="FFFFFF"/>
                <w:sz w:val="19"/>
                <w:szCs w:val="19"/>
              </w:rPr>
              <w:t>Procedure di delega</w:t>
            </w:r>
          </w:p>
        </w:tc>
        <w:tc>
          <w:tcPr>
            <w:tcW w:w="599" w:type="pct"/>
            <w:tcBorders>
              <w:top w:val="nil"/>
              <w:left w:val="nil"/>
              <w:bottom w:val="single" w:sz="8" w:space="0" w:color="auto"/>
              <w:right w:val="single" w:sz="4" w:space="0" w:color="auto"/>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r w:rsidRPr="00982103">
              <w:rPr>
                <w:rFonts w:ascii="Calibri" w:hAnsi="Calibri"/>
                <w:b/>
                <w:bCs/>
                <w:color w:val="FFFFFF"/>
                <w:sz w:val="19"/>
                <w:szCs w:val="19"/>
              </w:rPr>
              <w:t>Scorrimento</w:t>
            </w:r>
          </w:p>
        </w:tc>
        <w:tc>
          <w:tcPr>
            <w:tcW w:w="406" w:type="pct"/>
            <w:tcBorders>
              <w:top w:val="nil"/>
              <w:left w:val="nil"/>
              <w:bottom w:val="single" w:sz="8" w:space="0" w:color="auto"/>
              <w:right w:val="single" w:sz="4" w:space="0" w:color="auto"/>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r w:rsidRPr="00982103">
              <w:rPr>
                <w:rFonts w:ascii="Calibri" w:hAnsi="Calibri"/>
                <w:b/>
                <w:bCs/>
                <w:color w:val="FFFFFF"/>
                <w:sz w:val="19"/>
                <w:szCs w:val="19"/>
              </w:rPr>
              <w:t xml:space="preserve">Proroga o </w:t>
            </w:r>
            <w:proofErr w:type="spellStart"/>
            <w:r w:rsidRPr="00982103">
              <w:rPr>
                <w:rFonts w:ascii="Calibri" w:hAnsi="Calibri"/>
                <w:b/>
                <w:bCs/>
                <w:color w:val="FFFFFF"/>
                <w:sz w:val="19"/>
                <w:szCs w:val="19"/>
              </w:rPr>
              <w:t>Diff</w:t>
            </w:r>
            <w:proofErr w:type="spellEnd"/>
            <w:r w:rsidRPr="00982103">
              <w:rPr>
                <w:rFonts w:ascii="Calibri" w:hAnsi="Calibri"/>
                <w:b/>
                <w:bCs/>
                <w:color w:val="FFFFFF"/>
                <w:sz w:val="19"/>
                <w:szCs w:val="19"/>
              </w:rPr>
              <w:t>. Termini</w:t>
            </w:r>
          </w:p>
        </w:tc>
        <w:tc>
          <w:tcPr>
            <w:tcW w:w="600" w:type="pct"/>
            <w:tcBorders>
              <w:top w:val="nil"/>
              <w:left w:val="nil"/>
              <w:bottom w:val="single" w:sz="8" w:space="0" w:color="auto"/>
              <w:right w:val="single" w:sz="8" w:space="0" w:color="auto"/>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r w:rsidRPr="00982103">
              <w:rPr>
                <w:rFonts w:ascii="Calibri" w:hAnsi="Calibri"/>
                <w:b/>
                <w:bCs/>
                <w:color w:val="FFFFFF"/>
                <w:sz w:val="19"/>
                <w:szCs w:val="19"/>
              </w:rPr>
              <w:t>Rif. ad eventualità e opzioni selezionabili</w:t>
            </w:r>
          </w:p>
        </w:tc>
        <w:tc>
          <w:tcPr>
            <w:tcW w:w="373" w:type="pct"/>
            <w:tcBorders>
              <w:top w:val="nil"/>
              <w:left w:val="nil"/>
              <w:bottom w:val="single" w:sz="8" w:space="0" w:color="auto"/>
              <w:right w:val="single" w:sz="8" w:space="0" w:color="auto"/>
            </w:tcBorders>
            <w:shd w:val="clear" w:color="000000" w:fill="CC99FF"/>
            <w:vAlign w:val="center"/>
            <w:hideMark/>
          </w:tcPr>
          <w:p w:rsidR="00AA5B8B" w:rsidRPr="00982103" w:rsidRDefault="00AA5B8B" w:rsidP="00982103">
            <w:pPr>
              <w:spacing w:line="240" w:lineRule="auto"/>
              <w:ind w:right="-18" w:firstLine="0"/>
              <w:jc w:val="center"/>
              <w:rPr>
                <w:rFonts w:ascii="Calibri" w:hAnsi="Calibri"/>
                <w:b/>
                <w:bCs/>
                <w:color w:val="FFFFFF"/>
                <w:sz w:val="19"/>
                <w:szCs w:val="19"/>
              </w:rPr>
            </w:pPr>
            <w:r w:rsidRPr="00982103">
              <w:rPr>
                <w:rFonts w:ascii="Calibri" w:hAnsi="Calibri"/>
                <w:b/>
                <w:bCs/>
                <w:color w:val="FFFFFF"/>
                <w:sz w:val="19"/>
                <w:szCs w:val="19"/>
              </w:rPr>
              <w:t>Schede</w:t>
            </w:r>
          </w:p>
        </w:tc>
      </w:tr>
      <w:tr w:rsidR="00AA5B8B" w:rsidRPr="00AA5B8B" w:rsidTr="00AA5B8B">
        <w:trPr>
          <w:trHeight w:val="630"/>
        </w:trPr>
        <w:tc>
          <w:tcPr>
            <w:tcW w:w="306" w:type="pct"/>
            <w:tcBorders>
              <w:top w:val="single" w:sz="4" w:space="0" w:color="auto"/>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86" w:anchor="data.20151218.com" w:history="1">
              <w:r w:rsidR="00AA5B8B" w:rsidRPr="00AA5B8B">
                <w:rPr>
                  <w:rFonts w:ascii="Calibri" w:hAnsi="Calibri"/>
                  <w:b/>
                  <w:bCs/>
                  <w:color w:val="0000FF"/>
                  <w:sz w:val="24"/>
                  <w:szCs w:val="24"/>
                  <w:u w:val="single"/>
                </w:rPr>
                <w:t>3495</w:t>
              </w:r>
            </w:hyperlink>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DL 2015/185</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53" w:type="pct"/>
            <w:tcBorders>
              <w:top w:val="single" w:sz="4" w:space="0" w:color="auto"/>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single" w:sz="4" w:space="0" w:color="auto"/>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99"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0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600" w:type="pct"/>
            <w:tcBorders>
              <w:top w:val="single" w:sz="4" w:space="0" w:color="auto"/>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single" w:sz="4" w:space="0" w:color="auto"/>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87" w:history="1">
              <w:r w:rsidR="00AA5B8B" w:rsidRPr="00AA5B8B">
                <w:rPr>
                  <w:rFonts w:ascii="Calibri" w:hAnsi="Calibri"/>
                  <w:b/>
                  <w:bCs/>
                  <w:color w:val="0000FF"/>
                  <w:sz w:val="24"/>
                  <w:szCs w:val="24"/>
                  <w:u w:val="single"/>
                </w:rPr>
                <w:t>0004</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88" w:anchor="data.20151222.com" w:history="1">
              <w:r w:rsidR="00AA5B8B" w:rsidRPr="00AA5B8B">
                <w:rPr>
                  <w:rFonts w:ascii="Calibri" w:hAnsi="Calibri"/>
                  <w:b/>
                  <w:bCs/>
                  <w:color w:val="0000FF"/>
                  <w:sz w:val="24"/>
                  <w:szCs w:val="24"/>
                  <w:u w:val="single"/>
                </w:rPr>
                <w:t>2953</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ddl Gov</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5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99"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89" w:history="1">
              <w:r w:rsidR="00AA5B8B" w:rsidRPr="00AA5B8B">
                <w:rPr>
                  <w:rFonts w:ascii="Calibri" w:hAnsi="Calibri"/>
                  <w:b/>
                  <w:bCs/>
                  <w:color w:val="0000FF"/>
                  <w:sz w:val="24"/>
                  <w:szCs w:val="24"/>
                  <w:u w:val="single"/>
                </w:rPr>
                <w:t>0005</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AA5B8B" w:rsidP="00AA5B8B">
            <w:pPr>
              <w:spacing w:line="240" w:lineRule="auto"/>
              <w:ind w:firstLine="0"/>
              <w:jc w:val="center"/>
              <w:rPr>
                <w:rFonts w:ascii="Calibri" w:hAnsi="Calibri"/>
                <w:b/>
                <w:bCs/>
                <w:color w:val="0000FF"/>
                <w:sz w:val="24"/>
                <w:szCs w:val="24"/>
                <w:u w:val="single"/>
              </w:rPr>
            </w:pPr>
            <w:r w:rsidRPr="00AA5B8B">
              <w:rPr>
                <w:rFonts w:ascii="Calibri" w:hAnsi="Calibri"/>
                <w:b/>
                <w:bCs/>
                <w:color w:val="0000FF"/>
                <w:sz w:val="24"/>
                <w:szCs w:val="24"/>
                <w:u w:val="single"/>
              </w:rPr>
              <w:t>TU 3317</w:t>
            </w:r>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pdl</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5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10"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99"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0" w:history="1">
              <w:r w:rsidR="00AA5B8B" w:rsidRPr="00AA5B8B">
                <w:rPr>
                  <w:rFonts w:ascii="Calibri" w:hAnsi="Calibri"/>
                  <w:b/>
                  <w:bCs/>
                  <w:color w:val="0000FF"/>
                  <w:sz w:val="24"/>
                  <w:szCs w:val="24"/>
                  <w:u w:val="single"/>
                </w:rPr>
                <w:t>0007</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AA5B8B" w:rsidP="00AA5B8B">
            <w:pPr>
              <w:spacing w:line="240" w:lineRule="auto"/>
              <w:ind w:firstLine="0"/>
              <w:jc w:val="center"/>
              <w:rPr>
                <w:rFonts w:ascii="Calibri" w:hAnsi="Calibri"/>
                <w:b/>
                <w:bCs/>
                <w:color w:val="0000FF"/>
                <w:sz w:val="24"/>
                <w:szCs w:val="24"/>
                <w:u w:val="single"/>
              </w:rPr>
            </w:pPr>
            <w:r w:rsidRPr="00AA5B8B">
              <w:rPr>
                <w:rFonts w:ascii="Calibri" w:hAnsi="Calibri"/>
                <w:b/>
                <w:bCs/>
                <w:color w:val="0000FF"/>
                <w:sz w:val="24"/>
                <w:szCs w:val="24"/>
                <w:u w:val="single"/>
              </w:rPr>
              <w:t>3119</w:t>
            </w:r>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ddl Gov</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5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10"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99"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1" w:history="1">
              <w:r w:rsidR="00AA5B8B" w:rsidRPr="00AA5B8B">
                <w:rPr>
                  <w:rFonts w:ascii="Calibri" w:hAnsi="Calibri"/>
                  <w:b/>
                  <w:bCs/>
                  <w:color w:val="0000FF"/>
                  <w:sz w:val="24"/>
                  <w:szCs w:val="24"/>
                  <w:u w:val="single"/>
                </w:rPr>
                <w:t>0008</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2" w:anchor="data.20160224.com" w:history="1">
              <w:r w:rsidR="00AA5B8B" w:rsidRPr="00AA5B8B">
                <w:rPr>
                  <w:rFonts w:ascii="Calibri" w:hAnsi="Calibri"/>
                  <w:b/>
                  <w:bCs/>
                  <w:color w:val="0000FF"/>
                  <w:sz w:val="24"/>
                  <w:szCs w:val="24"/>
                  <w:u w:val="single"/>
                </w:rPr>
                <w:t>2039 NT</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ddl Gov</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5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10"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99"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3" w:history="1">
              <w:r w:rsidR="00AA5B8B" w:rsidRPr="00AA5B8B">
                <w:rPr>
                  <w:rFonts w:ascii="Calibri" w:hAnsi="Calibri"/>
                  <w:b/>
                  <w:bCs/>
                  <w:color w:val="0000FF"/>
                  <w:sz w:val="24"/>
                  <w:szCs w:val="24"/>
                  <w:u w:val="single"/>
                </w:rPr>
                <w:t>0010</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4" w:anchor="data.20160303.com" w:history="1">
              <w:r w:rsidR="00AA5B8B" w:rsidRPr="00AA5B8B">
                <w:rPr>
                  <w:rFonts w:ascii="Calibri" w:hAnsi="Calibri"/>
                  <w:b/>
                  <w:bCs/>
                  <w:color w:val="0000FF"/>
                  <w:sz w:val="24"/>
                  <w:szCs w:val="24"/>
                  <w:u w:val="single"/>
                </w:rPr>
                <w:t>3540</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ddl Gov</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5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99"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5" w:history="1">
              <w:r w:rsidR="00AA5B8B" w:rsidRPr="00AA5B8B">
                <w:rPr>
                  <w:rFonts w:ascii="Calibri" w:hAnsi="Calibri"/>
                  <w:b/>
                  <w:bCs/>
                  <w:color w:val="0000FF"/>
                  <w:sz w:val="24"/>
                  <w:szCs w:val="24"/>
                  <w:u w:val="single"/>
                </w:rPr>
                <w:t>0011</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6" w:anchor="data.20160309.com" w:history="1">
              <w:r w:rsidR="00AA5B8B" w:rsidRPr="00AA5B8B">
                <w:rPr>
                  <w:rFonts w:ascii="Calibri" w:hAnsi="Calibri"/>
                  <w:b/>
                  <w:bCs/>
                  <w:color w:val="0000FF"/>
                  <w:sz w:val="24"/>
                  <w:szCs w:val="24"/>
                  <w:u w:val="single"/>
                </w:rPr>
                <w:t>2212</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pdl</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5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99"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7" w:history="1">
              <w:r w:rsidR="00AA5B8B" w:rsidRPr="00AA5B8B">
                <w:rPr>
                  <w:rFonts w:ascii="Calibri" w:hAnsi="Calibri"/>
                  <w:b/>
                  <w:bCs/>
                  <w:color w:val="0000FF"/>
                  <w:sz w:val="24"/>
                  <w:szCs w:val="24"/>
                  <w:u w:val="single"/>
                </w:rPr>
                <w:t>0012</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8" w:anchor="data.20160412.com" w:history="1">
              <w:r w:rsidR="00AA5B8B" w:rsidRPr="00AA5B8B">
                <w:rPr>
                  <w:rFonts w:ascii="Calibri" w:hAnsi="Calibri"/>
                  <w:b/>
                  <w:bCs/>
                  <w:color w:val="0000FF"/>
                  <w:sz w:val="24"/>
                  <w:szCs w:val="24"/>
                  <w:u w:val="single"/>
                </w:rPr>
                <w:t>3634</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pdl</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5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99"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299" w:history="1">
              <w:r w:rsidR="00AA5B8B" w:rsidRPr="00AA5B8B">
                <w:rPr>
                  <w:rFonts w:ascii="Calibri" w:hAnsi="Calibri"/>
                  <w:b/>
                  <w:bCs/>
                  <w:color w:val="0000FF"/>
                  <w:sz w:val="24"/>
                  <w:szCs w:val="24"/>
                  <w:u w:val="single"/>
                </w:rPr>
                <w:t>0013</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0" w:anchor="data.20160412.com" w:history="1">
              <w:r w:rsidR="00AA5B8B" w:rsidRPr="00AA5B8B">
                <w:rPr>
                  <w:rFonts w:ascii="Calibri" w:hAnsi="Calibri"/>
                  <w:b/>
                  <w:bCs/>
                  <w:color w:val="0000FF"/>
                  <w:sz w:val="24"/>
                  <w:szCs w:val="24"/>
                  <w:u w:val="single"/>
                </w:rPr>
                <w:t>3672</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ddl Gov</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5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99"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1" w:history="1">
              <w:r w:rsidR="00AA5B8B" w:rsidRPr="00AA5B8B">
                <w:rPr>
                  <w:rFonts w:ascii="Calibri" w:hAnsi="Calibri"/>
                  <w:b/>
                  <w:bCs/>
                  <w:color w:val="0000FF"/>
                  <w:sz w:val="24"/>
                  <w:szCs w:val="24"/>
                  <w:u w:val="single"/>
                </w:rPr>
                <w:t>0014</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2" w:anchor="data.20160512.com" w:history="1">
              <w:r w:rsidR="00AA5B8B" w:rsidRPr="00AA5B8B">
                <w:rPr>
                  <w:rFonts w:ascii="Calibri" w:hAnsi="Calibri"/>
                  <w:b/>
                  <w:bCs/>
                  <w:color w:val="0000FF"/>
                  <w:sz w:val="24"/>
                  <w:szCs w:val="24"/>
                  <w:u w:val="single"/>
                </w:rPr>
                <w:t>2617-B</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ddl Gov</w:t>
            </w:r>
          </w:p>
        </w:tc>
        <w:tc>
          <w:tcPr>
            <w:tcW w:w="43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875"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5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99"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3" w:history="1">
              <w:r w:rsidR="00AA5B8B" w:rsidRPr="00AA5B8B">
                <w:rPr>
                  <w:rFonts w:ascii="Calibri" w:hAnsi="Calibri"/>
                  <w:b/>
                  <w:bCs/>
                  <w:color w:val="0000FF"/>
                  <w:sz w:val="24"/>
                  <w:szCs w:val="24"/>
                  <w:u w:val="single"/>
                </w:rPr>
                <w:t>0015</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4" w:anchor="data.20160608.com" w:history="1">
              <w:r w:rsidR="00AA5B8B" w:rsidRPr="00AA5B8B">
                <w:rPr>
                  <w:rFonts w:ascii="Calibri" w:hAnsi="Calibri"/>
                  <w:b/>
                  <w:bCs/>
                  <w:color w:val="0000FF"/>
                  <w:sz w:val="24"/>
                  <w:szCs w:val="24"/>
                  <w:u w:val="single"/>
                </w:rPr>
                <w:t>3594</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ddl Gov</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5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99"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5" w:history="1">
              <w:r w:rsidR="00AA5B8B" w:rsidRPr="00AA5B8B">
                <w:rPr>
                  <w:rFonts w:ascii="Calibri" w:hAnsi="Calibri"/>
                  <w:b/>
                  <w:bCs/>
                  <w:color w:val="0000FF"/>
                  <w:sz w:val="24"/>
                  <w:szCs w:val="24"/>
                  <w:u w:val="single"/>
                </w:rPr>
                <w:t>0018</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6" w:anchor="data.20160608.com" w:history="1">
              <w:r w:rsidR="00AA5B8B" w:rsidRPr="00AA5B8B">
                <w:rPr>
                  <w:rFonts w:ascii="Calibri" w:hAnsi="Calibri"/>
                  <w:b/>
                  <w:bCs/>
                  <w:color w:val="0000FF"/>
                  <w:sz w:val="24"/>
                  <w:szCs w:val="24"/>
                  <w:u w:val="single"/>
                </w:rPr>
                <w:t>3209</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pdl</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5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99"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7" w:history="1">
              <w:r w:rsidR="00AA5B8B" w:rsidRPr="00AA5B8B">
                <w:rPr>
                  <w:rFonts w:ascii="Calibri" w:hAnsi="Calibri"/>
                  <w:b/>
                  <w:bCs/>
                  <w:color w:val="0000FF"/>
                  <w:sz w:val="24"/>
                  <w:szCs w:val="24"/>
                  <w:u w:val="single"/>
                </w:rPr>
                <w:t>0019</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8" w:anchor="data.20160621.com" w:history="1">
              <w:r w:rsidR="00AA5B8B" w:rsidRPr="00AA5B8B">
                <w:rPr>
                  <w:rFonts w:ascii="Calibri" w:hAnsi="Calibri"/>
                  <w:b/>
                  <w:bCs/>
                  <w:color w:val="0000FF"/>
                  <w:sz w:val="24"/>
                  <w:szCs w:val="24"/>
                  <w:u w:val="single"/>
                </w:rPr>
                <w:t>3821</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ddl Gov</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53"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10"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99"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09" w:history="1">
              <w:r w:rsidR="00AA5B8B" w:rsidRPr="00AA5B8B">
                <w:rPr>
                  <w:rFonts w:ascii="Calibri" w:hAnsi="Calibri"/>
                  <w:b/>
                  <w:bCs/>
                  <w:color w:val="0000FF"/>
                  <w:sz w:val="24"/>
                  <w:szCs w:val="24"/>
                  <w:u w:val="single"/>
                </w:rPr>
                <w:t>0020</w:t>
              </w:r>
            </w:hyperlink>
          </w:p>
        </w:tc>
      </w:tr>
      <w:tr w:rsidR="00AA5B8B" w:rsidRPr="00AA5B8B" w:rsidTr="00AA5B8B">
        <w:trPr>
          <w:trHeight w:val="630"/>
        </w:trPr>
        <w:tc>
          <w:tcPr>
            <w:tcW w:w="306" w:type="pct"/>
            <w:tcBorders>
              <w:top w:val="nil"/>
              <w:left w:val="single" w:sz="4" w:space="0" w:color="auto"/>
              <w:bottom w:val="single" w:sz="4" w:space="0" w:color="auto"/>
              <w:right w:val="single" w:sz="4" w:space="0" w:color="auto"/>
            </w:tcBorders>
            <w:shd w:val="clear" w:color="000000" w:fill="99CCFF"/>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10" w:anchor="data.20160629.com" w:history="1">
              <w:r w:rsidR="00AA5B8B" w:rsidRPr="00AA5B8B">
                <w:rPr>
                  <w:rFonts w:ascii="Calibri" w:hAnsi="Calibri"/>
                  <w:b/>
                  <w:bCs/>
                  <w:color w:val="0000FF"/>
                  <w:sz w:val="24"/>
                  <w:szCs w:val="24"/>
                  <w:u w:val="single"/>
                </w:rPr>
                <w:t>1460-B</w:t>
              </w:r>
            </w:hyperlink>
          </w:p>
        </w:tc>
        <w:tc>
          <w:tcPr>
            <w:tcW w:w="444" w:type="pct"/>
            <w:tcBorders>
              <w:top w:val="nil"/>
              <w:left w:val="nil"/>
              <w:bottom w:val="single" w:sz="4" w:space="0" w:color="auto"/>
              <w:right w:val="single" w:sz="4" w:space="0" w:color="auto"/>
            </w:tcBorders>
            <w:shd w:val="clear" w:color="auto" w:fill="auto"/>
            <w:vAlign w:val="center"/>
            <w:hideMark/>
          </w:tcPr>
          <w:p w:rsidR="00AA5B8B" w:rsidRPr="00AA5B8B" w:rsidRDefault="00AA5B8B" w:rsidP="00AA5B8B">
            <w:pPr>
              <w:spacing w:line="240" w:lineRule="auto"/>
              <w:ind w:firstLine="0"/>
              <w:jc w:val="left"/>
              <w:rPr>
                <w:rFonts w:ascii="Calibri" w:hAnsi="Calibri"/>
                <w:b/>
                <w:bCs/>
                <w:szCs w:val="22"/>
              </w:rPr>
            </w:pPr>
            <w:r w:rsidRPr="00AA5B8B">
              <w:rPr>
                <w:rFonts w:ascii="Calibri" w:hAnsi="Calibri"/>
                <w:b/>
                <w:bCs/>
                <w:szCs w:val="22"/>
              </w:rPr>
              <w:t>pdl</w:t>
            </w:r>
          </w:p>
        </w:tc>
        <w:tc>
          <w:tcPr>
            <w:tcW w:w="43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875"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53"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AA5B8B" w:rsidRPr="00AA5B8B" w:rsidRDefault="00AA5B8B" w:rsidP="00AA5B8B">
            <w:pPr>
              <w:spacing w:line="240" w:lineRule="auto"/>
              <w:ind w:firstLine="0"/>
              <w:jc w:val="center"/>
              <w:rPr>
                <w:rFonts w:ascii="Calibri" w:hAnsi="Calibri"/>
                <w:b/>
                <w:bCs/>
                <w:color w:val="FF0000"/>
                <w:szCs w:val="22"/>
              </w:rPr>
            </w:pPr>
            <w:r w:rsidRPr="00AA5B8B">
              <w:rPr>
                <w:rFonts w:ascii="Calibri" w:hAnsi="Calibri"/>
                <w:b/>
                <w:bCs/>
                <w:color w:val="FF0000"/>
                <w:szCs w:val="22"/>
              </w:rPr>
              <w:t>SI</w:t>
            </w:r>
          </w:p>
        </w:tc>
        <w:tc>
          <w:tcPr>
            <w:tcW w:w="51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599"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406"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600" w:type="pct"/>
            <w:tcBorders>
              <w:top w:val="nil"/>
              <w:left w:val="nil"/>
              <w:bottom w:val="single" w:sz="4" w:space="0" w:color="auto"/>
              <w:right w:val="single" w:sz="4" w:space="0" w:color="auto"/>
            </w:tcBorders>
            <w:shd w:val="clear" w:color="auto" w:fill="auto"/>
            <w:noWrap/>
            <w:vAlign w:val="center"/>
            <w:hideMark/>
          </w:tcPr>
          <w:p w:rsidR="00AA5B8B" w:rsidRPr="00AA5B8B" w:rsidRDefault="00AA5B8B" w:rsidP="00AA5B8B">
            <w:pPr>
              <w:spacing w:line="240" w:lineRule="auto"/>
              <w:ind w:firstLine="0"/>
              <w:jc w:val="center"/>
              <w:rPr>
                <w:rFonts w:ascii="Calibri" w:hAnsi="Calibri"/>
                <w:szCs w:val="22"/>
              </w:rPr>
            </w:pPr>
            <w:r w:rsidRPr="00AA5B8B">
              <w:rPr>
                <w:rFonts w:ascii="Calibri" w:hAnsi="Calibri"/>
                <w:szCs w:val="22"/>
              </w:rPr>
              <w:t>NO</w:t>
            </w:r>
          </w:p>
        </w:tc>
        <w:tc>
          <w:tcPr>
            <w:tcW w:w="373" w:type="pct"/>
            <w:tcBorders>
              <w:top w:val="nil"/>
              <w:left w:val="nil"/>
              <w:bottom w:val="single" w:sz="4" w:space="0" w:color="auto"/>
              <w:right w:val="single" w:sz="4" w:space="0" w:color="auto"/>
            </w:tcBorders>
            <w:shd w:val="clear" w:color="auto" w:fill="auto"/>
            <w:vAlign w:val="center"/>
            <w:hideMark/>
          </w:tcPr>
          <w:p w:rsidR="00AA5B8B" w:rsidRPr="00AA5B8B" w:rsidRDefault="00DC78AD" w:rsidP="00AA5B8B">
            <w:pPr>
              <w:spacing w:line="240" w:lineRule="auto"/>
              <w:ind w:firstLine="0"/>
              <w:jc w:val="center"/>
              <w:rPr>
                <w:rFonts w:ascii="Calibri" w:hAnsi="Calibri"/>
                <w:b/>
                <w:bCs/>
                <w:color w:val="0000FF"/>
                <w:sz w:val="24"/>
                <w:szCs w:val="24"/>
                <w:u w:val="single"/>
              </w:rPr>
            </w:pPr>
            <w:hyperlink r:id="rId311" w:history="1">
              <w:r w:rsidR="00AA5B8B" w:rsidRPr="00AA5B8B">
                <w:rPr>
                  <w:rFonts w:ascii="Calibri" w:hAnsi="Calibri"/>
                  <w:b/>
                  <w:bCs/>
                  <w:color w:val="0000FF"/>
                  <w:sz w:val="24"/>
                  <w:szCs w:val="24"/>
                  <w:u w:val="single"/>
                </w:rPr>
                <w:t>0023</w:t>
              </w:r>
            </w:hyperlink>
          </w:p>
        </w:tc>
      </w:tr>
    </w:tbl>
    <w:p w:rsidR="00AA5B8B" w:rsidRDefault="00AA5B8B" w:rsidP="00AA5B8B"/>
    <w:p w:rsidR="00AA5B8B" w:rsidRPr="00AA5B8B" w:rsidRDefault="00AA5B8B" w:rsidP="00AA5B8B"/>
    <w:p w:rsidR="00332C22" w:rsidRDefault="00332C22" w:rsidP="00BF7BFE">
      <w:pPr>
        <w:sectPr w:rsidR="00332C22" w:rsidSect="00AA5B8B">
          <w:headerReference w:type="even" r:id="rId312"/>
          <w:headerReference w:type="default" r:id="rId313"/>
          <w:footerReference w:type="even" r:id="rId314"/>
          <w:footerReference w:type="default" r:id="rId315"/>
          <w:headerReference w:type="first" r:id="rId316"/>
          <w:footerReference w:type="first" r:id="rId317"/>
          <w:pgSz w:w="11906" w:h="16838" w:code="9"/>
          <w:pgMar w:top="1418" w:right="1134" w:bottom="1134" w:left="1134" w:header="567" w:footer="567" w:gutter="0"/>
          <w:cols w:space="708"/>
          <w:docGrid w:linePitch="360"/>
        </w:sectPr>
      </w:pPr>
    </w:p>
    <w:p w:rsidR="00541B8B" w:rsidRDefault="00541B8B" w:rsidP="00541B8B">
      <w:pPr>
        <w:tabs>
          <w:tab w:val="left" w:pos="6804"/>
        </w:tabs>
        <w:spacing w:line="240" w:lineRule="auto"/>
        <w:ind w:firstLine="0"/>
        <w:jc w:val="center"/>
        <w:rPr>
          <w:rFonts w:ascii="Garamond" w:hAnsi="Garamond"/>
          <w:color w:val="0000FF"/>
          <w:sz w:val="60"/>
          <w:szCs w:val="60"/>
        </w:rPr>
      </w:pPr>
    </w:p>
    <w:p w:rsidR="00541B8B" w:rsidRPr="00063D88" w:rsidRDefault="00541B8B" w:rsidP="00541B8B">
      <w:pPr>
        <w:tabs>
          <w:tab w:val="left" w:pos="6804"/>
        </w:tabs>
        <w:spacing w:line="240" w:lineRule="auto"/>
        <w:ind w:firstLine="0"/>
        <w:jc w:val="center"/>
        <w:rPr>
          <w:rFonts w:ascii="Garamond" w:hAnsi="Garamond"/>
          <w:color w:val="0000FF"/>
          <w:sz w:val="60"/>
          <w:szCs w:val="60"/>
        </w:rPr>
      </w:pPr>
    </w:p>
    <w:p w:rsidR="00541B8B" w:rsidRPr="00063D88" w:rsidRDefault="00541B8B" w:rsidP="00541B8B">
      <w:pPr>
        <w:spacing w:line="240" w:lineRule="auto"/>
        <w:ind w:firstLine="0"/>
        <w:jc w:val="center"/>
        <w:rPr>
          <w:rFonts w:ascii="Garamond" w:hAnsi="Garamond"/>
          <w:color w:val="0000FF"/>
          <w:sz w:val="60"/>
          <w:szCs w:val="60"/>
        </w:rPr>
      </w:pPr>
    </w:p>
    <w:p w:rsidR="00541B8B" w:rsidRPr="00063D88" w:rsidRDefault="00541B8B" w:rsidP="00541B8B">
      <w:pPr>
        <w:spacing w:line="240" w:lineRule="auto"/>
        <w:ind w:firstLine="0"/>
        <w:jc w:val="center"/>
        <w:rPr>
          <w:rFonts w:ascii="Garamond" w:hAnsi="Garamond"/>
          <w:color w:val="0000FF"/>
          <w:sz w:val="60"/>
          <w:szCs w:val="60"/>
        </w:rPr>
      </w:pPr>
    </w:p>
    <w:p w:rsidR="00541B8B" w:rsidRDefault="00541B8B" w:rsidP="00541B8B">
      <w:pPr>
        <w:spacing w:line="240" w:lineRule="auto"/>
        <w:ind w:firstLine="0"/>
        <w:jc w:val="center"/>
        <w:rPr>
          <w:rFonts w:ascii="Garamond" w:hAnsi="Garamond"/>
          <w:color w:val="0000FF"/>
          <w:sz w:val="60"/>
          <w:szCs w:val="60"/>
        </w:rPr>
      </w:pPr>
    </w:p>
    <w:p w:rsidR="00541B8B" w:rsidRDefault="00541B8B" w:rsidP="00541B8B">
      <w:pPr>
        <w:spacing w:line="240" w:lineRule="auto"/>
        <w:ind w:firstLine="0"/>
        <w:jc w:val="center"/>
        <w:rPr>
          <w:rFonts w:ascii="Garamond" w:hAnsi="Garamond"/>
          <w:color w:val="0000FF"/>
          <w:sz w:val="60"/>
          <w:szCs w:val="60"/>
        </w:rPr>
      </w:pPr>
    </w:p>
    <w:p w:rsidR="00541B8B" w:rsidRDefault="00541B8B" w:rsidP="00541B8B">
      <w:pPr>
        <w:spacing w:line="240" w:lineRule="auto"/>
        <w:ind w:firstLine="0"/>
        <w:jc w:val="center"/>
        <w:rPr>
          <w:rFonts w:ascii="Garamond" w:hAnsi="Garamond"/>
          <w:color w:val="0000FF"/>
          <w:sz w:val="60"/>
          <w:szCs w:val="60"/>
        </w:rPr>
      </w:pPr>
    </w:p>
    <w:p w:rsidR="00541B8B" w:rsidRPr="00063D88" w:rsidRDefault="00541B8B" w:rsidP="00541B8B">
      <w:pPr>
        <w:spacing w:line="240" w:lineRule="auto"/>
        <w:ind w:firstLine="0"/>
        <w:jc w:val="center"/>
        <w:rPr>
          <w:rFonts w:ascii="Garamond" w:hAnsi="Garamond"/>
          <w:color w:val="0000FF"/>
          <w:sz w:val="60"/>
          <w:szCs w:val="60"/>
        </w:rPr>
      </w:pPr>
    </w:p>
    <w:p w:rsidR="00541B8B" w:rsidRDefault="00541B8B" w:rsidP="00D20CCA">
      <w:pPr>
        <w:pStyle w:val="Titolo1"/>
        <w:rPr>
          <w:rFonts w:ascii="Garamond" w:hAnsi="Garamond"/>
          <w:i/>
          <w:color w:val="0000FF"/>
          <w:sz w:val="44"/>
          <w:szCs w:val="44"/>
        </w:rPr>
      </w:pPr>
      <w:bookmarkStart w:id="91" w:name="_Toc458677989"/>
      <w:r w:rsidRPr="00D20CCA">
        <w:rPr>
          <w:rFonts w:ascii="Garamond" w:hAnsi="Garamond"/>
          <w:i/>
          <w:color w:val="0000FF"/>
          <w:sz w:val="44"/>
          <w:szCs w:val="44"/>
        </w:rPr>
        <w:t>SCHEDE DEI PARERI</w:t>
      </w:r>
      <w:bookmarkEnd w:id="91"/>
    </w:p>
    <w:p w:rsidR="00D20CCA" w:rsidRPr="00D20CCA" w:rsidRDefault="00D20CCA" w:rsidP="00D20CCA"/>
    <w:p w:rsidR="00541B8B" w:rsidRDefault="00541B8B" w:rsidP="00541B8B">
      <w:pPr>
        <w:spacing w:line="240" w:lineRule="auto"/>
        <w:ind w:firstLine="0"/>
        <w:jc w:val="center"/>
        <w:rPr>
          <w:rFonts w:ascii="Garamond" w:hAnsi="Garamond"/>
          <w:sz w:val="36"/>
          <w:szCs w:val="36"/>
        </w:rPr>
        <w:sectPr w:rsidR="00541B8B" w:rsidSect="007D6F7A">
          <w:type w:val="oddPage"/>
          <w:pgSz w:w="11906" w:h="16838" w:code="9"/>
          <w:pgMar w:top="1418" w:right="1418" w:bottom="1134" w:left="1418" w:header="567" w:footer="567" w:gutter="0"/>
          <w:cols w:space="708"/>
          <w:titlePg/>
          <w:docGrid w:linePitch="360"/>
        </w:sectPr>
      </w:pPr>
    </w:p>
    <w:p w:rsidR="00541B8B" w:rsidRPr="00541B8B" w:rsidRDefault="00541B8B" w:rsidP="00541B8B">
      <w:pPr>
        <w:spacing w:before="60" w:after="60"/>
        <w:contextualSpacing/>
      </w:pPr>
    </w:p>
    <w:tbl>
      <w:tblPr>
        <w:tblStyle w:val="Grigliatabella"/>
        <w:tblW w:w="5000" w:type="pct"/>
        <w:tblLook w:val="01E0" w:firstRow="1" w:lastRow="1" w:firstColumn="1" w:lastColumn="1" w:noHBand="0" w:noVBand="0"/>
      </w:tblPr>
      <w:tblGrid>
        <w:gridCol w:w="1231"/>
        <w:gridCol w:w="1158"/>
        <w:gridCol w:w="1598"/>
        <w:gridCol w:w="2817"/>
        <w:gridCol w:w="1348"/>
      </w:tblGrid>
      <w:tr w:rsidR="00541B8B" w:rsidRPr="00541B8B" w:rsidTr="00D20CCA">
        <w:trPr>
          <w:cantSplit/>
          <w:trHeight w:val="567"/>
        </w:trPr>
        <w:tc>
          <w:tcPr>
            <w:tcW w:w="75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N. SCHEDA</w:t>
            </w:r>
          </w:p>
        </w:tc>
        <w:tc>
          <w:tcPr>
            <w:tcW w:w="71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98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2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2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755" w:type="pct"/>
          </w:tcPr>
          <w:p w:rsidR="00541B8B" w:rsidRPr="00541B8B" w:rsidRDefault="00541B8B" w:rsidP="00541B8B">
            <w:pPr>
              <w:spacing w:before="60" w:after="60"/>
              <w:ind w:firstLine="0"/>
              <w:contextualSpacing/>
              <w:jc w:val="center"/>
              <w:rPr>
                <w:rFonts w:cs="Arial"/>
                <w:b/>
              </w:rPr>
            </w:pPr>
            <w:r w:rsidRPr="00541B8B">
              <w:rPr>
                <w:rFonts w:cs="Arial"/>
                <w:b/>
              </w:rPr>
              <w:t>0001</w:t>
            </w:r>
          </w:p>
        </w:tc>
        <w:tc>
          <w:tcPr>
            <w:tcW w:w="71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3393</w:t>
            </w:r>
          </w:p>
        </w:tc>
        <w:tc>
          <w:tcPr>
            <w:tcW w:w="980" w:type="pct"/>
          </w:tcPr>
          <w:p w:rsidR="00541B8B" w:rsidRPr="00541B8B" w:rsidRDefault="00DC78AD" w:rsidP="00541B8B">
            <w:pPr>
              <w:spacing w:before="100" w:beforeAutospacing="1" w:after="100" w:afterAutospacing="1"/>
              <w:ind w:firstLine="0"/>
              <w:contextualSpacing/>
              <w:jc w:val="center"/>
              <w:rPr>
                <w:rFonts w:cs="Arial"/>
                <w:sz w:val="24"/>
              </w:rPr>
            </w:pPr>
            <w:hyperlink r:id="rId318" w:history="1">
              <w:r w:rsidR="00541B8B" w:rsidRPr="00541B8B">
                <w:rPr>
                  <w:rFonts w:cs="Arial"/>
                  <w:color w:val="0000FF"/>
                  <w:u w:val="single"/>
                </w:rPr>
                <w:t>DL 174/2015</w:t>
              </w:r>
            </w:hyperlink>
          </w:p>
        </w:tc>
        <w:tc>
          <w:tcPr>
            <w:tcW w:w="1728"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Proroga missioni internazionali</w:t>
            </w:r>
          </w:p>
        </w:tc>
        <w:tc>
          <w:tcPr>
            <w:tcW w:w="827" w:type="pct"/>
          </w:tcPr>
          <w:p w:rsidR="00541B8B" w:rsidRPr="00541B8B" w:rsidRDefault="00DC78AD" w:rsidP="00541B8B">
            <w:pPr>
              <w:spacing w:before="100" w:beforeAutospacing="1" w:after="100" w:afterAutospacing="1"/>
              <w:ind w:firstLine="0"/>
              <w:contextualSpacing/>
              <w:jc w:val="center"/>
              <w:rPr>
                <w:rFonts w:cs="Arial"/>
                <w:sz w:val="24"/>
              </w:rPr>
            </w:pPr>
            <w:hyperlink r:id="rId319" w:anchor="data.20151111.com48.bollettino.sede00010.tit00010" w:history="1">
              <w:r w:rsidR="00541B8B" w:rsidRPr="00541B8B">
                <w:rPr>
                  <w:color w:val="0000FF"/>
                  <w:u w:val="single"/>
                </w:rPr>
                <w:t>11/11/2015</w:t>
              </w:r>
            </w:hyperlink>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076"/>
        <w:gridCol w:w="4076"/>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96-</w:t>
            </w:r>
            <w:r w:rsidRPr="00541B8B">
              <w:rPr>
                <w:rFonts w:cs="Arial"/>
                <w:b/>
                <w:bCs/>
                <w:i/>
                <w:sz w:val="24"/>
              </w:rPr>
              <w:t>BIS</w:t>
            </w:r>
            <w:r w:rsidRPr="00541B8B">
              <w:rPr>
                <w:rFonts w:cs="Arial"/>
                <w:b/>
                <w:bCs/>
                <w:sz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92" w:name="premessa01"/>
            <w:r w:rsidRPr="00541B8B">
              <w:rPr>
                <w:rFonts w:cs="Arial"/>
                <w:b/>
                <w:color w:val="0000FF"/>
                <w:sz w:val="24"/>
                <w:szCs w:val="24"/>
              </w:rPr>
              <w:t>Premessa</w:t>
            </w:r>
            <w:bookmarkEnd w:id="92"/>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1 Condizione, 2 Raccomandazioni</w:t>
            </w:r>
          </w:p>
        </w:tc>
      </w:tr>
      <w:tr w:rsidR="00541B8B" w:rsidRPr="00541B8B" w:rsidTr="00D20CCA">
        <w:trPr>
          <w:trHeight w:val="1128"/>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1a01" w:history="1">
              <w:r w:rsidR="00541B8B" w:rsidRPr="00541B8B">
                <w:rPr>
                  <w:color w:val="0000FF"/>
                  <w:u w:val="single"/>
                </w:rPr>
                <w:t>1</w:t>
              </w:r>
            </w:hyperlink>
            <w:r w:rsidR="00541B8B" w:rsidRPr="00541B8B">
              <w:rPr>
                <w:rFonts w:cs="Arial"/>
              </w:rPr>
              <w:t xml:space="preserve"> – Pubblicazione differita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rPr>
            </w:pPr>
          </w:p>
        </w:tc>
      </w:tr>
      <w:tr w:rsidR="00541B8B" w:rsidRPr="00541B8B" w:rsidTr="00D20CCA">
        <w:trPr>
          <w:trHeight w:val="141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1a02" w:history="1">
              <w:r w:rsidR="00541B8B" w:rsidRPr="00541B8B">
                <w:rPr>
                  <w:color w:val="0000FF"/>
                  <w:u w:val="single"/>
                </w:rPr>
                <w:t>2</w:t>
              </w:r>
            </w:hyperlink>
            <w:r w:rsidR="00541B8B" w:rsidRPr="00541B8B">
              <w:rPr>
                <w:rFonts w:cs="Arial"/>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Appare non del tutto omogenea con il nucleo essenziale del provvedimento la disposizione recata dall’articolo 9, comma 3.</w:t>
            </w:r>
          </w:p>
          <w:p w:rsidR="00541B8B" w:rsidRPr="00541B8B" w:rsidRDefault="00541B8B" w:rsidP="00541B8B">
            <w:pPr>
              <w:spacing w:before="100" w:beforeAutospacing="1" w:after="100" w:afterAutospacing="1"/>
              <w:ind w:firstLine="0"/>
              <w:contextualSpacing/>
              <w:rPr>
                <w:rFonts w:cs="Arial"/>
              </w:rPr>
            </w:pPr>
            <w:r w:rsidRPr="00541B8B">
              <w:rPr>
                <w:rFonts w:cs="Arial"/>
              </w:rPr>
              <w:t>Condizione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1a03" w:history="1">
              <w:r w:rsidR="00541B8B" w:rsidRPr="00541B8B">
                <w:rPr>
                  <w:color w:val="0000FF"/>
                  <w:u w:val="single"/>
                </w:rPr>
                <w:t>3</w:t>
              </w:r>
            </w:hyperlink>
            <w:r w:rsidR="00541B8B" w:rsidRPr="00541B8B">
              <w:rPr>
                <w:rFonts w:cs="Arial"/>
              </w:rPr>
              <w:t xml:space="preserve"> – Coordinamento con le fonti normative vigenti: stratificazione normativa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Catena di rinvii normativi. Rinvii alla normativa vigente in mancanza di una disciplina unitaria della materia trattata, ovvero le missioni militari.</w:t>
            </w:r>
          </w:p>
        </w:tc>
      </w:tr>
      <w:tr w:rsidR="00541B8B" w:rsidRPr="00541B8B" w:rsidTr="00D20CCA">
        <w:trPr>
          <w:trHeight w:val="84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01a04" w:history="1">
              <w:r w:rsidR="00541B8B" w:rsidRPr="00541B8B">
                <w:rPr>
                  <w:color w:val="0000FF"/>
                  <w:u w:val="single"/>
                </w:rPr>
                <w:t>4</w:t>
              </w:r>
            </w:hyperlink>
            <w:r w:rsidR="00541B8B" w:rsidRPr="00541B8B">
              <w:t xml:space="preserve"> - </w:t>
            </w:r>
            <w:r w:rsidR="00541B8B" w:rsidRPr="00541B8B">
              <w:rPr>
                <w:rFonts w:cs="Arial"/>
              </w:rPr>
              <w:t>Disposizioni derogatorie della normativa vigente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L’ATN dà conto delle norme derogate, anche implicitamente. Richiamo all’articolo 13-</w:t>
            </w:r>
            <w:r w:rsidRPr="00541B8B">
              <w:rPr>
                <w:rFonts w:cs="Arial"/>
                <w:i/>
              </w:rPr>
              <w:t>bis</w:t>
            </w:r>
            <w:r w:rsidRPr="00541B8B">
              <w:rPr>
                <w:rFonts w:cs="Arial"/>
              </w:rPr>
              <w:t xml:space="preserve"> della L. n. 400/1988. </w:t>
            </w:r>
          </w:p>
          <w:p w:rsidR="00541B8B" w:rsidRPr="00541B8B" w:rsidRDefault="00541B8B" w:rsidP="00541B8B">
            <w:pPr>
              <w:spacing w:before="100" w:beforeAutospacing="1" w:after="100" w:afterAutospacing="1"/>
              <w:ind w:firstLine="0"/>
              <w:contextualSpacing/>
              <w:rPr>
                <w:rFonts w:cs="Arial"/>
              </w:rPr>
            </w:pPr>
            <w:r w:rsidRPr="00541B8B">
              <w:rPr>
                <w:rFonts w:cs="Arial"/>
              </w:rPr>
              <w:t>Raccomandazione 2</w:t>
            </w:r>
          </w:p>
        </w:tc>
      </w:tr>
      <w:tr w:rsidR="00541B8B" w:rsidRPr="00541B8B" w:rsidTr="00D20CCA">
        <w:trPr>
          <w:trHeight w:val="704"/>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01a05" w:history="1">
              <w:r w:rsidR="00541B8B" w:rsidRPr="00541B8B">
                <w:rPr>
                  <w:color w:val="0000FF"/>
                  <w:u w:val="single"/>
                </w:rPr>
                <w:t>5</w:t>
              </w:r>
            </w:hyperlink>
            <w:r w:rsidR="00541B8B" w:rsidRPr="00541B8B">
              <w:rPr>
                <w:rFonts w:cs="Arial"/>
              </w:rPr>
              <w:t xml:space="preserve"> – Efficacia retroattiva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Il provvedimento proroga le missioni internazionali dal 1° ottobre al 31 dicembre 2015, retroagendo rispetto alla propria entrata in vigore.</w:t>
            </w:r>
          </w:p>
          <w:p w:rsidR="00541B8B" w:rsidRPr="00541B8B" w:rsidRDefault="00541B8B" w:rsidP="00541B8B">
            <w:pPr>
              <w:spacing w:before="100" w:beforeAutospacing="1" w:after="100" w:afterAutospacing="1"/>
              <w:ind w:firstLine="0"/>
              <w:contextualSpacing/>
              <w:rPr>
                <w:rFonts w:cs="Arial"/>
              </w:rPr>
            </w:pPr>
            <w:r w:rsidRPr="00541B8B">
              <w:rPr>
                <w:rFonts w:cs="Arial"/>
              </w:rPr>
              <w:t>Raccomandazione 1</w:t>
            </w:r>
          </w:p>
        </w:tc>
      </w:tr>
      <w:tr w:rsidR="00541B8B" w:rsidRPr="00541B8B" w:rsidTr="00D20CCA">
        <w:trPr>
          <w:trHeight w:val="98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1a06" w:history="1">
              <w:r w:rsidR="00541B8B" w:rsidRPr="00541B8B">
                <w:rPr>
                  <w:color w:val="0000FF"/>
                  <w:u w:val="single"/>
                </w:rPr>
                <w:t>6</w:t>
              </w:r>
            </w:hyperlink>
            <w:r w:rsidR="00541B8B" w:rsidRPr="00541B8B">
              <w:rPr>
                <w:rFonts w:cs="Arial"/>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ATN presente, AIR assente. Presente il riferimento all’esenzione dall’obbligo di redigere l’AIR e la giustificazione quale “atto normativo in materia di sicurezza interna ed esterna dello Stato”.</w:t>
            </w:r>
          </w:p>
        </w:tc>
      </w:tr>
    </w:tbl>
    <w:p w:rsidR="00541B8B" w:rsidRPr="00541B8B" w:rsidRDefault="00541B8B" w:rsidP="00541B8B">
      <w:pPr>
        <w:spacing w:before="60" w:after="60"/>
        <w:contextualSpacing/>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4076"/>
        <w:gridCol w:w="4076"/>
      </w:tblGrid>
      <w:tr w:rsidR="00541B8B" w:rsidRPr="00541B8B" w:rsidTr="00D20CCA">
        <w:tc>
          <w:tcPr>
            <w:tcW w:w="5000" w:type="pct"/>
            <w:gridSpan w:val="2"/>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b/>
                <w:color w:val="0000FF"/>
              </w:rPr>
              <w:lastRenderedPageBreak/>
              <w:t>Rilievi</w:t>
            </w: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rPr>
                <w:rFonts w:cs="Arial"/>
              </w:rPr>
            </w:pPr>
            <w:hyperlink w:anchor="S01C" w:history="1">
              <w:r w:rsidR="00541B8B" w:rsidRPr="00541B8B">
                <w:rPr>
                  <w:color w:val="0000FF"/>
                  <w:u w:val="single"/>
                </w:rPr>
                <w:t>C</w:t>
              </w:r>
            </w:hyperlink>
            <w:r w:rsidR="00541B8B" w:rsidRPr="00541B8B">
              <w:rPr>
                <w:rFonts w:cs="Arial"/>
              </w:rPr>
              <w:t xml:space="preserve"> - Condizioni</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423"/>
        </w:trPr>
        <w:tc>
          <w:tcPr>
            <w:tcW w:w="2500" w:type="pct"/>
            <w:tcBorders>
              <w:top w:val="nil"/>
              <w:left w:val="nil"/>
              <w:bottom w:val="nil"/>
              <w:right w:val="nil"/>
            </w:tcBorders>
          </w:tcPr>
          <w:p w:rsidR="00541B8B" w:rsidRPr="00541B8B" w:rsidRDefault="00DC78AD" w:rsidP="00541B8B">
            <w:pPr>
              <w:keepNext/>
              <w:ind w:firstLine="0"/>
              <w:contextualSpacing/>
              <w:jc w:val="left"/>
            </w:pPr>
            <w:hyperlink w:anchor="S01R" w:history="1">
              <w:r w:rsidR="00541B8B" w:rsidRPr="00541B8B">
                <w:rPr>
                  <w:color w:val="0000FF"/>
                  <w:u w:val="single"/>
                </w:rPr>
                <w:t>R</w:t>
              </w:r>
            </w:hyperlink>
            <w:r w:rsidR="00541B8B" w:rsidRPr="00541B8B">
              <w:t xml:space="preserve"> - Raccomandazione</w:t>
            </w:r>
          </w:p>
        </w:tc>
        <w:tc>
          <w:tcPr>
            <w:tcW w:w="2500" w:type="pct"/>
            <w:tcBorders>
              <w:top w:val="nil"/>
              <w:left w:val="nil"/>
              <w:bottom w:val="nil"/>
              <w:right w:val="nil"/>
            </w:tcBorders>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keepNext/>
        <w:ind w:firstLine="0"/>
        <w:contextualSpacing/>
        <w:jc w:val="left"/>
      </w:pPr>
    </w:p>
    <w:p w:rsidR="00541B8B" w:rsidRPr="00541B8B" w:rsidRDefault="00541B8B" w:rsidP="00541B8B">
      <w:pPr>
        <w:spacing w:before="60" w:after="60"/>
        <w:ind w:firstLine="0"/>
        <w:contextualSpacing/>
      </w:pPr>
    </w:p>
    <w:tbl>
      <w:tblPr>
        <w:tblStyle w:val="Grigliatabella"/>
        <w:tblW w:w="5000" w:type="pct"/>
        <w:tblLook w:val="01E0" w:firstRow="1" w:lastRow="1" w:firstColumn="1" w:lastColumn="1" w:noHBand="0" w:noVBand="0"/>
      </w:tblPr>
      <w:tblGrid>
        <w:gridCol w:w="8152"/>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t>Riferimenti</w:t>
            </w:r>
          </w:p>
        </w:tc>
      </w:tr>
      <w:tr w:rsidR="00541B8B" w:rsidRPr="00541B8B" w:rsidTr="00D20CCA">
        <w:trPr>
          <w:trHeight w:val="468"/>
        </w:trPr>
        <w:tc>
          <w:tcPr>
            <w:tcW w:w="5000" w:type="pct"/>
          </w:tcPr>
          <w:p w:rsidR="00541B8B" w:rsidRPr="00541B8B" w:rsidRDefault="00541B8B" w:rsidP="00541B8B">
            <w:pPr>
              <w:keepNext/>
              <w:ind w:firstLine="0"/>
              <w:contextualSpacing/>
              <w:jc w:val="left"/>
              <w:rPr>
                <w:rFonts w:cs="Arial"/>
                <w:i/>
                <w:sz w:val="24"/>
              </w:rPr>
            </w:pPr>
            <w:r w:rsidRPr="00541B8B">
              <w:rPr>
                <w:rFonts w:cs="Arial"/>
                <w:i/>
              </w:rPr>
              <w:t>Articolo 13-</w:t>
            </w:r>
            <w:r w:rsidRPr="00541B8B">
              <w:rPr>
                <w:rFonts w:cs="Arial"/>
              </w:rPr>
              <w:t>bis</w:t>
            </w:r>
            <w:r w:rsidRPr="00541B8B">
              <w:rPr>
                <w:rFonts w:cs="Arial"/>
                <w:i/>
              </w:rPr>
              <w:t xml:space="preserve"> della legge n. 400/1988.</w:t>
            </w:r>
          </w:p>
        </w:tc>
      </w:tr>
    </w:tbl>
    <w:p w:rsidR="00541B8B" w:rsidRPr="00541B8B" w:rsidRDefault="00541B8B" w:rsidP="00541B8B">
      <w:pPr>
        <w:spacing w:line="240" w:lineRule="auto"/>
        <w:ind w:firstLine="0"/>
        <w:contextualSpacing/>
        <w:jc w:val="left"/>
        <w:rPr>
          <w:rFonts w:cs="Arial"/>
          <w:sz w:val="24"/>
          <w:szCs w:val="24"/>
        </w:rPr>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60" w:after="60"/>
        <w:ind w:firstLine="0"/>
        <w:contextualSpacing/>
        <w:rPr>
          <w:rFonts w:cs="Arial"/>
          <w:szCs w:val="22"/>
        </w:rPr>
      </w:pPr>
      <w:bookmarkStart w:id="93" w:name="S01a01"/>
      <w:r w:rsidRPr="00541B8B">
        <w:rPr>
          <w:rFonts w:cs="Arial"/>
          <w:szCs w:val="22"/>
        </w:rPr>
        <w:t>1 –</w:t>
      </w:r>
      <w:bookmarkEnd w:id="93"/>
      <w:r w:rsidRPr="00541B8B">
        <w:rPr>
          <w:rFonts w:cs="Arial"/>
          <w:szCs w:val="22"/>
        </w:rPr>
        <w:t xml:space="preserve"> </w:t>
      </w:r>
      <w:hyperlink w:anchor="premessa0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szCs w:val="24"/>
        </w:rPr>
        <w:t>il disegno di legge n. 3393, recante conversione in legge del decreto-legge n. 174 del 2015</w:t>
      </w:r>
      <w:r w:rsidRPr="00541B8B">
        <w:rPr>
          <w:rFonts w:cs="Arial"/>
          <w:lang w:eastAsia="en-US"/>
        </w:rPr>
        <w:t>, approvato dal Consiglio dei ministri nella riunione del 12 ottobre 2015, è stato pubblicato in “Gazzetta ufficiale” e presentato alla Camera, in prima lettura, a distanza di 18 giorni, il 30 ottobre 2015</w:t>
      </w:r>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94" w:name="S01a02"/>
      <w:r w:rsidRPr="00541B8B">
        <w:rPr>
          <w:rFonts w:cs="Arial"/>
          <w:szCs w:val="22"/>
        </w:rPr>
        <w:t xml:space="preserve">2 – </w:t>
      </w:r>
      <w:bookmarkEnd w:id="94"/>
      <w:r w:rsidRPr="00541B8B">
        <w:fldChar w:fldCharType="begin"/>
      </w:r>
      <w:r w:rsidRPr="00541B8B">
        <w:instrText>HYPERLINK  \l "premessa01"</w:instrText>
      </w:r>
      <w:r w:rsidRPr="00541B8B">
        <w:fldChar w:fldCharType="separate"/>
      </w:r>
      <w:r w:rsidRPr="00541B8B">
        <w:rPr>
          <w:rFonts w:cs="Arial"/>
          <w:b/>
          <w:color w:val="0000FF"/>
          <w:szCs w:val="22"/>
          <w:u w:val="single"/>
        </w:rPr>
        <w:t>Premessa</w:t>
      </w:r>
      <w:r w:rsidRPr="00541B8B">
        <w:rPr>
          <w:rFonts w:cs="Arial"/>
          <w:color w:val="0000FF"/>
          <w:szCs w:val="22"/>
          <w:u w:val="single"/>
        </w:rPr>
        <w:t>:</w:t>
      </w:r>
      <w:r w:rsidRPr="00541B8B">
        <w:rPr>
          <w:rFonts w:cs="Arial"/>
          <w:color w:val="0000FF"/>
          <w:szCs w:val="22"/>
          <w:u w:val="single"/>
        </w:rPr>
        <w:fldChar w:fldCharType="end"/>
      </w:r>
      <w:r w:rsidRPr="00541B8B">
        <w:rPr>
          <w:rFonts w:cs="Arial"/>
          <w:szCs w:val="22"/>
        </w:rPr>
        <w:t xml:space="preserve"> «[il provvedimento] reca un </w:t>
      </w:r>
      <w:r w:rsidRPr="00541B8B">
        <w:rPr>
          <w:rFonts w:cs="Arial"/>
          <w:b/>
          <w:szCs w:val="22"/>
        </w:rPr>
        <w:t>contenuto omogeneo</w:t>
      </w:r>
      <w:r w:rsidRPr="00541B8B">
        <w:rPr>
          <w:rFonts w:cs="Arial"/>
          <w:szCs w:val="22"/>
        </w:rPr>
        <w:t xml:space="preserve">, essendo volto ad autorizzare la spesa per la partecipazione di personale italiano alle diverse missioni internazionali ed alle iniziative di cooperazione, opportunamente raggruppate sulla base di criteri geografici, che vedono impegnato il nostro Paese, fino al 31 dicembre 2015, disciplinando i profili normativi connessi alle missioni e prevedendo, per specifici aspetti (quali il trattamento giuridico, economico e previdenziale, la disciplina contabile e penale), una normativa strumentale al loro svolgimento individuata essenzialmente mediante un rinvio all’ordinamento vigente; sebbene connessa con il contenuto del decreto-legge e genericamente riconducibile al titolo e al preambolo dello stesso, appare invece </w:t>
      </w:r>
      <w:r w:rsidRPr="00541B8B">
        <w:rPr>
          <w:rFonts w:cs="Arial"/>
          <w:b/>
          <w:szCs w:val="22"/>
        </w:rPr>
        <w:t>non del tutto omogenea</w:t>
      </w:r>
      <w:r w:rsidRPr="00541B8B">
        <w:rPr>
          <w:rFonts w:cs="Arial"/>
          <w:szCs w:val="22"/>
        </w:rPr>
        <w:t xml:space="preserve"> con il nucleo essenziale del provvedimento la disposizione, recata dall’articolo 9, comma 3, che autorizza l’erogazione di una serie di contributi volontari in favore di alcuni soggetti, tra i quali lo </w:t>
      </w:r>
      <w:proofErr w:type="spellStart"/>
      <w:r w:rsidRPr="00541B8B">
        <w:rPr>
          <w:rFonts w:cs="Arial"/>
          <w:szCs w:val="22"/>
        </w:rPr>
        <w:t>United</w:t>
      </w:r>
      <w:proofErr w:type="spellEnd"/>
      <w:r w:rsidRPr="00541B8B">
        <w:rPr>
          <w:rFonts w:cs="Arial"/>
          <w:szCs w:val="22"/>
        </w:rPr>
        <w:t xml:space="preserve"> Nations System Staff College di Torino e l’Istituto italo-latino americano» (</w:t>
      </w:r>
      <w:hyperlink w:anchor="S01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95" w:name="S01a03"/>
      <w:r w:rsidRPr="00541B8B">
        <w:rPr>
          <w:rFonts w:cs="Arial"/>
          <w:szCs w:val="22"/>
        </w:rPr>
        <w:t>3 –</w:t>
      </w:r>
      <w:bookmarkEnd w:id="95"/>
      <w:r w:rsidRPr="00541B8B">
        <w:rPr>
          <w:rFonts w:cs="Arial"/>
          <w:szCs w:val="22"/>
        </w:rPr>
        <w:t xml:space="preserve"> </w:t>
      </w:r>
      <w:hyperlink w:anchor="premessa0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«secondo un procedimento consueto nei decreti-legge che regolano la partecipazione italiana alle missioni internazionali, il provvedimento – reiterando una modalità di produzione normativa i cui aspetti problematici sono stati più volte segnalati dal Comitato ed in attesa dell’approvazione in via definitiva del disegno di legge S. 1917, recante </w:t>
      </w:r>
      <w:r w:rsidRPr="00541B8B">
        <w:rPr>
          <w:rFonts w:cs="Arial"/>
          <w:i/>
          <w:szCs w:val="22"/>
        </w:rPr>
        <w:t>Disposizioni concernenti la partecipazione dell’Italia alle missioni internazionali</w:t>
      </w:r>
      <w:r w:rsidRPr="00541B8B">
        <w:rPr>
          <w:rFonts w:cs="Arial"/>
          <w:szCs w:val="22"/>
        </w:rPr>
        <w:t>,</w:t>
      </w:r>
      <w:r w:rsidRPr="00541B8B">
        <w:rPr>
          <w:rFonts w:cs="Arial"/>
          <w:iCs/>
          <w:szCs w:val="22"/>
        </w:rPr>
        <w:t xml:space="preserve"> approvato dalla Camera dei deputati il 13 maggio 2015 ed in avanzato stato di esame presso il Senato,</w:t>
      </w:r>
      <w:r w:rsidRPr="00541B8B">
        <w:rPr>
          <w:rFonts w:cs="Arial"/>
          <w:szCs w:val="22"/>
        </w:rPr>
        <w:t xml:space="preserve"> – </w:t>
      </w:r>
      <w:r w:rsidRPr="00541B8B">
        <w:rPr>
          <w:rFonts w:cs="Arial"/>
          <w:b/>
          <w:szCs w:val="22"/>
        </w:rPr>
        <w:t>effettua rinvii alla normativa esistente senza potersi però rapportare ad una disciplina unitaria</w:t>
      </w:r>
      <w:r w:rsidRPr="00541B8B">
        <w:rPr>
          <w:rFonts w:cs="Arial"/>
          <w:szCs w:val="22"/>
        </w:rPr>
        <w:t xml:space="preserve"> che regolamenti stabilmente i profili giuridico-economici delle missioni stesse. Ad esempio, per la disciplina in materia penale, il provvedimento </w:t>
      </w:r>
      <w:r w:rsidRPr="00541B8B">
        <w:rPr>
          <w:rFonts w:cs="Arial"/>
          <w:szCs w:val="22"/>
        </w:rPr>
        <w:lastRenderedPageBreak/>
        <w:t xml:space="preserve">perpetua una lunga e complessa catena di rinvii normativi al decreto-legge n. 152 del 2009 e al decreto-legge n. 209 del 2008, senza al contempo aggiornare - in termini di rinvii alle disposizioni e agli istituti disciplinati dal Codice dell’ordinamento militare, di cui al decreto legislativo 15 marzo 2010, n. 66 - i richiami a quelle disposizioni che, in quanto confluite nel Codice in questione, sono state abrogate nella fonte originaria»;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96" w:name="S01a04"/>
      <w:r w:rsidRPr="00541B8B">
        <w:rPr>
          <w:rFonts w:cs="Arial"/>
          <w:szCs w:val="22"/>
        </w:rPr>
        <w:t>4 –</w:t>
      </w:r>
      <w:bookmarkEnd w:id="96"/>
      <w:r w:rsidRPr="00541B8B">
        <w:rPr>
          <w:rFonts w:cs="Arial"/>
          <w:szCs w:val="22"/>
        </w:rPr>
        <w:t xml:space="preserve"> </w:t>
      </w:r>
      <w:hyperlink w:anchor="premessa0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«in ragione della peculiare fattispecie delle missioni militari e internazionali, il provvedimento si caratterizza come </w:t>
      </w:r>
      <w:r w:rsidRPr="00541B8B">
        <w:rPr>
          <w:rFonts w:cs="Arial"/>
          <w:b/>
          <w:szCs w:val="22"/>
        </w:rPr>
        <w:t>disciplina in più punti derogatoria del diritto vigente</w:t>
      </w:r>
      <w:r w:rsidRPr="00541B8B">
        <w:rPr>
          <w:rFonts w:cs="Arial"/>
          <w:szCs w:val="22"/>
        </w:rPr>
        <w:t xml:space="preserve">. La relazione sull’analisi tecnico-normativa (ATN) dà conto analiticamente delle norme derogate, anche implicitamente; si rammenta tuttavia che </w:t>
      </w:r>
      <w:r w:rsidRPr="00541B8B">
        <w:rPr>
          <w:rFonts w:cs="Arial"/>
          <w:b/>
          <w:szCs w:val="22"/>
        </w:rPr>
        <w:t>l’articolo 13-</w:t>
      </w:r>
      <w:r w:rsidRPr="00541B8B">
        <w:rPr>
          <w:rFonts w:cs="Arial"/>
          <w:b/>
          <w:i/>
          <w:szCs w:val="22"/>
        </w:rPr>
        <w:t>bis</w:t>
      </w:r>
      <w:r w:rsidRPr="00541B8B">
        <w:rPr>
          <w:rFonts w:cs="Arial"/>
          <w:b/>
          <w:szCs w:val="22"/>
        </w:rPr>
        <w:t xml:space="preserve"> della legge n. 400 del 1988</w:t>
      </w:r>
      <w:r w:rsidRPr="00541B8B">
        <w:rPr>
          <w:rFonts w:cs="Arial"/>
          <w:szCs w:val="22"/>
        </w:rPr>
        <w:t xml:space="preserve"> dispone tra l’altro che il Governo, nell’ambito delle proprie competenze, provvede “a che ogni norma che sia diretta a sostituire, modificare o abrogare norme vigenti ovvero a stabilire deroghe indichi espressamente le norme sostituite, modificate, abrogate o derogate” (comma 1, lettera </w:t>
      </w:r>
      <w:r w:rsidRPr="00541B8B">
        <w:rPr>
          <w:rFonts w:cs="Arial"/>
          <w:i/>
          <w:szCs w:val="22"/>
        </w:rPr>
        <w:t>a)</w:t>
      </w:r>
      <w:r w:rsidRPr="00541B8B">
        <w:rPr>
          <w:rFonts w:cs="Arial"/>
          <w:szCs w:val="22"/>
        </w:rPr>
        <w:t xml:space="preserve"> ) e che “Le disposizioni della presente legge in materia di chiarezza dei testi normativi costituiscono princìpi generali per la produzione normativa e non possono essere derogate, modificate o abrogate se non in modo esplicito” (comma 2); deroghe sono riscontrabili, in particolare: all’articolo 5, comma 1, sul trattamento del personale in missione; all’articolo 5, comma 4, in materia di compenso forfettario di impiego per il personale che partecipa alle missioni militari; all’articolo 6, comma 1, sulla competenza territoriale dei tribunali militari, sulla procedura penale militare, al codice penale ed al codice di procedura penale; all’articolo 7, comma 1, in materia contabile» (</w:t>
      </w:r>
      <w:hyperlink w:anchor="S01r02" w:history="1">
        <w:r w:rsidRPr="00541B8B">
          <w:rPr>
            <w:rFonts w:cs="Arial"/>
            <w:b/>
            <w:color w:val="0000FF"/>
            <w:szCs w:val="22"/>
            <w:u w:val="single"/>
          </w:rPr>
          <w:t>conseguente raccomandazione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97" w:name="S01a05"/>
      <w:r w:rsidRPr="00541B8B">
        <w:rPr>
          <w:rFonts w:cs="Arial"/>
          <w:szCs w:val="22"/>
        </w:rPr>
        <w:t xml:space="preserve">5 – </w:t>
      </w:r>
      <w:bookmarkEnd w:id="97"/>
      <w:r w:rsidRPr="00541B8B">
        <w:fldChar w:fldCharType="begin"/>
      </w:r>
      <w:r w:rsidRPr="00541B8B">
        <w:instrText>HYPERLINK  \l "premessa01"</w:instrText>
      </w:r>
      <w:r w:rsidRPr="00541B8B">
        <w:fldChar w:fldCharType="separate"/>
      </w:r>
      <w:r w:rsidRPr="00541B8B">
        <w:rPr>
          <w:rFonts w:cs="Arial"/>
          <w:b/>
          <w:color w:val="0000FF"/>
          <w:szCs w:val="22"/>
          <w:u w:val="single"/>
        </w:rPr>
        <w:t>Premessa</w:t>
      </w:r>
      <w:r w:rsidRPr="00541B8B">
        <w:rPr>
          <w:rFonts w:cs="Arial"/>
          <w:color w:val="0000FF"/>
          <w:szCs w:val="22"/>
          <w:u w:val="single"/>
        </w:rPr>
        <w:t>:</w:t>
      </w:r>
      <w:r w:rsidRPr="00541B8B">
        <w:rPr>
          <w:rFonts w:cs="Arial"/>
          <w:color w:val="0000FF"/>
          <w:szCs w:val="22"/>
          <w:u w:val="single"/>
        </w:rPr>
        <w:fldChar w:fldCharType="end"/>
      </w:r>
      <w:r w:rsidRPr="00541B8B">
        <w:rPr>
          <w:rFonts w:cs="Arial"/>
          <w:szCs w:val="22"/>
        </w:rPr>
        <w:t xml:space="preserve"> «il decreto-legge interviene a prorogare le missioni internazionali dal 1° ottobre al 31 dicembre 2015, </w:t>
      </w:r>
      <w:r w:rsidRPr="00541B8B">
        <w:rPr>
          <w:rFonts w:cs="Arial"/>
          <w:b/>
          <w:szCs w:val="22"/>
        </w:rPr>
        <w:t>retroagendo</w:t>
      </w:r>
      <w:r w:rsidRPr="00541B8B">
        <w:rPr>
          <w:rFonts w:cs="Arial"/>
          <w:szCs w:val="22"/>
        </w:rPr>
        <w:t xml:space="preserve"> dunque rispetto alla sua entrata in vigore, avvenuta, ai sensi dell’articolo 12, comma 1, in data 31 ottobre 2015 (giorno successivo alla sua pubblicazione in Gazzetta Ufficiale) e dando così copertura normativa all’impegno dell’Italia nelle missioni internazionali dal 1° al 31 ottobre 2015, circostanza non coerente con le esigenze di stabilità, certezza e semplificazione della legislazione, anche ove si consideri che il decreto contiene, tra l’altro, disposizioni in materia penale» (</w:t>
      </w:r>
      <w:hyperlink w:anchor="S01r01" w:history="1">
        <w:r w:rsidRPr="00541B8B">
          <w:rPr>
            <w:rFonts w:cs="Arial"/>
            <w:b/>
            <w:color w:val="0000FF"/>
            <w:szCs w:val="22"/>
            <w:u w:val="single"/>
          </w:rPr>
          <w:t>conseguente raccomandazione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98" w:name="S01a06"/>
      <w:r w:rsidRPr="00541B8B">
        <w:rPr>
          <w:rFonts w:cs="Arial"/>
          <w:szCs w:val="22"/>
        </w:rPr>
        <w:t>6 –</w:t>
      </w:r>
      <w:bookmarkEnd w:id="98"/>
      <w:r w:rsidRPr="00541B8B">
        <w:rPr>
          <w:rFonts w:cs="Arial"/>
          <w:szCs w:val="22"/>
        </w:rPr>
        <w:t xml:space="preserve"> </w:t>
      </w:r>
      <w:hyperlink w:anchor="premessa0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di conversione è corredato della relazione sull’analisi tecnico-normativa (</w:t>
      </w:r>
      <w:r w:rsidRPr="00541B8B">
        <w:rPr>
          <w:rFonts w:cs="Arial"/>
          <w:b/>
          <w:szCs w:val="22"/>
        </w:rPr>
        <w:t>ATN</w:t>
      </w:r>
      <w:r w:rsidRPr="00541B8B">
        <w:rPr>
          <w:rFonts w:cs="Arial"/>
          <w:szCs w:val="22"/>
        </w:rPr>
        <w:t>), nonché della dichiarazione di esclusione dell’analisi di impatto della regolamentazione (</w:t>
      </w:r>
      <w:r w:rsidRPr="00541B8B">
        <w:rPr>
          <w:rFonts w:cs="Arial"/>
          <w:b/>
          <w:szCs w:val="22"/>
        </w:rPr>
        <w:t>AIR</w:t>
      </w:r>
      <w:r w:rsidRPr="00541B8B">
        <w:rPr>
          <w:rFonts w:cs="Arial"/>
          <w:szCs w:val="22"/>
        </w:rPr>
        <w:t xml:space="preserve">), trattandosi di “atto normativo in materia di sicurezza interna ed esterna dello Stato” ». </w:t>
      </w:r>
    </w:p>
    <w:p w:rsidR="00541B8B" w:rsidRPr="00541B8B" w:rsidRDefault="00541B8B" w:rsidP="00541B8B">
      <w:pPr>
        <w:keepNext/>
        <w:spacing w:before="60" w:after="60"/>
        <w:ind w:firstLine="0"/>
        <w:contextualSpacing/>
        <w:rPr>
          <w:rFonts w:cs="Arial"/>
          <w:szCs w:val="22"/>
        </w:rPr>
      </w:pPr>
      <w:bookmarkStart w:id="99" w:name="S01C"/>
      <w:r w:rsidRPr="00541B8B">
        <w:rPr>
          <w:rFonts w:cs="Arial"/>
          <w:b/>
          <w:szCs w:val="22"/>
        </w:rPr>
        <w:lastRenderedPageBreak/>
        <w:t>Condizioni</w:t>
      </w:r>
      <w:r w:rsidRPr="00541B8B">
        <w:rPr>
          <w:rFonts w:cs="Arial"/>
          <w:szCs w:val="22"/>
        </w:rPr>
        <w:t xml:space="preserve">: </w:t>
      </w:r>
    </w:p>
    <w:bookmarkEnd w:id="99"/>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8" w:hanging="284"/>
        <w:contextualSpacing/>
        <w:rPr>
          <w:rFonts w:cs="Arial"/>
          <w:color w:val="0000FF"/>
          <w:szCs w:val="22"/>
          <w:u w:val="single"/>
        </w:rPr>
      </w:pPr>
      <w:bookmarkStart w:id="100" w:name="S01c01"/>
      <w:r w:rsidRPr="00541B8B">
        <w:t xml:space="preserve">1) verifichi la Commissione </w:t>
      </w:r>
      <w:bookmarkEnd w:id="100"/>
      <w:r w:rsidRPr="00541B8B">
        <w:t xml:space="preserve">l’opportunità dell’inserimento della previsione (recata dall’articolo 9, comma 3), di una serie di contributi volontari in favore di alcuni soggetti nell’ambito di un decreto-legge di proroga delle missioni internazionali e delle iniziative di cooperazione allo sviluppo </w:t>
      </w:r>
      <w:hyperlink w:anchor="premessa01" w:history="1">
        <w:r w:rsidRPr="00541B8B">
          <w:rPr>
            <w:rFonts w:cs="Arial"/>
            <w:color w:val="0000FF"/>
            <w:szCs w:val="22"/>
            <w:u w:val="single"/>
          </w:rPr>
          <w:t>[torna su]</w:t>
        </w:r>
      </w:hyperlink>
      <w:r w:rsidRPr="00541B8B">
        <w:rPr>
          <w:rFonts w:cs="Arial"/>
          <w:color w:val="0000FF"/>
          <w:szCs w:val="22"/>
          <w:u w:val="single"/>
        </w:rPr>
        <w:t xml:space="preserve"> </w:t>
      </w:r>
    </w:p>
    <w:p w:rsidR="00541B8B" w:rsidRPr="00541B8B" w:rsidRDefault="00541B8B" w:rsidP="00541B8B">
      <w:pPr>
        <w:keepNext/>
        <w:tabs>
          <w:tab w:val="num" w:pos="0"/>
          <w:tab w:val="num" w:pos="567"/>
        </w:tabs>
        <w:spacing w:before="60" w:after="60"/>
        <w:ind w:left="567" w:hanging="283"/>
        <w:contextualSpacing/>
        <w:rPr>
          <w:rFonts w:cs="Arial"/>
          <w:szCs w:val="22"/>
        </w:rPr>
      </w:pPr>
    </w:p>
    <w:p w:rsidR="00541B8B" w:rsidRPr="00541B8B" w:rsidRDefault="00541B8B" w:rsidP="00541B8B">
      <w:pPr>
        <w:spacing w:before="60" w:after="60"/>
        <w:ind w:left="284"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101" w:name="S01R"/>
      <w:r w:rsidRPr="00541B8B">
        <w:rPr>
          <w:rFonts w:cs="Arial"/>
          <w:b/>
          <w:szCs w:val="22"/>
        </w:rPr>
        <w:t>Raccomandazioni</w:t>
      </w:r>
      <w:r w:rsidRPr="00541B8B">
        <w:rPr>
          <w:rFonts w:cs="Arial"/>
          <w:szCs w:val="22"/>
        </w:rPr>
        <w:t>:</w:t>
      </w:r>
      <w:bookmarkEnd w:id="101"/>
      <w:r w:rsidRPr="00541B8B">
        <w:rPr>
          <w:rFonts w:cs="Arial"/>
          <w:szCs w:val="22"/>
        </w:rPr>
        <w:t xml:space="preserve"> </w:t>
      </w:r>
    </w:p>
    <w:p w:rsidR="00541B8B" w:rsidRPr="00541B8B" w:rsidRDefault="00541B8B" w:rsidP="00541B8B">
      <w:pPr>
        <w:spacing w:before="60" w:after="60"/>
        <w:ind w:left="567" w:hanging="283"/>
        <w:contextualSpacing/>
      </w:pPr>
      <w:r w:rsidRPr="00541B8B">
        <w:t xml:space="preserve">1) </w:t>
      </w:r>
      <w:bookmarkStart w:id="102" w:name="S01r01"/>
      <w:r w:rsidRPr="00541B8B">
        <w:t xml:space="preserve">richiamando quanto più volte </w:t>
      </w:r>
      <w:bookmarkEnd w:id="102"/>
      <w:r w:rsidRPr="00541B8B">
        <w:t xml:space="preserve">rilevato in occasione dell’esame dei decreti-legge che regolano la partecipazione italiana alle missioni internazionali, rileva la necessità che, ove si voglia confermare la vigenza delle suddette missioni, si provveda alla loro proroga ed al loro finanziamento in tempi compatibili con la loro scadenza, evitando così di dare copertura normativa all’impegno dell’Italia nelle suddette missioni in via retroattiva, anche tenuto conto della presenza, nei suddetti decreti-legge, di disposizioni in materia penale; </w:t>
      </w:r>
      <w:hyperlink w:anchor="premessa01" w:history="1">
        <w:r w:rsidRPr="00541B8B">
          <w:rPr>
            <w:rFonts w:cs="Arial"/>
            <w:color w:val="0000FF"/>
            <w:szCs w:val="22"/>
            <w:u w:val="single"/>
          </w:rPr>
          <w:t>[torna su]</w:t>
        </w:r>
      </w:hyperlink>
      <w:r w:rsidRPr="00541B8B">
        <w:rPr>
          <w:rFonts w:cs="Arial"/>
          <w:color w:val="0000FF"/>
          <w:szCs w:val="22"/>
          <w:u w:val="single"/>
        </w:rPr>
        <w:t xml:space="preserve"> </w:t>
      </w:r>
    </w:p>
    <w:p w:rsidR="00541B8B" w:rsidRPr="00541B8B" w:rsidRDefault="00541B8B" w:rsidP="00541B8B">
      <w:pPr>
        <w:spacing w:before="60" w:after="60"/>
        <w:ind w:left="567" w:hanging="283"/>
        <w:contextualSpacing/>
      </w:pPr>
      <w:bookmarkStart w:id="103" w:name="S01r02"/>
      <w:r w:rsidRPr="00541B8B">
        <w:rPr>
          <w:szCs w:val="24"/>
        </w:rPr>
        <w:t>2) in presenza di norme dir</w:t>
      </w:r>
      <w:bookmarkEnd w:id="103"/>
      <w:r w:rsidRPr="00541B8B">
        <w:rPr>
          <w:szCs w:val="24"/>
        </w:rPr>
        <w:t>ette a sostituire, modificare, abrogare o derogare norme vigenti, abbia cura il legislatore, in ottemperanza a quanto stabilito dall’articolo 13-</w:t>
      </w:r>
      <w:r w:rsidRPr="00541B8B">
        <w:rPr>
          <w:i/>
          <w:szCs w:val="24"/>
        </w:rPr>
        <w:t>bis</w:t>
      </w:r>
      <w:r w:rsidRPr="00541B8B">
        <w:rPr>
          <w:szCs w:val="24"/>
        </w:rPr>
        <w:t xml:space="preserve"> della legge n. 400 del 1988, di indicare espressamente le norme sostituite, modificate, abrogate o derogate".</w:t>
      </w:r>
      <w:r w:rsidRPr="00541B8B">
        <w:t xml:space="preserve"> </w:t>
      </w:r>
      <w:hyperlink w:anchor="premessa01" w:history="1">
        <w:r w:rsidRPr="00541B8B">
          <w:rPr>
            <w:rFonts w:cs="Arial"/>
            <w:color w:val="0000FF"/>
            <w:szCs w:val="22"/>
            <w:u w:val="single"/>
          </w:rPr>
          <w:t>[torna su]</w:t>
        </w:r>
      </w:hyperlink>
      <w:r w:rsidRPr="00541B8B">
        <w:rPr>
          <w:rFonts w:cs="Arial"/>
          <w:color w:val="0000FF"/>
          <w:szCs w:val="22"/>
          <w:u w:val="single"/>
        </w:rPr>
        <w:t xml:space="preserve"> </w:t>
      </w:r>
    </w:p>
    <w:p w:rsidR="00541B8B" w:rsidRPr="00541B8B" w:rsidRDefault="00541B8B" w:rsidP="00541B8B">
      <w:pPr>
        <w:spacing w:line="240" w:lineRule="auto"/>
        <w:ind w:firstLine="0"/>
        <w:jc w:val="left"/>
        <w:sectPr w:rsidR="00541B8B" w:rsidRPr="00541B8B" w:rsidSect="00D20CCA">
          <w:headerReference w:type="default" r:id="rId320"/>
          <w:footerReference w:type="even" r:id="rId321"/>
          <w:footerReference w:type="default" r:id="rId322"/>
          <w:type w:val="oddPage"/>
          <w:pgSz w:w="11906" w:h="16838" w:code="9"/>
          <w:pgMar w:top="1985" w:right="1985" w:bottom="1985" w:left="1985" w:header="1134" w:footer="1134" w:gutter="0"/>
          <w:cols w:space="284"/>
          <w:formProt w:val="0"/>
        </w:sectPr>
      </w:pPr>
    </w:p>
    <w:tbl>
      <w:tblPr>
        <w:tblStyle w:val="Grigliatabella"/>
        <w:tblW w:w="5000" w:type="pct"/>
        <w:tblLook w:val="01E0" w:firstRow="1" w:lastRow="1" w:firstColumn="1" w:lastColumn="1" w:noHBand="0" w:noVBand="0"/>
      </w:tblPr>
      <w:tblGrid>
        <w:gridCol w:w="1230"/>
        <w:gridCol w:w="1157"/>
        <w:gridCol w:w="1598"/>
        <w:gridCol w:w="2818"/>
        <w:gridCol w:w="1349"/>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lastRenderedPageBreak/>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rPr>
            </w:pPr>
            <w:r w:rsidRPr="00541B8B">
              <w:rPr>
                <w:rFonts w:cs="Arial"/>
                <w:b/>
              </w:rPr>
              <w:t>0002</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3446</w:t>
            </w:r>
          </w:p>
        </w:tc>
        <w:tc>
          <w:tcPr>
            <w:tcW w:w="1020" w:type="pct"/>
          </w:tcPr>
          <w:p w:rsidR="00541B8B" w:rsidRPr="00541B8B" w:rsidRDefault="00DC78AD" w:rsidP="00541B8B">
            <w:pPr>
              <w:spacing w:before="100" w:beforeAutospacing="1" w:after="100" w:afterAutospacing="1"/>
              <w:ind w:firstLine="0"/>
              <w:contextualSpacing/>
              <w:jc w:val="center"/>
              <w:rPr>
                <w:rFonts w:cs="Arial"/>
                <w:sz w:val="24"/>
              </w:rPr>
            </w:pPr>
            <w:hyperlink r:id="rId323" w:history="1">
              <w:r w:rsidR="00541B8B" w:rsidRPr="00541B8B">
                <w:rPr>
                  <w:rFonts w:cs="Arial"/>
                  <w:color w:val="0000FF"/>
                  <w:u w:val="single"/>
                </w:rPr>
                <w:t>DL 183/2015</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Settore creditizio</w:t>
            </w:r>
          </w:p>
        </w:tc>
        <w:tc>
          <w:tcPr>
            <w:tcW w:w="867" w:type="pct"/>
          </w:tcPr>
          <w:p w:rsidR="00541B8B" w:rsidRPr="00541B8B" w:rsidRDefault="00DC78AD" w:rsidP="00541B8B">
            <w:pPr>
              <w:spacing w:before="100" w:beforeAutospacing="1" w:after="100" w:afterAutospacing="1"/>
              <w:ind w:firstLine="0"/>
              <w:contextualSpacing/>
              <w:jc w:val="center"/>
              <w:rPr>
                <w:rFonts w:cs="Arial"/>
                <w:sz w:val="24"/>
              </w:rPr>
            </w:pPr>
            <w:hyperlink r:id="rId324" w:anchor="data.20151201.com48.bollettino.sede00010.tit00010" w:history="1">
              <w:r w:rsidR="00541B8B" w:rsidRPr="00541B8B">
                <w:rPr>
                  <w:color w:val="0000FF"/>
                  <w:u w:val="single"/>
                </w:rPr>
                <w:t>01/12/2015</w:t>
              </w:r>
            </w:hyperlink>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076"/>
        <w:gridCol w:w="4076"/>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96-</w:t>
            </w:r>
            <w:r w:rsidRPr="00541B8B">
              <w:rPr>
                <w:rFonts w:cs="Arial"/>
                <w:b/>
                <w:bCs/>
                <w:i/>
                <w:sz w:val="24"/>
              </w:rPr>
              <w:t>BIS</w:t>
            </w:r>
            <w:r w:rsidRPr="00541B8B">
              <w:rPr>
                <w:rFonts w:cs="Arial"/>
                <w:b/>
                <w:bCs/>
                <w:sz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104" w:name="premessa02"/>
            <w:r w:rsidRPr="00541B8B">
              <w:rPr>
                <w:rFonts w:cs="Arial"/>
                <w:b/>
                <w:color w:val="0000FF"/>
                <w:sz w:val="24"/>
                <w:szCs w:val="24"/>
              </w:rPr>
              <w:t>Premessa</w:t>
            </w:r>
            <w:bookmarkEnd w:id="104"/>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1 Osservazione</w:t>
            </w:r>
          </w:p>
        </w:tc>
      </w:tr>
      <w:tr w:rsidR="00541B8B" w:rsidRPr="00541B8B" w:rsidTr="00D20CCA">
        <w:trPr>
          <w:trHeight w:val="1128"/>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2a01" w:history="1">
              <w:r w:rsidR="00541B8B" w:rsidRPr="00541B8B">
                <w:rPr>
                  <w:color w:val="0000FF"/>
                  <w:u w:val="single"/>
                </w:rPr>
                <w:t>1</w:t>
              </w:r>
            </w:hyperlink>
            <w:r w:rsidR="00541B8B" w:rsidRPr="00541B8B">
              <w:rPr>
                <w:rFonts w:cs="Arial"/>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rPr>
            </w:pPr>
            <w:r w:rsidRPr="00541B8B">
              <w:rPr>
                <w:rFonts w:cs="Arial"/>
              </w:rPr>
              <w:t>Contenuto omogeneo e corrispondente al titolo</w:t>
            </w:r>
          </w:p>
        </w:tc>
      </w:tr>
      <w:tr w:rsidR="00541B8B" w:rsidRPr="00541B8B" w:rsidTr="00D20CCA">
        <w:trPr>
          <w:trHeight w:val="141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654AF">
            <w:pPr>
              <w:spacing w:before="100" w:beforeAutospacing="1" w:after="100" w:afterAutospacing="1"/>
              <w:ind w:firstLine="0"/>
              <w:contextualSpacing/>
              <w:rPr>
                <w:rFonts w:cs="Arial"/>
              </w:rPr>
            </w:pPr>
            <w:hyperlink w:anchor="S02a02" w:history="1">
              <w:r w:rsidR="00541B8B" w:rsidRPr="00541B8B">
                <w:rPr>
                  <w:color w:val="0000FF"/>
                  <w:u w:val="single"/>
                </w:rPr>
                <w:t>2</w:t>
              </w:r>
            </w:hyperlink>
            <w:r w:rsidR="00541B8B" w:rsidRPr="00541B8B">
              <w:rPr>
                <w:rFonts w:cs="Arial"/>
              </w:rPr>
              <w:t xml:space="preserve"> – Coordinamento con le fonti normative vigenti: modifiche non testuali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rPr>
            </w:pPr>
            <w:r w:rsidRPr="00541B8B">
              <w:rPr>
                <w:rFonts w:cs="Arial"/>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2a03" w:history="1">
              <w:r w:rsidR="00541B8B" w:rsidRPr="00541B8B">
                <w:rPr>
                  <w:color w:val="0000FF"/>
                  <w:u w:val="single"/>
                </w:rPr>
                <w:t>3</w:t>
              </w:r>
            </w:hyperlink>
            <w:r w:rsidR="00541B8B" w:rsidRPr="00541B8B">
              <w:rPr>
                <w:rFonts w:cs="Arial"/>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rPr>
            </w:pPr>
            <w:r w:rsidRPr="00541B8B">
              <w:rPr>
                <w:rFonts w:cs="Arial"/>
              </w:rPr>
              <w:t>Presenti.</w:t>
            </w:r>
          </w:p>
        </w:tc>
      </w:tr>
    </w:tbl>
    <w:p w:rsidR="00541B8B" w:rsidRPr="00541B8B" w:rsidRDefault="00541B8B" w:rsidP="00541B8B">
      <w:pPr>
        <w:spacing w:before="60" w:after="60"/>
        <w:contextualSpacing/>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4076"/>
        <w:gridCol w:w="4076"/>
      </w:tblGrid>
      <w:tr w:rsidR="00541B8B" w:rsidRPr="00541B8B" w:rsidTr="00D20CCA">
        <w:tc>
          <w:tcPr>
            <w:tcW w:w="5000" w:type="pct"/>
            <w:gridSpan w:val="2"/>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b/>
                <w:color w:val="0000FF"/>
              </w:rPr>
              <w:t>Rilievi</w:t>
            </w: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rPr>
                <w:rFonts w:cs="Arial"/>
              </w:rPr>
            </w:pPr>
            <w:hyperlink w:anchor="S02O" w:history="1">
              <w:r w:rsidR="00541B8B" w:rsidRPr="00541B8B">
                <w:rPr>
                  <w:color w:val="0000FF"/>
                  <w:u w:val="single"/>
                </w:rPr>
                <w:t>O</w:t>
              </w:r>
            </w:hyperlink>
            <w:r w:rsidR="00541B8B" w:rsidRPr="00541B8B">
              <w:rPr>
                <w:rFonts w:cs="Arial"/>
              </w:rPr>
              <w:t xml:space="preserve"> - Osservazione</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pPr>
    </w:p>
    <w:p w:rsidR="00541B8B" w:rsidRPr="00541B8B" w:rsidRDefault="00541B8B" w:rsidP="00541B8B">
      <w:pPr>
        <w:spacing w:before="60" w:after="60"/>
        <w:ind w:firstLine="0"/>
        <w:contextualSpacing/>
      </w:pPr>
    </w:p>
    <w:tbl>
      <w:tblPr>
        <w:tblStyle w:val="Grigliatabella"/>
        <w:tblW w:w="5000" w:type="pct"/>
        <w:tblLook w:val="01E0" w:firstRow="1" w:lastRow="1" w:firstColumn="1" w:lastColumn="1" w:noHBand="0" w:noVBand="0"/>
      </w:tblPr>
      <w:tblGrid>
        <w:gridCol w:w="8152"/>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i/>
              </w:rPr>
              <w:t>nessun riferimento.</w:t>
            </w:r>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60" w:after="60"/>
        <w:ind w:firstLine="0"/>
        <w:contextualSpacing/>
        <w:rPr>
          <w:rFonts w:cs="Arial"/>
          <w:szCs w:val="22"/>
        </w:rPr>
      </w:pPr>
      <w:bookmarkStart w:id="105" w:name="S02a01"/>
      <w:r w:rsidRPr="00541B8B">
        <w:rPr>
          <w:rFonts w:cs="Arial"/>
          <w:szCs w:val="22"/>
        </w:rPr>
        <w:t xml:space="preserve">1 </w:t>
      </w:r>
      <w:bookmarkEnd w:id="105"/>
      <w:r w:rsidRPr="00541B8B">
        <w:rPr>
          <w:rFonts w:cs="Arial"/>
          <w:szCs w:val="22"/>
        </w:rPr>
        <w:t xml:space="preserve">– </w:t>
      </w:r>
      <w:hyperlink w:anchor="premessa0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szCs w:val="24"/>
        </w:rPr>
        <w:t xml:space="preserve">il decreto-legge, che si compone di tre articoli di natura sostanziale, reca un </w:t>
      </w:r>
      <w:r w:rsidRPr="00541B8B">
        <w:rPr>
          <w:b/>
          <w:szCs w:val="24"/>
        </w:rPr>
        <w:t>contenuto omogeneo</w:t>
      </w:r>
      <w:r w:rsidRPr="00541B8B">
        <w:rPr>
          <w:szCs w:val="24"/>
        </w:rPr>
        <w:t xml:space="preserve"> e corrispondente al titolo, in quanto contiene puntuali interventi per il settore creditizio; in particolare, all’articolo 1, reca misure specifiche ed eccezionali per la costituzione di 4 enti ponte, in corrispondenza di altrettante banche in amministrazione straordinaria, in relazione alle quali procede ad una prima attuazione del decreto legislativo n. 180, semplificata con riguardo a “tutti gli adempimenti di legge richiesti per la costituzione delle società”, cui “tiene luogo” “la pubblicazione nella Gazzetta Ufficiale del presente decreto”, mentre, agli articoli 2 e 3, introduce disposizioni a </w:t>
      </w:r>
      <w:r w:rsidRPr="00541B8B">
        <w:rPr>
          <w:szCs w:val="24"/>
        </w:rPr>
        <w:lastRenderedPageBreak/>
        <w:t>regime, che fanno sistema con la normativa vigente (ed in particolare con il recentissimo decreto legislativo n. 180 del 2015), che il decreto-legge provvede ad assestare, anche tenendo conto della piena operatività del Meccanismo di risoluzione unico, di cui al regolamento UE n. 806/2014, ed all’Accordo ratificato con l’approvazione definitiva, lo scorso 26 novembre, del disegno di legge C. 3449</w:t>
      </w:r>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106" w:name="S02a02"/>
      <w:r w:rsidRPr="00541B8B">
        <w:rPr>
          <w:rFonts w:cs="Arial"/>
          <w:szCs w:val="22"/>
        </w:rPr>
        <w:t xml:space="preserve">2 </w:t>
      </w:r>
      <w:bookmarkEnd w:id="106"/>
      <w:r w:rsidRPr="00541B8B">
        <w:rPr>
          <w:rFonts w:cs="Arial"/>
          <w:szCs w:val="22"/>
        </w:rPr>
        <w:t xml:space="preserve">– </w:t>
      </w:r>
      <w:hyperlink w:anchor="premessa0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«sul piano della tecnica normativa utilizzata, correttamente, il decreto-legge, all’articolo 1, laddove non introduce disposizioni a regime, si astiene dal ricorso alla tecnica della novellazione; nei casi in cui reca disposizioni a regime, incidendo sull’ambito applicativo di preesistenti atti normativi (articoli 2 e 3), non provvede invece agli opportuni </w:t>
      </w:r>
      <w:r w:rsidRPr="00541B8B">
        <w:rPr>
          <w:rFonts w:cs="Arial"/>
          <w:b/>
          <w:szCs w:val="22"/>
        </w:rPr>
        <w:t>coordinamenti con la normativa vigente</w:t>
      </w:r>
      <w:r w:rsidRPr="00541B8B">
        <w:rPr>
          <w:rFonts w:cs="Arial"/>
          <w:szCs w:val="22"/>
        </w:rPr>
        <w:t xml:space="preserve">. In particolare, l’articolo 2 </w:t>
      </w:r>
      <w:r w:rsidRPr="00541B8B">
        <w:rPr>
          <w:rFonts w:cs="Arial"/>
          <w:b/>
          <w:szCs w:val="22"/>
        </w:rPr>
        <w:t>incide in via non testuale</w:t>
      </w:r>
      <w:r w:rsidRPr="00541B8B">
        <w:rPr>
          <w:rFonts w:cs="Arial"/>
          <w:szCs w:val="22"/>
        </w:rPr>
        <w:t xml:space="preserve"> sul titolo V del decreto legislativo n. 180 del 2015, che disciplina i Fondi di risoluzione, mentre l’articolo 3, commi 1 e 2, che disciplina l’applicazione delle misure di cui all’articolo 2, commi 55 e seguenti, del decreto-legge n. 225 del 2010, rispetto alle procedure di risoluzione previste dal citato decreto legislativo n. 180 del 2015, non risulta coordinato con il richiamato decreto-legge n. 225; da ultimo, il comma 4 dell’articolo 3, che detta una nuova disciplina a regime sul trattamento fiscale dei versamenti effettuati dal Fondo di risoluzione, incide anch’esso sull’ambito applicativo del titolo V del citato decreto legislativo n. 180 del 2015, con il quale dovrebbe essere coordinato» (</w:t>
      </w:r>
      <w:hyperlink w:anchor="S02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107" w:name="S02a03"/>
      <w:r w:rsidRPr="00541B8B">
        <w:rPr>
          <w:rFonts w:cs="Arial"/>
          <w:szCs w:val="22"/>
        </w:rPr>
        <w:t xml:space="preserve">3 </w:t>
      </w:r>
      <w:bookmarkEnd w:id="107"/>
      <w:r w:rsidRPr="00541B8B">
        <w:rPr>
          <w:rFonts w:cs="Arial"/>
          <w:szCs w:val="22"/>
        </w:rPr>
        <w:t xml:space="preserve">– </w:t>
      </w:r>
      <w:hyperlink w:anchor="premessa0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è corredato sia della relazione sull’analisi tecnico-normativa (</w:t>
      </w:r>
      <w:r w:rsidRPr="00541B8B">
        <w:rPr>
          <w:rFonts w:cs="Arial"/>
          <w:b/>
          <w:szCs w:val="22"/>
        </w:rPr>
        <w:t>ATN</w:t>
      </w:r>
      <w:r w:rsidRPr="00541B8B">
        <w:rPr>
          <w:rFonts w:cs="Arial"/>
          <w:szCs w:val="22"/>
        </w:rPr>
        <w:t>), sia della relazione sull’analisi di impatto della regolamentazione (</w:t>
      </w:r>
      <w:r w:rsidRPr="00541B8B">
        <w:rPr>
          <w:rFonts w:cs="Arial"/>
          <w:b/>
          <w:szCs w:val="22"/>
        </w:rPr>
        <w:t>AIR</w:t>
      </w:r>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108" w:name="S02O"/>
      <w:r w:rsidRPr="00541B8B">
        <w:rPr>
          <w:rFonts w:cs="Arial"/>
          <w:b/>
          <w:szCs w:val="22"/>
        </w:rPr>
        <w:t>Osservazioni</w:t>
      </w:r>
      <w:bookmarkEnd w:id="108"/>
      <w:r w:rsidRPr="00541B8B">
        <w:rPr>
          <w:rFonts w:cs="Arial"/>
          <w:szCs w:val="22"/>
        </w:rPr>
        <w:t xml:space="preserve">: </w:t>
      </w:r>
    </w:p>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pPr>
      <w:bookmarkStart w:id="109" w:name="S02o01"/>
      <w:r w:rsidRPr="00541B8B">
        <w:rPr>
          <w:szCs w:val="24"/>
        </w:rPr>
        <w:t>1) per quanto detto in premessa</w:t>
      </w:r>
      <w:bookmarkEnd w:id="109"/>
      <w:r w:rsidRPr="00541B8B">
        <w:rPr>
          <w:szCs w:val="24"/>
        </w:rPr>
        <w:t>, l’articolo 2 e l’articolo 3, comma 4, dovrebbero essere riformulati in termini di novella al titolo V del decreto legislativo n. 180 del 2015,</w:t>
      </w:r>
      <w:r w:rsidRPr="00541B8B">
        <w:t xml:space="preserve"> mentre i commi 1 e 2 dell’articolo 3 dovrebbero essere riformulati in termini di novella all’articolo 2 del decreto-legge n. 225 del 2010". </w:t>
      </w:r>
      <w:hyperlink w:anchor="premessa02" w:history="1">
        <w:r w:rsidRPr="00541B8B">
          <w:t>[torna su]</w:t>
        </w:r>
      </w:hyperlink>
      <w:r w:rsidRPr="00541B8B">
        <w:t xml:space="preserve"> </w:t>
      </w:r>
    </w:p>
    <w:p w:rsidR="00541B8B" w:rsidRPr="00541B8B" w:rsidRDefault="00541B8B" w:rsidP="00541B8B">
      <w:pPr>
        <w:spacing w:before="60" w:after="60"/>
        <w:ind w:left="284" w:firstLine="0"/>
        <w:contextualSpacing/>
        <w:rPr>
          <w:rFonts w:cs="Arial"/>
          <w:szCs w:val="22"/>
        </w:rPr>
      </w:pPr>
    </w:p>
    <w:p w:rsidR="00541B8B" w:rsidRPr="00541B8B" w:rsidRDefault="00541B8B" w:rsidP="00541B8B">
      <w:pPr>
        <w:spacing w:before="60" w:after="60"/>
        <w:ind w:firstLine="0"/>
        <w:contextualSpacing/>
      </w:pPr>
    </w:p>
    <w:p w:rsidR="00541B8B" w:rsidRPr="00541B8B" w:rsidRDefault="00541B8B" w:rsidP="00541B8B">
      <w:pPr>
        <w:spacing w:line="240" w:lineRule="auto"/>
        <w:ind w:firstLine="0"/>
        <w:jc w:val="left"/>
        <w:sectPr w:rsidR="00541B8B" w:rsidRPr="00541B8B" w:rsidSect="00D20CCA">
          <w:pgSz w:w="11906" w:h="16838" w:code="9"/>
          <w:pgMar w:top="1985" w:right="1985" w:bottom="1985" w:left="1985" w:header="1134" w:footer="1134" w:gutter="0"/>
          <w:cols w:space="284"/>
          <w:formProt w:val="0"/>
        </w:sectPr>
      </w:pPr>
    </w:p>
    <w:tbl>
      <w:tblPr>
        <w:tblStyle w:val="Grigliatabella"/>
        <w:tblW w:w="5000" w:type="pct"/>
        <w:tblLook w:val="01E0" w:firstRow="1" w:lastRow="1" w:firstColumn="1" w:lastColumn="1" w:noHBand="0" w:noVBand="0"/>
      </w:tblPr>
      <w:tblGrid>
        <w:gridCol w:w="1231"/>
        <w:gridCol w:w="1158"/>
        <w:gridCol w:w="1598"/>
        <w:gridCol w:w="2817"/>
        <w:gridCol w:w="1348"/>
      </w:tblGrid>
      <w:tr w:rsidR="00541B8B" w:rsidRPr="00541B8B" w:rsidTr="00D20CCA">
        <w:trPr>
          <w:cantSplit/>
          <w:trHeight w:val="567"/>
        </w:trPr>
        <w:tc>
          <w:tcPr>
            <w:tcW w:w="754"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lastRenderedPageBreak/>
              <w:t>N. SCHEDA</w:t>
            </w:r>
          </w:p>
        </w:tc>
        <w:tc>
          <w:tcPr>
            <w:tcW w:w="71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98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2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2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754" w:type="pct"/>
          </w:tcPr>
          <w:p w:rsidR="00541B8B" w:rsidRPr="00541B8B" w:rsidRDefault="00541B8B" w:rsidP="00541B8B">
            <w:pPr>
              <w:spacing w:before="60" w:after="60"/>
              <w:ind w:firstLine="0"/>
              <w:contextualSpacing/>
              <w:jc w:val="center"/>
              <w:rPr>
                <w:rFonts w:cs="Arial"/>
                <w:b/>
              </w:rPr>
            </w:pPr>
            <w:r w:rsidRPr="00541B8B">
              <w:rPr>
                <w:rFonts w:cs="Arial"/>
                <w:b/>
              </w:rPr>
              <w:t>0003</w:t>
            </w:r>
          </w:p>
        </w:tc>
        <w:tc>
          <w:tcPr>
            <w:tcW w:w="71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3481</w:t>
            </w:r>
          </w:p>
        </w:tc>
        <w:tc>
          <w:tcPr>
            <w:tcW w:w="980" w:type="pct"/>
          </w:tcPr>
          <w:p w:rsidR="00541B8B" w:rsidRPr="00541B8B" w:rsidRDefault="00DC78AD" w:rsidP="00541B8B">
            <w:pPr>
              <w:spacing w:before="100" w:beforeAutospacing="1" w:after="100" w:afterAutospacing="1"/>
              <w:ind w:firstLine="0"/>
              <w:contextualSpacing/>
              <w:jc w:val="center"/>
              <w:rPr>
                <w:rFonts w:cs="Arial"/>
                <w:sz w:val="24"/>
              </w:rPr>
            </w:pPr>
            <w:hyperlink r:id="rId325" w:history="1">
              <w:r w:rsidR="00541B8B" w:rsidRPr="00541B8B">
                <w:rPr>
                  <w:rFonts w:cs="Arial"/>
                  <w:color w:val="0000FF"/>
                  <w:u w:val="single"/>
                </w:rPr>
                <w:t>DL 191/2015</w:t>
              </w:r>
            </w:hyperlink>
          </w:p>
        </w:tc>
        <w:tc>
          <w:tcPr>
            <w:tcW w:w="1728"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Cessione ILVA</w:t>
            </w:r>
          </w:p>
        </w:tc>
        <w:tc>
          <w:tcPr>
            <w:tcW w:w="827" w:type="pct"/>
          </w:tcPr>
          <w:p w:rsidR="00541B8B" w:rsidRPr="00541B8B" w:rsidRDefault="00DC78AD" w:rsidP="00541B8B">
            <w:pPr>
              <w:spacing w:before="100" w:beforeAutospacing="1" w:after="100" w:afterAutospacing="1"/>
              <w:ind w:firstLine="0"/>
              <w:contextualSpacing/>
              <w:jc w:val="center"/>
              <w:rPr>
                <w:rFonts w:cs="Arial"/>
                <w:sz w:val="24"/>
              </w:rPr>
            </w:pPr>
            <w:hyperlink r:id="rId326" w:anchor="data.20151218.com48.bollettino.sede00010.tit00010" w:history="1">
              <w:r w:rsidR="00541B8B" w:rsidRPr="00541B8B">
                <w:rPr>
                  <w:color w:val="0000FF"/>
                  <w:u w:val="single"/>
                </w:rPr>
                <w:t>18/12/2015</w:t>
              </w:r>
            </w:hyperlink>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076"/>
        <w:gridCol w:w="4076"/>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96-</w:t>
            </w:r>
            <w:r w:rsidRPr="00541B8B">
              <w:rPr>
                <w:rFonts w:cs="Arial"/>
                <w:b/>
                <w:bCs/>
                <w:i/>
                <w:sz w:val="24"/>
              </w:rPr>
              <w:t>BIS</w:t>
            </w:r>
            <w:r w:rsidRPr="00541B8B">
              <w:rPr>
                <w:rFonts w:cs="Arial"/>
                <w:b/>
                <w:bCs/>
                <w:sz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110" w:name="premessa03"/>
            <w:r w:rsidRPr="00541B8B">
              <w:rPr>
                <w:rFonts w:cs="Arial"/>
                <w:b/>
                <w:color w:val="0000FF"/>
                <w:sz w:val="24"/>
                <w:szCs w:val="24"/>
              </w:rPr>
              <w:t>Premessa</w:t>
            </w:r>
            <w:bookmarkEnd w:id="110"/>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1 Osservazione, 1 Raccomandazione</w:t>
            </w:r>
          </w:p>
        </w:tc>
      </w:tr>
      <w:tr w:rsidR="00541B8B" w:rsidRPr="00541B8B" w:rsidTr="00D20CCA">
        <w:trPr>
          <w:trHeight w:val="1128"/>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3a01" w:history="1">
              <w:r w:rsidR="00541B8B" w:rsidRPr="00541B8B">
                <w:rPr>
                  <w:color w:val="0000FF"/>
                  <w:u w:val="single"/>
                </w:rPr>
                <w:t>1</w:t>
              </w:r>
            </w:hyperlink>
            <w:r w:rsidR="00541B8B" w:rsidRPr="00541B8B">
              <w:rPr>
                <w:rFonts w:cs="Arial"/>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Contenuto puntuale, omogeneo e corrispondente al titolo</w:t>
            </w:r>
          </w:p>
        </w:tc>
      </w:tr>
      <w:tr w:rsidR="00541B8B" w:rsidRPr="00541B8B" w:rsidTr="00D20CCA">
        <w:trPr>
          <w:trHeight w:val="141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3a02" w:history="1">
              <w:r w:rsidR="00541B8B" w:rsidRPr="00541B8B">
                <w:rPr>
                  <w:color w:val="0000FF"/>
                  <w:u w:val="single"/>
                </w:rPr>
                <w:t>2</w:t>
              </w:r>
            </w:hyperlink>
            <w:r w:rsidR="00541B8B" w:rsidRPr="00541B8B">
              <w:rPr>
                <w:rFonts w:cs="Arial"/>
              </w:rPr>
              <w:t xml:space="preserve"> – Coordinamento con le fonti normative vigenti: modifiche non testuali e stratificazione normativa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Stratificazione normativa: proroga non testuale di una disposizione già contenente una analoga proroga non testuale.</w:t>
            </w:r>
          </w:p>
          <w:p w:rsidR="00541B8B" w:rsidRPr="00541B8B" w:rsidRDefault="00541B8B" w:rsidP="00541B8B">
            <w:pPr>
              <w:spacing w:before="100" w:beforeAutospacing="1" w:after="100" w:afterAutospacing="1"/>
              <w:ind w:firstLine="0"/>
              <w:contextualSpacing/>
              <w:rPr>
                <w:rFonts w:cs="Arial"/>
              </w:rPr>
            </w:pPr>
            <w:r w:rsidRPr="00541B8B">
              <w:rPr>
                <w:rFonts w:cs="Arial"/>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03a03" w:history="1">
              <w:r w:rsidR="00541B8B" w:rsidRPr="00541B8B">
                <w:rPr>
                  <w:color w:val="0000FF"/>
                  <w:u w:val="single"/>
                </w:rPr>
                <w:t>3</w:t>
              </w:r>
            </w:hyperlink>
            <w:r w:rsidR="00541B8B" w:rsidRPr="00541B8B">
              <w:rPr>
                <w:color w:val="0000FF"/>
                <w:u w:val="single"/>
              </w:rPr>
              <w:t xml:space="preserve"> </w:t>
            </w:r>
            <w:r w:rsidR="00541B8B" w:rsidRPr="00541B8B">
              <w:t>– Coerente utilizzo delle fonti normative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Catena di DPCM a contenuto normativo, in deroga implicita alla legge n. 400/1988 e all’articolo 1, c. 1, lettera </w:t>
            </w:r>
            <w:r w:rsidRPr="00541B8B">
              <w:rPr>
                <w:rFonts w:cs="Arial"/>
                <w:i/>
              </w:rPr>
              <w:t>ii)</w:t>
            </w:r>
            <w:r w:rsidRPr="00541B8B">
              <w:rPr>
                <w:rFonts w:cs="Arial"/>
              </w:rPr>
              <w:t>, della legge n. 13/1991.</w:t>
            </w:r>
          </w:p>
          <w:p w:rsidR="00541B8B" w:rsidRPr="00541B8B" w:rsidRDefault="00541B8B" w:rsidP="00541B8B">
            <w:pPr>
              <w:spacing w:before="100" w:beforeAutospacing="1" w:after="100" w:afterAutospacing="1"/>
              <w:ind w:firstLine="0"/>
              <w:contextualSpacing/>
              <w:rPr>
                <w:rFonts w:cs="Arial"/>
              </w:rPr>
            </w:pPr>
            <w:r w:rsidRPr="00541B8B">
              <w:rPr>
                <w:rFonts w:cs="Arial"/>
              </w:rPr>
              <w:t>Raccomandazione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3a04" w:history="1">
              <w:r w:rsidR="00541B8B" w:rsidRPr="00541B8B">
                <w:rPr>
                  <w:rFonts w:cs="Arial"/>
                  <w:color w:val="0000FF"/>
                  <w:u w:val="single"/>
                </w:rPr>
                <w:t>4</w:t>
              </w:r>
            </w:hyperlink>
            <w:r w:rsidR="00541B8B" w:rsidRPr="00541B8B">
              <w:rPr>
                <w:rFonts w:cs="Arial"/>
              </w:rPr>
              <w:t xml:space="preserve"> – Portata normativa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Clausola di chiusura di dubbia portata normativa e contenente riferimento normativo generico.</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3a05" w:history="1">
              <w:r w:rsidR="00541B8B" w:rsidRPr="00541B8B">
                <w:rPr>
                  <w:rFonts w:cs="Arial"/>
                  <w:color w:val="0000FF"/>
                  <w:u w:val="single"/>
                </w:rPr>
                <w:t>5</w:t>
              </w:r>
            </w:hyperlink>
            <w:r w:rsidR="00541B8B" w:rsidRPr="00541B8B">
              <w:rPr>
                <w:rFonts w:cs="Arial"/>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Assenti. </w:t>
            </w:r>
          </w:p>
        </w:tc>
      </w:tr>
    </w:tbl>
    <w:p w:rsidR="00541B8B" w:rsidRPr="00541B8B" w:rsidRDefault="00541B8B" w:rsidP="00541B8B">
      <w:pPr>
        <w:spacing w:before="60" w:after="60"/>
        <w:contextualSpacing/>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4076"/>
        <w:gridCol w:w="4076"/>
      </w:tblGrid>
      <w:tr w:rsidR="00541B8B" w:rsidRPr="00541B8B" w:rsidTr="00D20CCA">
        <w:tc>
          <w:tcPr>
            <w:tcW w:w="5000" w:type="pct"/>
            <w:gridSpan w:val="2"/>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b/>
                <w:color w:val="0000FF"/>
              </w:rPr>
              <w:t>Rilievi</w:t>
            </w: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rPr>
                <w:rFonts w:cs="Arial"/>
              </w:rPr>
            </w:pPr>
            <w:hyperlink w:anchor="S03O" w:history="1">
              <w:r w:rsidR="00541B8B" w:rsidRPr="00541B8B">
                <w:rPr>
                  <w:color w:val="0000FF"/>
                  <w:u w:val="single"/>
                </w:rPr>
                <w:t>O</w:t>
              </w:r>
            </w:hyperlink>
            <w:r w:rsidR="00541B8B" w:rsidRPr="00541B8B">
              <w:rPr>
                <w:rFonts w:cs="Arial"/>
              </w:rPr>
              <w:t xml:space="preserve"> - Osservazione</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pPr>
            <w:hyperlink w:anchor="S03R" w:history="1">
              <w:r w:rsidR="00541B8B" w:rsidRPr="00541B8B">
                <w:rPr>
                  <w:color w:val="0000FF"/>
                  <w:u w:val="single"/>
                </w:rPr>
                <w:t>R</w:t>
              </w:r>
            </w:hyperlink>
            <w:r w:rsidR="00541B8B" w:rsidRPr="00541B8B">
              <w:t xml:space="preserve"> - Raccomandazione</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pPr>
    </w:p>
    <w:p w:rsidR="00541B8B" w:rsidRPr="00541B8B" w:rsidRDefault="00541B8B" w:rsidP="00541B8B">
      <w:pPr>
        <w:spacing w:before="60" w:after="60"/>
        <w:ind w:firstLine="0"/>
        <w:contextualSpacing/>
      </w:pPr>
    </w:p>
    <w:p w:rsidR="00541B8B" w:rsidRPr="00541B8B" w:rsidRDefault="00541B8B" w:rsidP="00541B8B">
      <w:pPr>
        <w:spacing w:before="60" w:after="60"/>
        <w:ind w:firstLine="0"/>
        <w:contextualSpacing/>
      </w:pPr>
    </w:p>
    <w:tbl>
      <w:tblPr>
        <w:tblStyle w:val="Grigliatabella"/>
        <w:tblW w:w="5000" w:type="pct"/>
        <w:tblLook w:val="01E0" w:firstRow="1" w:lastRow="1" w:firstColumn="1" w:lastColumn="1" w:noHBand="0" w:noVBand="0"/>
      </w:tblPr>
      <w:tblGrid>
        <w:gridCol w:w="8152"/>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lastRenderedPageBreak/>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i/>
              </w:rPr>
              <w:t xml:space="preserve">Legge n. 400/1988; art. 1, c. 1, lettera </w:t>
            </w:r>
            <w:r w:rsidRPr="00541B8B">
              <w:rPr>
                <w:rFonts w:cs="Arial"/>
              </w:rPr>
              <w:t>ii)</w:t>
            </w:r>
            <w:r w:rsidRPr="00541B8B">
              <w:rPr>
                <w:rFonts w:cs="Arial"/>
                <w:i/>
              </w:rPr>
              <w:t>, legge n. 13/1991.</w:t>
            </w:r>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60" w:after="60"/>
        <w:ind w:firstLine="0"/>
        <w:contextualSpacing/>
        <w:rPr>
          <w:rFonts w:cs="Arial"/>
          <w:szCs w:val="22"/>
        </w:rPr>
      </w:pPr>
      <w:bookmarkStart w:id="111" w:name="S03a01"/>
      <w:r w:rsidRPr="00541B8B">
        <w:rPr>
          <w:rFonts w:cs="Arial"/>
          <w:szCs w:val="22"/>
        </w:rPr>
        <w:t>1</w:t>
      </w:r>
      <w:bookmarkEnd w:id="111"/>
      <w:r w:rsidRPr="00541B8B">
        <w:rPr>
          <w:rFonts w:cs="Arial"/>
          <w:szCs w:val="22"/>
        </w:rPr>
        <w:t xml:space="preserve"> – </w:t>
      </w:r>
      <w:hyperlink w:anchor="premessa0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decreto-legge, che si compone di un solo articolo di natura sostanziale, reca un </w:t>
      </w:r>
      <w:r w:rsidRPr="00541B8B">
        <w:rPr>
          <w:b/>
        </w:rPr>
        <w:t>contenuto puntuale, omogeneo e corrispondente al titolo</w:t>
      </w:r>
      <w:r w:rsidRPr="00541B8B">
        <w:t>, in quanto contiene disposizioni finalizzate ad accelerare la cessione del gruppo aziendale ILVA e a modificare le relative previsioni finanziarie</w:t>
      </w:r>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112" w:name="S03a02"/>
      <w:r w:rsidRPr="00541B8B">
        <w:rPr>
          <w:rFonts w:cs="Arial"/>
          <w:szCs w:val="22"/>
        </w:rPr>
        <w:t>2</w:t>
      </w:r>
      <w:bookmarkEnd w:id="112"/>
      <w:r w:rsidRPr="00541B8B">
        <w:rPr>
          <w:rFonts w:cs="Arial"/>
          <w:szCs w:val="22"/>
        </w:rPr>
        <w:t xml:space="preserve"> – </w:t>
      </w:r>
      <w:hyperlink w:anchor="premessa0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esso interviene su una materia che in tempi recenti ha visto la rapida successione di sette decreti-legge, che, da un lato, sono intervenuti a regime sulla normativa in materia di grandi imprese in crisi e, dall'altro, hanno dettato una disciplina specifica e per lo più derogatoria del quadro normativo vigente per risolvere la crisi economica ed ambientale dello stabilimento ILVA di Taranto e del gruppo industriale; in tale quadro normativo, l'articolo 1, comma 7, con una novella all'articolo 2, comma 5, del decreto-legge n. 1 del 2015, proroga in via non testuale il termine (peraltro già prorogato sempre in maniera non testuale) previsto dall'articolo 3, comma 3, del decreto-legge n. 207 del 2012, per la prosecuzione dell'attività produttiva dello stabilimento ILVA di Taranto e la commercializzazione dei prodotti</w:t>
      </w:r>
      <w:r w:rsidRPr="00541B8B">
        <w:rPr>
          <w:rFonts w:cs="Arial"/>
          <w:szCs w:val="22"/>
        </w:rPr>
        <w:t>» (</w:t>
      </w:r>
      <w:hyperlink w:anchor="S03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113" w:name="S03a03"/>
      <w:r w:rsidRPr="00541B8B">
        <w:rPr>
          <w:rFonts w:cs="Arial"/>
          <w:szCs w:val="22"/>
        </w:rPr>
        <w:t>3</w:t>
      </w:r>
      <w:bookmarkEnd w:id="113"/>
      <w:r w:rsidRPr="00541B8B">
        <w:rPr>
          <w:rFonts w:cs="Arial"/>
          <w:szCs w:val="22"/>
        </w:rPr>
        <w:t xml:space="preserve"> – </w:t>
      </w:r>
      <w:hyperlink w:anchor="premessa0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decreto-legge, all'articolo 1, comma 8, perpetua la catena di </w:t>
      </w:r>
      <w:r w:rsidRPr="00541B8B">
        <w:rPr>
          <w:b/>
        </w:rPr>
        <w:t>decreti del Presidente del Consiglio dei ministri</w:t>
      </w:r>
      <w:r w:rsidRPr="00541B8B">
        <w:t xml:space="preserve"> su proposta dei Ministri di settore prevista con riguardo alla vicenda ILVA, prevedendo, in particolare, che eventuali modifiche e integrazioni al Piano delle misure e delle attività di tutela ambientale e sanitaria debbano essere approvate con la stessa procedura prevista per l'adozione del Piano: decreto del Presidente del Consiglio dei ministri su proposta dei Ministri di settore, previa deliberazione del Consiglio dei ministri. In tal modo, si deroga implicitamente alla </w:t>
      </w:r>
      <w:r w:rsidRPr="00541B8B">
        <w:rPr>
          <w:b/>
        </w:rPr>
        <w:t>legge n. 400 del 1988</w:t>
      </w:r>
      <w:r w:rsidRPr="00541B8B">
        <w:t xml:space="preserve"> (che non prevede in via generale l'adozione di DPCM su proposta di ministri) e all'</w:t>
      </w:r>
      <w:r w:rsidRPr="00541B8B">
        <w:rPr>
          <w:b/>
        </w:rPr>
        <w:t xml:space="preserve">articolo 1, comma 1, lettera </w:t>
      </w:r>
      <w:r w:rsidRPr="00541B8B">
        <w:rPr>
          <w:b/>
          <w:i/>
        </w:rPr>
        <w:t>ii</w:t>
      </w:r>
      <w:r w:rsidRPr="00541B8B">
        <w:rPr>
          <w:b/>
        </w:rPr>
        <w:t>) della legge 12 gennaio 1991, n. 13</w:t>
      </w:r>
      <w:r w:rsidRPr="00541B8B">
        <w:t>, in base alla quale sono adottati con decreto del Presidente della Repubblica “tutti gli atti per i quali è intervenuta la deliberazione del Consiglio dei Ministri”</w:t>
      </w:r>
      <w:r w:rsidRPr="00541B8B">
        <w:rPr>
          <w:rFonts w:cs="Arial"/>
          <w:szCs w:val="22"/>
        </w:rPr>
        <w:t>» (</w:t>
      </w:r>
      <w:hyperlink w:anchor="S03r01" w:history="1">
        <w:r w:rsidRPr="00541B8B">
          <w:rPr>
            <w:rFonts w:cs="Arial"/>
            <w:b/>
            <w:color w:val="0000FF"/>
            <w:szCs w:val="22"/>
            <w:u w:val="single"/>
          </w:rPr>
          <w:t>conseguente raccomandazione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14" w:name="S03a04"/>
      <w:r w:rsidRPr="00541B8B">
        <w:rPr>
          <w:rFonts w:cs="Arial"/>
          <w:szCs w:val="22"/>
        </w:rPr>
        <w:t xml:space="preserve">4 </w:t>
      </w:r>
      <w:bookmarkEnd w:id="114"/>
      <w:r w:rsidRPr="00541B8B">
        <w:rPr>
          <w:rFonts w:cs="Arial"/>
          <w:szCs w:val="22"/>
        </w:rPr>
        <w:t xml:space="preserve">– </w:t>
      </w:r>
      <w:hyperlink w:anchor="premessa0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decreto-legge, all'articolo 1, comma 10, contiene una clausola di chiusura, volta a dichiarare – con </w:t>
      </w:r>
      <w:r w:rsidRPr="00541B8B">
        <w:rPr>
          <w:b/>
        </w:rPr>
        <w:t>espressione di dubbia portata e generico riferimento normativo</w:t>
      </w:r>
      <w:r w:rsidRPr="00541B8B">
        <w:t xml:space="preserve"> – che “Le procedure di cui al presente articolo si svolgono nel rispetto della normativa europea”</w:t>
      </w:r>
      <w:r w:rsidRPr="00541B8B">
        <w:rPr>
          <w:rFonts w:cs="Arial"/>
          <w:szCs w:val="22"/>
        </w:rPr>
        <w:t xml:space="preserve"> »;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15" w:name="S03a05"/>
      <w:r w:rsidRPr="00541B8B">
        <w:rPr>
          <w:rFonts w:cs="Arial"/>
          <w:szCs w:val="22"/>
        </w:rPr>
        <w:lastRenderedPageBreak/>
        <w:t>5</w:t>
      </w:r>
      <w:bookmarkEnd w:id="115"/>
      <w:r w:rsidRPr="00541B8B">
        <w:rPr>
          <w:rFonts w:cs="Arial"/>
          <w:szCs w:val="22"/>
        </w:rPr>
        <w:t xml:space="preserve"> – </w:t>
      </w:r>
      <w:hyperlink w:anchor="premessa0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il disegno di legge non è corredato né della relazione sull'analisi tecnico-normativa (</w:t>
      </w:r>
      <w:r w:rsidRPr="00541B8B">
        <w:rPr>
          <w:b/>
        </w:rPr>
        <w:t>ATN</w:t>
      </w:r>
      <w:r w:rsidRPr="00541B8B">
        <w:t>), né della relazione sull'analisi di impatto della regolamentazione (</w:t>
      </w:r>
      <w:r w:rsidRPr="00541B8B">
        <w:rPr>
          <w:b/>
        </w:rPr>
        <w:t>AIR</w:t>
      </w:r>
      <w:r w:rsidRPr="00541B8B">
        <w:t>)</w:t>
      </w:r>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116" w:name="S03O"/>
      <w:r w:rsidRPr="00541B8B">
        <w:rPr>
          <w:rFonts w:cs="Arial"/>
          <w:b/>
          <w:szCs w:val="22"/>
        </w:rPr>
        <w:t>Osservazioni</w:t>
      </w:r>
      <w:r w:rsidRPr="00541B8B">
        <w:rPr>
          <w:rFonts w:cs="Arial"/>
          <w:szCs w:val="22"/>
        </w:rPr>
        <w:t xml:space="preserve">: </w:t>
      </w:r>
    </w:p>
    <w:bookmarkEnd w:id="116"/>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szCs w:val="22"/>
        </w:rPr>
      </w:pPr>
      <w:r w:rsidRPr="00541B8B">
        <w:t>1)</w:t>
      </w:r>
      <w:r w:rsidRPr="00541B8B">
        <w:tab/>
      </w:r>
      <w:hyperlink w:anchor="premessa03" w:history="1">
        <w:bookmarkStart w:id="117" w:name="S03o01"/>
        <w:r w:rsidRPr="00541B8B">
          <w:rPr>
            <w:rFonts w:cs="Arial"/>
            <w:szCs w:val="22"/>
          </w:rPr>
          <w:t>per quanto detto in premess</w:t>
        </w:r>
        <w:bookmarkEnd w:id="117"/>
        <w:r w:rsidRPr="00541B8B">
          <w:rPr>
            <w:rFonts w:cs="Arial"/>
            <w:szCs w:val="22"/>
          </w:rPr>
          <w:t>a, all'articolo 1, comma 7, si dovrebbe riformulare la disposizione che proroga il termine per la prosecuzione dell'attività produttiva dello stabilimento ILVA di Taranto e per la commercializzazione dei relativi prodotti, in termini di novella all'articolo 3, comma 3, del decreto-legge n. 207 del 2012. [torna su]</w:t>
        </w:r>
      </w:hyperlink>
      <w:r w:rsidRPr="00541B8B">
        <w:rPr>
          <w:rFonts w:cs="Arial"/>
          <w:szCs w:val="22"/>
        </w:rPr>
        <w:t xml:space="preserve"> </w:t>
      </w:r>
    </w:p>
    <w:p w:rsidR="00541B8B" w:rsidRPr="00541B8B" w:rsidRDefault="00541B8B" w:rsidP="00541B8B">
      <w:pPr>
        <w:keepNext/>
        <w:tabs>
          <w:tab w:val="num" w:pos="0"/>
          <w:tab w:val="num" w:pos="567"/>
        </w:tabs>
        <w:spacing w:before="60" w:after="60"/>
        <w:ind w:left="567" w:hanging="283"/>
        <w:contextualSpacing/>
        <w:rPr>
          <w:rFonts w:cs="Arial"/>
          <w:szCs w:val="22"/>
        </w:rPr>
      </w:pPr>
    </w:p>
    <w:p w:rsidR="00541B8B" w:rsidRPr="00541B8B" w:rsidRDefault="00541B8B" w:rsidP="00541B8B">
      <w:pPr>
        <w:keepNext/>
        <w:tabs>
          <w:tab w:val="num" w:pos="0"/>
          <w:tab w:val="num" w:pos="567"/>
        </w:tabs>
        <w:spacing w:before="60" w:after="60"/>
        <w:ind w:left="567" w:hanging="283"/>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118" w:name="S03R"/>
      <w:r w:rsidRPr="00541B8B">
        <w:rPr>
          <w:rFonts w:cs="Arial"/>
          <w:b/>
          <w:szCs w:val="22"/>
        </w:rPr>
        <w:t>Raccomandazioni</w:t>
      </w:r>
      <w:r w:rsidRPr="00541B8B">
        <w:rPr>
          <w:rFonts w:cs="Arial"/>
          <w:szCs w:val="22"/>
        </w:rPr>
        <w:t xml:space="preserve">: </w:t>
      </w:r>
    </w:p>
    <w:bookmarkEnd w:id="118"/>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color w:val="0000FF"/>
          <w:szCs w:val="22"/>
          <w:u w:val="single"/>
        </w:rPr>
      </w:pPr>
      <w:bookmarkStart w:id="119" w:name="S03r01"/>
      <w:r w:rsidRPr="00541B8B">
        <w:t xml:space="preserve">1) ribadendo il rilievo </w:t>
      </w:r>
      <w:bookmarkEnd w:id="119"/>
      <w:r w:rsidRPr="00541B8B">
        <w:t xml:space="preserve">già più volte formulato sulla necessità che sia assicurata la coerenza degli strumenti normativi impiegati con particolare riguardo all'esigenza di garantire che ciascuno di essi sia utilizzato in modo coerente rispetto alle proprie caratteristiche e sia adottato sulla base della procedura per esso prevista, abbia in particolare cura il legislatore di attenersi al procedimento delineato dall'articolo 1, comma 1, lettera </w:t>
      </w:r>
      <w:r w:rsidRPr="00541B8B">
        <w:rPr>
          <w:i/>
        </w:rPr>
        <w:t>ii)</w:t>
      </w:r>
      <w:r w:rsidRPr="00541B8B">
        <w:t xml:space="preserve"> della legge 12 gennaio 1991, n. 13, in base alla quale «tutti gli atti per i quali è intervenuta la deliberazione del Consiglio dei Ministri» sono adottati con decreto del Presidente della Repubblica, astenendosi conseguentemente dal prevedere l'adozione di decreti del Presidente del Consiglio previa delibera del Consiglio dei ministri </w:t>
      </w:r>
      <w:hyperlink w:anchor="premessa03" w:history="1">
        <w:r w:rsidRPr="00541B8B">
          <w:rPr>
            <w:rFonts w:cs="Arial"/>
            <w:color w:val="0000FF"/>
            <w:szCs w:val="22"/>
            <w:u w:val="single"/>
          </w:rPr>
          <w:t>[torna su]</w:t>
        </w:r>
      </w:hyperlink>
      <w:r w:rsidRPr="00541B8B">
        <w:rPr>
          <w:rFonts w:cs="Arial"/>
          <w:color w:val="0000FF"/>
          <w:szCs w:val="22"/>
          <w:u w:val="single"/>
        </w:rPr>
        <w:t xml:space="preserve"> </w:t>
      </w:r>
    </w:p>
    <w:p w:rsidR="00541B8B" w:rsidRPr="00541B8B" w:rsidRDefault="00541B8B" w:rsidP="00541B8B">
      <w:pPr>
        <w:spacing w:before="60" w:after="60"/>
        <w:ind w:left="284" w:firstLine="0"/>
        <w:contextualSpacing/>
        <w:rPr>
          <w:rFonts w:cs="Arial"/>
          <w:szCs w:val="22"/>
        </w:rPr>
      </w:pPr>
    </w:p>
    <w:p w:rsidR="00541B8B" w:rsidRPr="00541B8B" w:rsidRDefault="00541B8B" w:rsidP="00541B8B">
      <w:pPr>
        <w:spacing w:before="60" w:after="60"/>
        <w:ind w:firstLine="0"/>
        <w:contextualSpacing/>
      </w:pPr>
    </w:p>
    <w:p w:rsidR="00541B8B" w:rsidRPr="00541B8B" w:rsidRDefault="00541B8B" w:rsidP="00541B8B">
      <w:pPr>
        <w:spacing w:before="60" w:after="60"/>
        <w:contextualSpacing/>
        <w:sectPr w:rsidR="00541B8B" w:rsidRPr="00541B8B" w:rsidSect="00D20CCA">
          <w:pgSz w:w="11906" w:h="16838" w:code="9"/>
          <w:pgMar w:top="1985" w:right="1985" w:bottom="1985" w:left="1985" w:header="1134" w:footer="1134" w:gutter="0"/>
          <w:cols w:space="284"/>
          <w:formProt w:val="0"/>
        </w:sectPr>
      </w:pPr>
    </w:p>
    <w:tbl>
      <w:tblPr>
        <w:tblStyle w:val="Grigliatabella"/>
        <w:tblW w:w="5000" w:type="pct"/>
        <w:tblLook w:val="01E0" w:firstRow="1" w:lastRow="1" w:firstColumn="1" w:lastColumn="1" w:noHBand="0" w:noVBand="0"/>
      </w:tblPr>
      <w:tblGrid>
        <w:gridCol w:w="1230"/>
        <w:gridCol w:w="1157"/>
        <w:gridCol w:w="1598"/>
        <w:gridCol w:w="2818"/>
        <w:gridCol w:w="1349"/>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lastRenderedPageBreak/>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rPr>
            </w:pPr>
            <w:r w:rsidRPr="00541B8B">
              <w:rPr>
                <w:rFonts w:cs="Arial"/>
                <w:b/>
              </w:rPr>
              <w:t>0004</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3495</w:t>
            </w:r>
          </w:p>
        </w:tc>
        <w:tc>
          <w:tcPr>
            <w:tcW w:w="1020" w:type="pct"/>
          </w:tcPr>
          <w:p w:rsidR="00541B8B" w:rsidRPr="00541B8B" w:rsidRDefault="00DC78AD" w:rsidP="00541B8B">
            <w:pPr>
              <w:spacing w:before="100" w:beforeAutospacing="1" w:after="100" w:afterAutospacing="1"/>
              <w:ind w:firstLine="0"/>
              <w:contextualSpacing/>
              <w:jc w:val="center"/>
              <w:rPr>
                <w:rFonts w:cs="Arial"/>
                <w:sz w:val="24"/>
              </w:rPr>
            </w:pPr>
            <w:hyperlink r:id="rId327" w:history="1">
              <w:r w:rsidR="00541B8B" w:rsidRPr="00541B8B">
                <w:rPr>
                  <w:rFonts w:cs="Arial"/>
                  <w:color w:val="0000FF"/>
                  <w:u w:val="single"/>
                </w:rPr>
                <w:t>DL 185/2015</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Interventi nel territorio e proroga deleghe per revisione bilancio dello Stato</w:t>
            </w:r>
          </w:p>
        </w:tc>
        <w:tc>
          <w:tcPr>
            <w:tcW w:w="867" w:type="pct"/>
          </w:tcPr>
          <w:p w:rsidR="00541B8B" w:rsidRPr="00541B8B" w:rsidRDefault="00DC78AD" w:rsidP="00541B8B">
            <w:pPr>
              <w:spacing w:before="100" w:beforeAutospacing="1" w:after="100" w:afterAutospacing="1"/>
              <w:ind w:firstLine="0"/>
              <w:contextualSpacing/>
              <w:jc w:val="center"/>
              <w:rPr>
                <w:rFonts w:cs="Arial"/>
                <w:sz w:val="24"/>
              </w:rPr>
            </w:pPr>
            <w:hyperlink r:id="rId328" w:anchor="data.20151218.com48.bollettino.sede00010.tit00020" w:history="1">
              <w:r w:rsidR="00541B8B" w:rsidRPr="00541B8B">
                <w:rPr>
                  <w:color w:val="0000FF"/>
                  <w:u w:val="single"/>
                </w:rPr>
                <w:t>18/12/2015</w:t>
              </w:r>
            </w:hyperlink>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076"/>
        <w:gridCol w:w="4076"/>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96-</w:t>
            </w:r>
            <w:r w:rsidRPr="00541B8B">
              <w:rPr>
                <w:rFonts w:cs="Arial"/>
                <w:b/>
                <w:bCs/>
                <w:i/>
                <w:sz w:val="24"/>
              </w:rPr>
              <w:t>BIS</w:t>
            </w:r>
            <w:r w:rsidRPr="00541B8B">
              <w:rPr>
                <w:rFonts w:cs="Arial"/>
                <w:b/>
                <w:bCs/>
                <w:sz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120" w:name="premessa04"/>
            <w:r w:rsidRPr="00541B8B">
              <w:rPr>
                <w:rFonts w:cs="Arial"/>
                <w:b/>
                <w:color w:val="0000FF"/>
                <w:sz w:val="24"/>
                <w:szCs w:val="24"/>
              </w:rPr>
              <w:t>Premessa</w:t>
            </w:r>
            <w:bookmarkEnd w:id="120"/>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1 Condizione</w:t>
            </w:r>
          </w:p>
        </w:tc>
      </w:tr>
      <w:tr w:rsidR="00541B8B" w:rsidRPr="00541B8B" w:rsidTr="00D20CCA">
        <w:trPr>
          <w:trHeight w:val="1128"/>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4a01" w:history="1">
              <w:r w:rsidR="00541B8B" w:rsidRPr="00541B8B">
                <w:rPr>
                  <w:color w:val="0000FF"/>
                  <w:u w:val="single"/>
                </w:rPr>
                <w:t>1</w:t>
              </w:r>
            </w:hyperlink>
            <w:r w:rsidR="00541B8B" w:rsidRPr="00541B8B">
              <w:rPr>
                <w:rFonts w:cs="Arial"/>
              </w:rPr>
              <w:t xml:space="preserve"> – Contenuto disomogeneo con finalità univoca [rilevato implicitamente nel parere]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Disposizioni incidenti su molteplici ambiti materiali, accomunate dalla finalità di intervenire sul territorio. A tale finalità non appaiono riconducibili le modifiche apportate dal Senato, che, con la “tecnica dello scorrimento”, modificano il termine di esercizio di una delega legislativa.</w:t>
            </w:r>
          </w:p>
          <w:p w:rsidR="00541B8B" w:rsidRPr="00541B8B" w:rsidRDefault="00541B8B" w:rsidP="00541B8B">
            <w:pPr>
              <w:spacing w:before="100" w:beforeAutospacing="1" w:after="100" w:afterAutospacing="1"/>
              <w:ind w:firstLine="0"/>
              <w:contextualSpacing/>
              <w:rPr>
                <w:rFonts w:cs="Arial"/>
              </w:rPr>
            </w:pPr>
            <w:r w:rsidRPr="00541B8B">
              <w:rPr>
                <w:rFonts w:cs="Arial"/>
              </w:rPr>
              <w:t>Condizione 1</w:t>
            </w:r>
          </w:p>
        </w:tc>
      </w:tr>
      <w:tr w:rsidR="00541B8B" w:rsidRPr="00541B8B" w:rsidTr="00D20CCA">
        <w:trPr>
          <w:trHeight w:val="141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4a02" w:history="1">
              <w:r w:rsidR="00541B8B" w:rsidRPr="00541B8B">
                <w:rPr>
                  <w:color w:val="0000FF"/>
                  <w:u w:val="single"/>
                </w:rPr>
                <w:t>2</w:t>
              </w:r>
            </w:hyperlink>
            <w:r w:rsidR="00541B8B" w:rsidRPr="00541B8B">
              <w:rPr>
                <w:rFonts w:cs="Arial"/>
              </w:rPr>
              <w:t xml:space="preserve"> – Limiti di contenuto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Inserimento durante l’</w:t>
            </w:r>
            <w:r w:rsidRPr="00541B8B">
              <w:rPr>
                <w:rFonts w:cs="Arial"/>
                <w:i/>
              </w:rPr>
              <w:t>iter</w:t>
            </w:r>
            <w:r w:rsidRPr="00541B8B">
              <w:rPr>
                <w:rFonts w:cs="Arial"/>
              </w:rPr>
              <w:t xml:space="preserve"> al Senato di: una novella alla legge di delega per la revisione dello strumento militare nazionale, che introduce una nuova delega integrativa nell’ambito del decreto-legge;</w:t>
            </w:r>
          </w:p>
          <w:p w:rsidR="00541B8B" w:rsidRPr="00541B8B" w:rsidRDefault="00541B8B" w:rsidP="00541B8B">
            <w:pPr>
              <w:spacing w:before="100" w:beforeAutospacing="1" w:after="100" w:afterAutospacing="1"/>
              <w:ind w:firstLine="0"/>
              <w:contextualSpacing/>
              <w:rPr>
                <w:rFonts w:cs="Arial"/>
              </w:rPr>
            </w:pPr>
            <w:r w:rsidRPr="00541B8B">
              <w:rPr>
                <w:rFonts w:cs="Arial"/>
              </w:rPr>
              <w:t>una proroga della delega per la riforma del bilancio dello Stato (nel ddl di conversione)</w:t>
            </w:r>
          </w:p>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 Richiamo all’articolo 15, c. 2, lettera </w:t>
            </w:r>
            <w:r w:rsidRPr="00541B8B">
              <w:rPr>
                <w:rFonts w:cs="Arial"/>
                <w:i/>
              </w:rPr>
              <w:t>a)</w:t>
            </w:r>
            <w:r w:rsidRPr="00541B8B">
              <w:rPr>
                <w:rFonts w:cs="Arial"/>
              </w:rPr>
              <w:t>, della legge n. 400/1988; richiamo alle sentenze della Corte costituzionale n. 63/1998, n. 237/2013, n. 22/2012, n. 32/2014; richiamo all’articolo 77 della Costituzione, secondo comma.</w:t>
            </w:r>
          </w:p>
          <w:p w:rsidR="00541B8B" w:rsidRPr="00541B8B" w:rsidRDefault="00541B8B" w:rsidP="00541B8B">
            <w:pPr>
              <w:spacing w:before="100" w:beforeAutospacing="1" w:after="100" w:afterAutospacing="1"/>
              <w:ind w:firstLine="0"/>
              <w:contextualSpacing/>
              <w:rPr>
                <w:rFonts w:cs="Arial"/>
              </w:rPr>
            </w:pPr>
            <w:r w:rsidRPr="00541B8B">
              <w:rPr>
                <w:rFonts w:cs="Arial"/>
              </w:rPr>
              <w:t>Condizione 1</w:t>
            </w:r>
          </w:p>
        </w:tc>
      </w:tr>
      <w:tr w:rsidR="00541B8B" w:rsidRPr="00541B8B" w:rsidTr="00D20CCA">
        <w:trPr>
          <w:trHeight w:val="14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04a03" w:history="1">
              <w:r w:rsidR="00541B8B" w:rsidRPr="00541B8B">
                <w:rPr>
                  <w:color w:val="0000FF"/>
                  <w:u w:val="single"/>
                </w:rPr>
                <w:t>3</w:t>
              </w:r>
            </w:hyperlink>
            <w:r w:rsidR="00541B8B" w:rsidRPr="00541B8B">
              <w:rPr>
                <w:color w:val="0000FF"/>
                <w:u w:val="single"/>
              </w:rPr>
              <w:t xml:space="preserve"> </w:t>
            </w:r>
            <w:r w:rsidR="00541B8B" w:rsidRPr="00541B8B">
              <w:t>– Coordinamento con le fonti normative vigenti: modifiche non testuali, stratificazione normativa e impianti derogatori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rPr>
            </w:pP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4a04" w:history="1">
              <w:r w:rsidR="00541B8B" w:rsidRPr="00541B8B">
                <w:rPr>
                  <w:rFonts w:cs="Arial"/>
                  <w:color w:val="0000FF"/>
                  <w:u w:val="single"/>
                </w:rPr>
                <w:t>4</w:t>
              </w:r>
            </w:hyperlink>
            <w:r w:rsidR="00541B8B" w:rsidRPr="00541B8B">
              <w:rPr>
                <w:rFonts w:cs="Arial"/>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rPr>
            </w:pPr>
            <w:r w:rsidRPr="00541B8B">
              <w:rPr>
                <w:rFonts w:cs="Arial"/>
              </w:rPr>
              <w:t xml:space="preserve">Assenti. </w:t>
            </w:r>
          </w:p>
        </w:tc>
      </w:tr>
    </w:tbl>
    <w:p w:rsidR="00541B8B" w:rsidRPr="00541B8B" w:rsidRDefault="00541B8B" w:rsidP="00541B8B">
      <w:pPr>
        <w:spacing w:before="60" w:after="60"/>
        <w:contextualSpacing/>
      </w:pPr>
    </w:p>
    <w:p w:rsidR="00541B8B" w:rsidRPr="00541B8B" w:rsidRDefault="00541B8B" w:rsidP="00541B8B">
      <w:pPr>
        <w:spacing w:before="60" w:after="60"/>
        <w:contextualSpacing/>
      </w:pPr>
    </w:p>
    <w:tbl>
      <w:tblPr>
        <w:tblStyle w:val="Grigliatabella"/>
        <w:tblW w:w="5000" w:type="pct"/>
        <w:tblLook w:val="01E0" w:firstRow="1" w:lastRow="1" w:firstColumn="1" w:lastColumn="1" w:noHBand="0" w:noVBand="0"/>
      </w:tblPr>
      <w:tblGrid>
        <w:gridCol w:w="4076"/>
        <w:gridCol w:w="4076"/>
      </w:tblGrid>
      <w:tr w:rsidR="00541B8B" w:rsidRPr="00541B8B" w:rsidTr="00D20CCA">
        <w:tc>
          <w:tcPr>
            <w:tcW w:w="5000" w:type="pct"/>
            <w:gridSpan w:val="2"/>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b/>
                <w:color w:val="0000FF"/>
              </w:rPr>
              <w:t>Rilievi</w:t>
            </w: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rPr>
                <w:rFonts w:cs="Arial"/>
              </w:rPr>
            </w:pPr>
            <w:hyperlink w:anchor="S04C" w:history="1">
              <w:r w:rsidR="00541B8B" w:rsidRPr="00541B8B">
                <w:rPr>
                  <w:color w:val="0000FF"/>
                  <w:u w:val="single"/>
                </w:rPr>
                <w:t>C</w:t>
              </w:r>
            </w:hyperlink>
            <w:r w:rsidR="00541B8B" w:rsidRPr="00541B8B">
              <w:rPr>
                <w:rFonts w:cs="Arial"/>
              </w:rPr>
              <w:t xml:space="preserve"> - Condizioni</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pPr>
    </w:p>
    <w:p w:rsidR="00541B8B" w:rsidRPr="00541B8B" w:rsidRDefault="00541B8B" w:rsidP="00541B8B">
      <w:pPr>
        <w:spacing w:before="60" w:after="60"/>
        <w:ind w:firstLine="0"/>
        <w:contextualSpacing/>
      </w:pPr>
    </w:p>
    <w:tbl>
      <w:tblPr>
        <w:tblStyle w:val="Grigliatabella"/>
        <w:tblW w:w="5000" w:type="pct"/>
        <w:tblLook w:val="01E0" w:firstRow="1" w:lastRow="1" w:firstColumn="1" w:lastColumn="1" w:noHBand="0" w:noVBand="0"/>
      </w:tblPr>
      <w:tblGrid>
        <w:gridCol w:w="8152"/>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t>Riferimenti</w:t>
            </w:r>
          </w:p>
        </w:tc>
      </w:tr>
      <w:tr w:rsidR="00541B8B" w:rsidRPr="00541B8B" w:rsidTr="00D20CCA">
        <w:trPr>
          <w:trHeight w:val="468"/>
        </w:trPr>
        <w:tc>
          <w:tcPr>
            <w:tcW w:w="5000" w:type="pct"/>
          </w:tcPr>
          <w:p w:rsidR="00541B8B" w:rsidRPr="00541B8B" w:rsidRDefault="00541B8B" w:rsidP="005654AF">
            <w:pPr>
              <w:keepNext/>
              <w:spacing w:before="100" w:beforeAutospacing="1" w:after="100" w:afterAutospacing="1"/>
              <w:ind w:firstLine="0"/>
              <w:contextualSpacing/>
              <w:rPr>
                <w:rFonts w:cs="Arial"/>
                <w:i/>
                <w:sz w:val="24"/>
              </w:rPr>
            </w:pPr>
            <w:r w:rsidRPr="00541B8B">
              <w:rPr>
                <w:rFonts w:cs="Arial"/>
                <w:i/>
              </w:rPr>
              <w:t xml:space="preserve">Articolo 77 della Costituzione, secondo comma; art. 15, c. 2, lettera </w:t>
            </w:r>
            <w:r w:rsidRPr="00541B8B">
              <w:rPr>
                <w:rFonts w:cs="Arial"/>
              </w:rPr>
              <w:t>a)</w:t>
            </w:r>
            <w:r w:rsidRPr="00541B8B">
              <w:rPr>
                <w:rFonts w:cs="Arial"/>
                <w:i/>
              </w:rPr>
              <w:t>, della legge n. 400/1988; sentenze della Corte costituzionale n. 63/1998, n. 237/2013, n. 22/2012, n. 32/2014.</w:t>
            </w:r>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60" w:after="60"/>
        <w:ind w:firstLine="0"/>
        <w:contextualSpacing/>
        <w:rPr>
          <w:rFonts w:cs="Arial"/>
          <w:szCs w:val="22"/>
        </w:rPr>
      </w:pPr>
      <w:bookmarkStart w:id="121" w:name="S04a01"/>
      <w:r w:rsidRPr="00541B8B">
        <w:rPr>
          <w:rFonts w:cs="Arial"/>
          <w:szCs w:val="22"/>
        </w:rPr>
        <w:t>1</w:t>
      </w:r>
      <w:bookmarkEnd w:id="121"/>
      <w:r w:rsidRPr="00541B8B">
        <w:rPr>
          <w:rFonts w:cs="Arial"/>
          <w:szCs w:val="22"/>
        </w:rPr>
        <w:t xml:space="preserve"> – </w:t>
      </w:r>
      <w:hyperlink w:anchor="premessa0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decreto-legge, che si compone di 17 articoli di natura sostanziale, reca un complesso di interventi di carattere finanziario (allo scopo, indicato nella relazione illustrativa, di evitare che le somme a tal fine disponibili sul bilancio 2015 vadano in economia) incidenti su molteplici ambiti materiali; le suddette misure risultano inoltre accomunate dalla finalità di essere preordinate a “rispondere ad istanze di intervento comunque connesse al territorio”; a tale finalità non appaiono invece riconducibili alcune delle modifiche apportate dal Senato, le quali sembrerebbero avere </w:t>
      </w:r>
      <w:r w:rsidRPr="00541B8B">
        <w:rPr>
          <w:b/>
        </w:rPr>
        <w:t>portata ordinamentale</w:t>
      </w:r>
      <w:r w:rsidRPr="00541B8B">
        <w:t>. Si tratta, in particolare delle misure contenute all'articolo 1 del disegno di legge di conversione, che interviene, al comma 2, a modificare il termine per l'esercizio della delega legislativa per il completamento della riforma della struttura del bilancio dello Stato (conferita al Governo dall'articolo 1, comma 2, della legge n. 89 del 2014) e a disporre che il suddetto termine possa essere prolungato qualora il termine per l'espressione del parere parlamentare scada nei trenta giorni che precedono la scadenza del termine di delega, o successivamente (si tratta della cosiddetta «tecnica dello scorrimento»), nonché a modificare il termine per l'esercizio della delega per il riordino della disciplina per la gestione del bilancio dello Stato, conferita al Governo dall'articolo 1, comma 5, della medesima legge n. 89 del 2014</w:t>
      </w:r>
      <w:r w:rsidRPr="00541B8B">
        <w:rPr>
          <w:rFonts w:cs="Arial"/>
          <w:szCs w:val="22"/>
        </w:rPr>
        <w:t>» (</w:t>
      </w:r>
      <w:hyperlink w:anchor="S04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122" w:name="S04a02"/>
      <w:r w:rsidRPr="00541B8B">
        <w:rPr>
          <w:rFonts w:cs="Arial"/>
          <w:szCs w:val="22"/>
        </w:rPr>
        <w:t>2</w:t>
      </w:r>
      <w:bookmarkEnd w:id="122"/>
      <w:r w:rsidRPr="00541B8B">
        <w:rPr>
          <w:rFonts w:cs="Arial"/>
          <w:szCs w:val="22"/>
        </w:rPr>
        <w:t xml:space="preserve"> – </w:t>
      </w:r>
      <w:hyperlink w:anchor="premessa0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[alcune delle modifiche apportate dal Senato sembrerebbero avere </w:t>
      </w:r>
      <w:r w:rsidRPr="00541B8B">
        <w:rPr>
          <w:b/>
        </w:rPr>
        <w:t>portata ordinamentale</w:t>
      </w:r>
      <w:r w:rsidRPr="00541B8B">
        <w:t>. Si tratta, in particolare] dell'articolo 7, comma 4-</w:t>
      </w:r>
      <w:r w:rsidRPr="00541B8B">
        <w:rPr>
          <w:i/>
        </w:rPr>
        <w:t>bis</w:t>
      </w:r>
      <w:r w:rsidRPr="00541B8B">
        <w:t>, che novella la legge di delega per la revisione dello strumento militare nazionale (legge n. 244 del 2012) introducendovi una nuova delega integrativa finalizzata ad assicurare la sostanziale equiordinazione dei comparti sicurezza e difesa, da esercitare entro il 1</w:t>
      </w:r>
      <w:r w:rsidRPr="00541B8B">
        <w:rPr>
          <w:vertAlign w:val="superscript"/>
        </w:rPr>
        <w:t>o</w:t>
      </w:r>
      <w:r w:rsidRPr="00541B8B">
        <w:t xml:space="preserve"> luglio 2017; con riferimento a tale ultima </w:t>
      </w:r>
      <w:r w:rsidRPr="00541B8B">
        <w:lastRenderedPageBreak/>
        <w:t xml:space="preserve">disposizione, introdotta in sede di esame parlamentare, si richiama il </w:t>
      </w:r>
      <w:r w:rsidRPr="00541B8B">
        <w:rPr>
          <w:b/>
        </w:rPr>
        <w:t>limite di contenuto alla decretazione d'urgenza</w:t>
      </w:r>
      <w:r w:rsidRPr="00541B8B">
        <w:t xml:space="preserve"> posto dall'</w:t>
      </w:r>
      <w:r w:rsidRPr="00541B8B">
        <w:rPr>
          <w:b/>
        </w:rPr>
        <w:t xml:space="preserve">articolo 15, comma 2, lettera </w:t>
      </w:r>
      <w:r w:rsidRPr="00541B8B">
        <w:rPr>
          <w:b/>
          <w:i/>
        </w:rPr>
        <w:t>a</w:t>
      </w:r>
      <w:r w:rsidRPr="00541B8B">
        <w:rPr>
          <w:b/>
        </w:rPr>
        <w:t>) della legge n. 400 del 1988</w:t>
      </w:r>
      <w:r w:rsidRPr="00541B8B">
        <w:t xml:space="preserve">, secondo il quale Governo non può, mediante decreto-legge, “conferire deleghe legislative ai sensi dell'articolo 76 della Costituzione” e si ricorda che, come precisato dalla </w:t>
      </w:r>
      <w:r w:rsidRPr="00541B8B">
        <w:rPr>
          <w:b/>
        </w:rPr>
        <w:t>Corte costituzionale</w:t>
      </w:r>
      <w:r w:rsidRPr="00541B8B">
        <w:t xml:space="preserve"> nella </w:t>
      </w:r>
      <w:r w:rsidRPr="00541B8B">
        <w:rPr>
          <w:b/>
        </w:rPr>
        <w:t>sentenza n. 63 del 1998</w:t>
      </w:r>
      <w:r w:rsidRPr="00541B8B">
        <w:t xml:space="preserve"> e ribadito nella </w:t>
      </w:r>
      <w:r w:rsidRPr="00541B8B">
        <w:rPr>
          <w:b/>
        </w:rPr>
        <w:t>sentenza n. 237 del 2013</w:t>
      </w:r>
      <w:r w:rsidRPr="00541B8B">
        <w:t xml:space="preserve">, “l'atto di conferimento al Governo di delega legislativa può avvenire solo con legge”; in relazione invece all'inserimento, a seguito dell'approvazione di emendamenti in sede parlamentare, di disposizioni di delega nell'ambito del disegno di legge di conversione – peraltro volte a rafforzare in tale procedimento il ruolo delle Commissioni parlamentari –, si ricorda che tale circostanza, secondo costante orientamento del Comitato per la legislazione, integra anch'essa una violazione del limite posto dall'articolo 15, comma 2, lettera </w:t>
      </w:r>
      <w:r w:rsidRPr="00541B8B">
        <w:rPr>
          <w:i/>
        </w:rPr>
        <w:t>a</w:t>
      </w:r>
      <w:r w:rsidRPr="00541B8B">
        <w:t xml:space="preserve">), della legge n. 400 del 1988, e che l'inserimento di disposizioni di carattere sostanziale in un disegno di legge di conversione non appare corrispondente ad un corretto utilizzo dello specifico strumento normativo rappresentato da tale tipologia di legge. Inoltre, la Corte Costituzionale, nella </w:t>
      </w:r>
      <w:r w:rsidRPr="00541B8B">
        <w:rPr>
          <w:b/>
        </w:rPr>
        <w:t>sentenza n. 22 del 2012</w:t>
      </w:r>
      <w:r w:rsidRPr="00541B8B">
        <w:t xml:space="preserve"> (con orientamento confermato dalla </w:t>
      </w:r>
      <w:r w:rsidRPr="00541B8B">
        <w:rPr>
          <w:b/>
        </w:rPr>
        <w:t>sentenza n. 32 del 2014</w:t>
      </w:r>
      <w:r w:rsidRPr="00541B8B">
        <w:t xml:space="preserve">), tenuto conto che il </w:t>
      </w:r>
      <w:r w:rsidRPr="00541B8B">
        <w:rPr>
          <w:b/>
        </w:rPr>
        <w:t>secondo comma dell'articolo 77 della Costituzione</w:t>
      </w:r>
      <w:r w:rsidRPr="00541B8B">
        <w:t xml:space="preserve"> “</w:t>
      </w:r>
      <w:r w:rsidRPr="00541B8B">
        <w:rPr>
          <w:i/>
        </w:rPr>
        <w:t>istituisce un nesso di interrelazione funzionale tra decreto-legge, formato dal Governo ed emanato dal Presidente della Repubblica, e legge di conversione, caratterizzata da un procedimento di approvazione peculiare rispetto a quello ordinario” ha affermato che “l'esclusione della possibilità di inserire nella legge di conversione di un decreto-legge emendamenti del tutto estranei all'oggetto e alle finalità del testo originario non risponda soltanto ad esigenze di buona tecnica normativa, ma sia imposta</w:t>
      </w:r>
      <w:r w:rsidRPr="00541B8B">
        <w:t xml:space="preserve">” dalla stessa norma costituzionale; a tale ultimo proposito, si rileva tuttavia che la Corte costituzionale, con la stessa </w:t>
      </w:r>
      <w:r w:rsidRPr="00541B8B">
        <w:rPr>
          <w:b/>
        </w:rPr>
        <w:t>sentenza n. 237 del 2013</w:t>
      </w:r>
      <w:r w:rsidRPr="00541B8B">
        <w:t xml:space="preserve"> si è discostata dagli indirizzi sopra richiamati, affermando che il Parlamento, nell'approvare la legge di conversione di un decreto-legge, può esercitare la propria potestà legislativa anche introducendo, con disposizioni aggiuntive, </w:t>
      </w:r>
      <w:r w:rsidRPr="00541B8B">
        <w:rPr>
          <w:b/>
        </w:rPr>
        <w:t>contenuti normativi ulteriori</w:t>
      </w:r>
      <w:r w:rsidRPr="00541B8B">
        <w:t>. Ciò, tuttavia, nel rispetto del limite dell'omogeneità complessiva dell'atto normativo rispetto all'oggetto o allo scopo</w:t>
      </w:r>
      <w:r w:rsidRPr="00541B8B">
        <w:rPr>
          <w:rFonts w:cs="Arial"/>
          <w:szCs w:val="22"/>
        </w:rPr>
        <w:t>» (</w:t>
      </w:r>
      <w:hyperlink w:anchor="S04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123" w:name="S04a03"/>
      <w:r w:rsidRPr="00541B8B">
        <w:rPr>
          <w:rFonts w:cs="Arial"/>
          <w:szCs w:val="22"/>
        </w:rPr>
        <w:t>3</w:t>
      </w:r>
      <w:bookmarkEnd w:id="123"/>
      <w:r w:rsidRPr="00541B8B">
        <w:rPr>
          <w:rFonts w:cs="Arial"/>
          <w:szCs w:val="22"/>
        </w:rPr>
        <w:t xml:space="preserve"> – </w:t>
      </w:r>
      <w:hyperlink w:anchor="premessa0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sul piano della tecnica normativa utilizzata, le disposizioni contenute nel decreto-legge si inseriscono perlopiù in contesti normativi caratterizzati da una notevole </w:t>
      </w:r>
      <w:r w:rsidRPr="00541B8B">
        <w:rPr>
          <w:b/>
        </w:rPr>
        <w:t>stratificazione</w:t>
      </w:r>
      <w:r w:rsidRPr="00541B8B">
        <w:t xml:space="preserve"> e da </w:t>
      </w:r>
      <w:r w:rsidRPr="00541B8B">
        <w:rPr>
          <w:b/>
        </w:rPr>
        <w:t>impianti derogatori</w:t>
      </w:r>
      <w:r w:rsidRPr="00541B8B">
        <w:t xml:space="preserve"> della normativa vigente. In tale quadro, correttamente, il decreto-legge, laddove non introduce disposizioni a regime, </w:t>
      </w:r>
      <w:r w:rsidRPr="00541B8B">
        <w:rPr>
          <w:b/>
        </w:rPr>
        <w:t>si astiene dal ricorso alla tecnica della novellazione</w:t>
      </w:r>
      <w:r w:rsidRPr="00541B8B">
        <w:t xml:space="preserve">; nei casi in cui reca disposizioni a regime, incidendo sull'ambito applicativo di preesistenti atti normativi, non sempre provvede invece agli opportuni </w:t>
      </w:r>
      <w:r w:rsidRPr="00541B8B">
        <w:rPr>
          <w:b/>
        </w:rPr>
        <w:t>coordinamenti con la normativa vigente</w:t>
      </w:r>
      <w:r w:rsidRPr="00541B8B">
        <w:t>; a titolo meramente esemplificativo, l'articolo 11, ai commi 2-</w:t>
      </w:r>
      <w:r w:rsidRPr="00541B8B">
        <w:rPr>
          <w:i/>
        </w:rPr>
        <w:t>bis</w:t>
      </w:r>
      <w:r w:rsidRPr="00541B8B">
        <w:t xml:space="preserve"> e 2-</w:t>
      </w:r>
      <w:r w:rsidRPr="00541B8B">
        <w:rPr>
          <w:i/>
        </w:rPr>
        <w:t>ter,</w:t>
      </w:r>
      <w:r w:rsidRPr="00541B8B">
        <w:t xml:space="preserve"> interviene sull'ambito </w:t>
      </w:r>
      <w:r w:rsidRPr="00541B8B">
        <w:lastRenderedPageBreak/>
        <w:t>applicativo dell'articolo 1, comma 294, della legge n. 190 del 2014, senza tuttavia novellarlo</w:t>
      </w:r>
      <w:r w:rsidRPr="00541B8B">
        <w:rPr>
          <w:rFonts w:cs="Arial"/>
          <w:szCs w:val="22"/>
        </w:rPr>
        <w:t>»;</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24" w:name="S04a04"/>
      <w:r w:rsidRPr="00541B8B">
        <w:rPr>
          <w:rFonts w:cs="Arial"/>
          <w:szCs w:val="22"/>
        </w:rPr>
        <w:t>4</w:t>
      </w:r>
      <w:bookmarkEnd w:id="124"/>
      <w:r w:rsidRPr="00541B8B">
        <w:rPr>
          <w:rFonts w:cs="Arial"/>
          <w:szCs w:val="22"/>
        </w:rPr>
        <w:t xml:space="preserve"> – </w:t>
      </w:r>
      <w:hyperlink w:anchor="premessa0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il disegno di legge non è corredato né della relazione sull'analisi tecnico-normativa (</w:t>
      </w:r>
      <w:r w:rsidRPr="00541B8B">
        <w:rPr>
          <w:b/>
        </w:rPr>
        <w:t>ATN</w:t>
      </w:r>
      <w:r w:rsidRPr="00541B8B">
        <w:t>), né della relazione sull'analisi di impatto della regolamentazione (</w:t>
      </w:r>
      <w:r w:rsidRPr="00541B8B">
        <w:rPr>
          <w:b/>
        </w:rPr>
        <w:t>AIR</w:t>
      </w:r>
      <w:r w:rsidRPr="00541B8B">
        <w:t>)</w:t>
      </w:r>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125" w:name="S04C"/>
      <w:r w:rsidRPr="00541B8B">
        <w:rPr>
          <w:rFonts w:cs="Arial"/>
          <w:b/>
          <w:szCs w:val="22"/>
        </w:rPr>
        <w:t>Condizioni</w:t>
      </w:r>
      <w:r w:rsidRPr="00541B8B">
        <w:rPr>
          <w:rFonts w:cs="Arial"/>
          <w:szCs w:val="22"/>
        </w:rPr>
        <w:t>:</w:t>
      </w:r>
      <w:bookmarkEnd w:id="125"/>
      <w:r w:rsidRPr="00541B8B">
        <w:rPr>
          <w:rFonts w:cs="Arial"/>
          <w:szCs w:val="22"/>
        </w:rPr>
        <w:t xml:space="preserve"> </w:t>
      </w:r>
    </w:p>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della specificità e omogeneità di contenuto e sul piano dei limiti di contenuto dei decreti-legge:</w:t>
      </w:r>
    </w:p>
    <w:p w:rsidR="00541B8B" w:rsidRPr="00541B8B" w:rsidRDefault="00541B8B" w:rsidP="00541B8B">
      <w:pPr>
        <w:keepNext/>
        <w:spacing w:before="60" w:after="60"/>
        <w:ind w:left="567" w:hanging="283"/>
        <w:contextualSpacing/>
        <w:rPr>
          <w:rFonts w:cs="Arial"/>
          <w:color w:val="0000FF"/>
          <w:szCs w:val="22"/>
          <w:u w:val="single"/>
        </w:rPr>
      </w:pPr>
      <w:bookmarkStart w:id="126" w:name="S04c01"/>
      <w:r w:rsidRPr="00541B8B">
        <w:t xml:space="preserve">1) per quanto detto </w:t>
      </w:r>
      <w:bookmarkEnd w:id="126"/>
      <w:r w:rsidRPr="00541B8B">
        <w:t>in premessa, si sopprimano il comma 4-</w:t>
      </w:r>
      <w:r w:rsidRPr="00541B8B">
        <w:rPr>
          <w:i/>
        </w:rPr>
        <w:t xml:space="preserve">bis </w:t>
      </w:r>
      <w:r w:rsidRPr="00541B8B">
        <w:t>dell'articolo 7 del decreto-legge e il comma 2 dell'articolo 1 del disegno di legge di conversione</w:t>
      </w:r>
      <w:hyperlink w:anchor="premessa04" w:history="1">
        <w:r w:rsidRPr="00541B8B">
          <w:rPr>
            <w:rFonts w:cs="Arial"/>
            <w:color w:val="0000FF"/>
            <w:szCs w:val="22"/>
            <w:u w:val="single"/>
          </w:rPr>
          <w:t>. [torna su]</w:t>
        </w:r>
      </w:hyperlink>
      <w:r w:rsidRPr="00541B8B">
        <w:rPr>
          <w:rFonts w:cs="Arial"/>
          <w:color w:val="0000FF"/>
          <w:szCs w:val="22"/>
          <w:u w:val="single"/>
        </w:rPr>
        <w:t xml:space="preserve"> </w:t>
      </w:r>
    </w:p>
    <w:p w:rsidR="00541B8B" w:rsidRPr="00541B8B" w:rsidRDefault="00541B8B" w:rsidP="00541B8B">
      <w:pPr>
        <w:spacing w:before="60" w:after="60"/>
        <w:ind w:firstLine="0"/>
        <w:contextualSpacing/>
      </w:pPr>
    </w:p>
    <w:p w:rsidR="00541B8B" w:rsidRPr="00541B8B" w:rsidRDefault="00541B8B" w:rsidP="00541B8B">
      <w:pPr>
        <w:spacing w:before="60" w:after="60"/>
        <w:contextualSpacing/>
        <w:sectPr w:rsidR="00541B8B" w:rsidRPr="00541B8B" w:rsidSect="00D20CCA">
          <w:headerReference w:type="default" r:id="rId329"/>
          <w:footerReference w:type="even" r:id="rId330"/>
          <w:footerReference w:type="default" r:id="rId331"/>
          <w:pgSz w:w="11906" w:h="16838" w:code="9"/>
          <w:pgMar w:top="1985" w:right="1985" w:bottom="1985" w:left="1985" w:header="1134" w:footer="1134" w:gutter="0"/>
          <w:cols w:space="720"/>
          <w:formProt w:val="0"/>
        </w:sectPr>
      </w:pPr>
    </w:p>
    <w:tbl>
      <w:tblPr>
        <w:tblStyle w:val="Grigliatabella"/>
        <w:tblW w:w="5000" w:type="pct"/>
        <w:tblLook w:val="01E0" w:firstRow="1" w:lastRow="1" w:firstColumn="1" w:lastColumn="1" w:noHBand="0" w:noVBand="0"/>
      </w:tblPr>
      <w:tblGrid>
        <w:gridCol w:w="1230"/>
        <w:gridCol w:w="1360"/>
        <w:gridCol w:w="1863"/>
        <w:gridCol w:w="3254"/>
        <w:gridCol w:w="1579"/>
      </w:tblGrid>
      <w:tr w:rsidR="00541B8B" w:rsidRPr="00541B8B" w:rsidTr="00D20CCA">
        <w:trPr>
          <w:cantSplit/>
          <w:trHeight w:val="567"/>
        </w:trPr>
        <w:tc>
          <w:tcPr>
            <w:tcW w:w="662"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lastRenderedPageBreak/>
              <w:t>N. SCHEDA</w:t>
            </w:r>
          </w:p>
        </w:tc>
        <w:tc>
          <w:tcPr>
            <w:tcW w:w="733"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1003"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52"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662" w:type="pct"/>
          </w:tcPr>
          <w:p w:rsidR="00541B8B" w:rsidRPr="00541B8B" w:rsidRDefault="00541B8B" w:rsidP="00541B8B">
            <w:pPr>
              <w:spacing w:before="60" w:after="60"/>
              <w:ind w:firstLine="0"/>
              <w:contextualSpacing/>
              <w:jc w:val="center"/>
              <w:rPr>
                <w:rFonts w:cs="Arial"/>
                <w:b/>
              </w:rPr>
            </w:pPr>
            <w:r w:rsidRPr="00541B8B">
              <w:rPr>
                <w:rFonts w:cs="Arial"/>
                <w:b/>
              </w:rPr>
              <w:t>0005</w:t>
            </w:r>
          </w:p>
        </w:tc>
        <w:tc>
          <w:tcPr>
            <w:tcW w:w="733"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2953</w:t>
            </w:r>
          </w:p>
        </w:tc>
        <w:tc>
          <w:tcPr>
            <w:tcW w:w="1003" w:type="pct"/>
          </w:tcPr>
          <w:p w:rsidR="00541B8B" w:rsidRPr="00541B8B" w:rsidRDefault="00DC78AD" w:rsidP="00541B8B">
            <w:pPr>
              <w:spacing w:before="100" w:beforeAutospacing="1" w:after="100" w:afterAutospacing="1"/>
              <w:ind w:firstLine="0"/>
              <w:contextualSpacing/>
              <w:jc w:val="center"/>
              <w:rPr>
                <w:rFonts w:cs="Arial"/>
                <w:sz w:val="24"/>
              </w:rPr>
            </w:pPr>
            <w:hyperlink r:id="rId332" w:history="1">
              <w:r w:rsidR="00541B8B" w:rsidRPr="00541B8B">
                <w:rPr>
                  <w:rFonts w:cs="Arial"/>
                  <w:color w:val="0000FF"/>
                  <w:u w:val="single"/>
                </w:rPr>
                <w:t>ddl Gov</w:t>
              </w:r>
            </w:hyperlink>
          </w:p>
        </w:tc>
        <w:tc>
          <w:tcPr>
            <w:tcW w:w="1752"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Delega processo civile</w:t>
            </w:r>
          </w:p>
        </w:tc>
        <w:tc>
          <w:tcPr>
            <w:tcW w:w="850" w:type="pct"/>
          </w:tcPr>
          <w:p w:rsidR="00541B8B" w:rsidRPr="00541B8B" w:rsidRDefault="00DC78AD" w:rsidP="00541B8B">
            <w:pPr>
              <w:spacing w:before="100" w:beforeAutospacing="1" w:after="100" w:afterAutospacing="1"/>
              <w:ind w:firstLine="0"/>
              <w:contextualSpacing/>
              <w:jc w:val="center"/>
              <w:rPr>
                <w:rFonts w:cs="Arial"/>
                <w:sz w:val="24"/>
              </w:rPr>
            </w:pPr>
            <w:hyperlink r:id="rId333" w:anchor="data.20151222.com48.bollettino.sede00010.tit00010" w:history="1">
              <w:r w:rsidR="00541B8B" w:rsidRPr="00541B8B">
                <w:rPr>
                  <w:color w:val="0000FF"/>
                  <w:u w:val="single"/>
                </w:rPr>
                <w:t>22/12/2015</w:t>
              </w:r>
            </w:hyperlink>
          </w:p>
        </w:tc>
      </w:tr>
    </w:tbl>
    <w:p w:rsidR="00541B8B" w:rsidRPr="00541B8B" w:rsidRDefault="00541B8B" w:rsidP="00541B8B">
      <w:pPr>
        <w:spacing w:before="60" w:after="60"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16-</w:t>
            </w:r>
            <w:r w:rsidRPr="00541B8B">
              <w:rPr>
                <w:rFonts w:cs="Arial"/>
                <w:b/>
                <w:bCs/>
                <w:i/>
                <w:sz w:val="24"/>
              </w:rPr>
              <w:t>BIS</w:t>
            </w:r>
            <w:r w:rsidRPr="00541B8B">
              <w:rPr>
                <w:rFonts w:cs="Arial"/>
                <w:b/>
                <w:bCs/>
                <w:sz w:val="24"/>
              </w:rPr>
              <w:t>, COMMA 6-</w:t>
            </w:r>
            <w:r w:rsidRPr="00541B8B">
              <w:rPr>
                <w:rFonts w:cs="Arial"/>
                <w:b/>
                <w:bCs/>
                <w:i/>
                <w:sz w:val="24"/>
              </w:rPr>
              <w:t>BIS</w:t>
            </w:r>
            <w:r w:rsidRPr="00541B8B">
              <w:rPr>
                <w:rFonts w:cs="Arial"/>
                <w:b/>
                <w:bCs/>
                <w:sz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127" w:name="premessa05"/>
            <w:r w:rsidRPr="00541B8B">
              <w:rPr>
                <w:rFonts w:cs="Arial"/>
                <w:b/>
                <w:color w:val="0000FF"/>
                <w:sz w:val="24"/>
                <w:szCs w:val="24"/>
              </w:rPr>
              <w:t>Premessa</w:t>
            </w:r>
            <w:bookmarkEnd w:id="127"/>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1 Condizione, 1 Osservazione</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05a01" w:history="1">
              <w:r w:rsidR="00541B8B" w:rsidRPr="00541B8B">
                <w:rPr>
                  <w:color w:val="0000FF"/>
                  <w:szCs w:val="22"/>
                  <w:u w:val="single"/>
                </w:rPr>
                <w:t>1</w:t>
              </w:r>
            </w:hyperlink>
            <w:r w:rsidR="00541B8B" w:rsidRPr="00541B8B">
              <w:rPr>
                <w:rFonts w:cs="Arial"/>
                <w:szCs w:val="22"/>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05a02" w:history="1">
              <w:r w:rsidR="00541B8B" w:rsidRPr="00541B8B">
                <w:rPr>
                  <w:color w:val="0000FF"/>
                  <w:szCs w:val="22"/>
                  <w:u w:val="single"/>
                </w:rPr>
                <w:t>2</w:t>
              </w:r>
            </w:hyperlink>
            <w:r w:rsidR="00541B8B" w:rsidRPr="00541B8B">
              <w:rPr>
                <w:rFonts w:cs="Arial"/>
                <w:szCs w:val="22"/>
              </w:rPr>
              <w:t xml:space="preserve"> – </w:t>
            </w:r>
            <w:r w:rsidR="00541B8B" w:rsidRPr="00541B8B">
              <w:rPr>
                <w:szCs w:val="22"/>
              </w:rPr>
              <w:t>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Principi e criteri direttivi generici.</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05a03" w:history="1">
              <w:r w:rsidR="00541B8B" w:rsidRPr="00541B8B">
                <w:rPr>
                  <w:color w:val="0000FF"/>
                  <w:szCs w:val="22"/>
                  <w:u w:val="single"/>
                </w:rPr>
                <w:t>3</w:t>
              </w:r>
            </w:hyperlink>
            <w:r w:rsidR="00541B8B" w:rsidRPr="00541B8B">
              <w:rPr>
                <w:rFonts w:cs="Arial"/>
                <w:szCs w:val="22"/>
              </w:rPr>
              <w:t xml:space="preserve"> – </w:t>
            </w:r>
            <w:r w:rsidR="00541B8B" w:rsidRPr="00541B8B">
              <w:rPr>
                <w:szCs w:val="22"/>
              </w:rPr>
              <w:t>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Scorrimento del termine per l’esercizio della delega. Richiamo al parere sull’AC 2617 (XVII – turno On. Taglialatela, Scheda 31, 11/12/2014) e al parere sull’AC 3194 (XVII - turno On. Formisano, Scheda 21, 30/07/2015).</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Condizione1 </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05a04" w:history="1">
              <w:r w:rsidR="00541B8B" w:rsidRPr="00541B8B">
                <w:rPr>
                  <w:color w:val="0000FF"/>
                  <w:szCs w:val="22"/>
                  <w:u w:val="single"/>
                </w:rPr>
                <w:t>4</w:t>
              </w:r>
            </w:hyperlink>
            <w:r w:rsidR="00541B8B" w:rsidRPr="00541B8B">
              <w:rPr>
                <w:szCs w:val="22"/>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Presenti.</w:t>
            </w:r>
          </w:p>
        </w:tc>
      </w:tr>
    </w:tbl>
    <w:p w:rsidR="00541B8B" w:rsidRPr="00541B8B" w:rsidRDefault="00541B8B" w:rsidP="00541B8B">
      <w:pPr>
        <w:spacing w:before="60" w:after="60"/>
        <w:contextualSpacing/>
      </w:pPr>
    </w:p>
    <w:p w:rsidR="00541B8B" w:rsidRPr="00541B8B" w:rsidRDefault="00541B8B" w:rsidP="00541B8B">
      <w:pPr>
        <w:spacing w:before="60" w:after="60"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 w:val="24"/>
                <w:szCs w:val="24"/>
              </w:rPr>
            </w:pPr>
            <w:r w:rsidRPr="00541B8B">
              <w:rPr>
                <w:rFonts w:cs="Arial"/>
                <w:b/>
                <w:color w:val="0000FF"/>
                <w:sz w:val="24"/>
                <w:szCs w:val="24"/>
              </w:rPr>
              <w:t>Rilievi</w:t>
            </w:r>
          </w:p>
        </w:tc>
      </w:tr>
    </w:tbl>
    <w:tbl>
      <w:tblPr>
        <w:tblW w:w="5140" w:type="pct"/>
        <w:tblLook w:val="01E0" w:firstRow="1" w:lastRow="1" w:firstColumn="1" w:lastColumn="1" w:noHBand="0" w:noVBand="0"/>
      </w:tblPr>
      <w:tblGrid>
        <w:gridCol w:w="4773"/>
        <w:gridCol w:w="4773"/>
      </w:tblGrid>
      <w:tr w:rsidR="00541B8B" w:rsidRPr="00541B8B" w:rsidTr="00D20CCA">
        <w:trPr>
          <w:trHeight w:val="423"/>
        </w:trPr>
        <w:tc>
          <w:tcPr>
            <w:tcW w:w="250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pPr>
            <w:hyperlink w:anchor="S05C" w:history="1">
              <w:r w:rsidR="00541B8B" w:rsidRPr="00541B8B">
                <w:rPr>
                  <w:color w:val="0000FF"/>
                  <w:u w:val="single"/>
                </w:rPr>
                <w:t>C</w:t>
              </w:r>
            </w:hyperlink>
            <w:r w:rsidR="00541B8B" w:rsidRPr="00541B8B">
              <w:t xml:space="preserve"> - Condizioni</w:t>
            </w:r>
          </w:p>
        </w:tc>
        <w:tc>
          <w:tcPr>
            <w:tcW w:w="250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423"/>
        </w:trPr>
        <w:tc>
          <w:tcPr>
            <w:tcW w:w="250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rPr>
            </w:pPr>
            <w:hyperlink w:anchor="S05O" w:history="1">
              <w:r w:rsidR="00541B8B" w:rsidRPr="00541B8B">
                <w:rPr>
                  <w:rFonts w:cs="Arial"/>
                  <w:color w:val="0000FF"/>
                  <w:u w:val="single"/>
                </w:rPr>
                <w:t>O</w:t>
              </w:r>
            </w:hyperlink>
            <w:r w:rsidR="00541B8B" w:rsidRPr="00541B8B">
              <w:rPr>
                <w:rFonts w:cs="Arial"/>
              </w:rPr>
              <w:t xml:space="preserve"> - Osservazioni</w:t>
            </w:r>
          </w:p>
        </w:tc>
        <w:tc>
          <w:tcPr>
            <w:tcW w:w="250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rPr>
          <w:b/>
        </w:rPr>
      </w:pPr>
    </w:p>
    <w:p w:rsidR="00541B8B" w:rsidRPr="00541B8B" w:rsidRDefault="00541B8B" w:rsidP="00541B8B">
      <w:pPr>
        <w:spacing w:before="60" w:after="60"/>
        <w:ind w:firstLine="0"/>
        <w:contextualSpacing/>
        <w:rPr>
          <w:b/>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i/>
              </w:rPr>
              <w:t>nessuno.</w:t>
            </w:r>
          </w:p>
        </w:tc>
      </w:tr>
    </w:tbl>
    <w:p w:rsidR="00541B8B" w:rsidRPr="00541B8B" w:rsidRDefault="00541B8B" w:rsidP="00541B8B">
      <w:pPr>
        <w:spacing w:before="60" w:after="60" w:line="240" w:lineRule="auto"/>
        <w:ind w:firstLine="0"/>
        <w:contextualSpacing/>
        <w:jc w:val="left"/>
        <w:rPr>
          <w:rFonts w:cs="Arial"/>
          <w:sz w:val="24"/>
          <w:szCs w:val="24"/>
        </w:rPr>
      </w:pPr>
    </w:p>
    <w:p w:rsidR="00541B8B" w:rsidRPr="00541B8B" w:rsidRDefault="00541B8B" w:rsidP="00541B8B">
      <w:pPr>
        <w:spacing w:before="60" w:after="60" w:line="240" w:lineRule="auto"/>
        <w:ind w:firstLine="0"/>
        <w:contextualSpacing/>
        <w:jc w:val="left"/>
        <w:rPr>
          <w:rFonts w:cs="Arial"/>
          <w:sz w:val="24"/>
          <w:szCs w:val="24"/>
        </w:rPr>
      </w:pPr>
    </w:p>
    <w:p w:rsidR="00541B8B" w:rsidRPr="00541B8B" w:rsidRDefault="00541B8B" w:rsidP="00541B8B">
      <w:pPr>
        <w:spacing w:before="60" w:after="120"/>
        <w:contextualSpacing/>
        <w:rPr>
          <w:rFonts w:cs="Arial"/>
          <w:szCs w:val="22"/>
        </w:rPr>
      </w:pPr>
      <w:bookmarkStart w:id="128" w:name="S05a01"/>
      <w:r w:rsidRPr="00541B8B">
        <w:rPr>
          <w:rFonts w:cs="Arial"/>
          <w:szCs w:val="22"/>
        </w:rPr>
        <w:t>1</w:t>
      </w:r>
      <w:bookmarkEnd w:id="128"/>
      <w:r w:rsidRPr="00541B8B">
        <w:rPr>
          <w:rFonts w:cs="Arial"/>
          <w:szCs w:val="22"/>
        </w:rPr>
        <w:t xml:space="preserve"> – </w:t>
      </w:r>
      <w:hyperlink w:anchor="premessa05"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disegno di legge, che si compone di un unico articolo suddiviso in 6 commi, reca un </w:t>
      </w:r>
      <w:r w:rsidRPr="00541B8B">
        <w:rPr>
          <w:rFonts w:cs="Arial"/>
          <w:b/>
          <w:szCs w:val="22"/>
        </w:rPr>
        <w:t>contenuto omogeneo</w:t>
      </w:r>
      <w:r w:rsidRPr="00541B8B">
        <w:rPr>
          <w:rFonts w:cs="Arial"/>
          <w:szCs w:val="22"/>
        </w:rPr>
        <w:t xml:space="preserve">, in quanto delega il Governo ad adottare una serie di misure per il conseguimento dell'efficienza del giudizio civile e, segnatamente, uno o più decreti legislativi recanti l'integrazione della disciplina del tribunale delle imprese e l'istituzione del tribunale della famiglia e della persona (comma 1) e uno o più decreti legislativi per il riassetto formale e sostanziale del codice di procedura civile e della correlata legislazione speciale, mediante novelle al codice di procedura civile e alle leggi processuali speciali, in funzione degli obiettivi di semplificazione, speditezza e razionalizzazione del processo civile (comma 2)»; </w:t>
      </w: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contextualSpacing/>
        <w:rPr>
          <w:rFonts w:cs="Arial"/>
          <w:szCs w:val="22"/>
        </w:rPr>
      </w:pPr>
      <w:bookmarkStart w:id="129" w:name="S05a02"/>
      <w:r w:rsidRPr="00541B8B">
        <w:rPr>
          <w:rFonts w:cs="Arial"/>
          <w:szCs w:val="22"/>
        </w:rPr>
        <w:lastRenderedPageBreak/>
        <w:t>2</w:t>
      </w:r>
      <w:bookmarkEnd w:id="129"/>
      <w:r w:rsidRPr="00541B8B">
        <w:rPr>
          <w:rFonts w:cs="Arial"/>
          <w:szCs w:val="22"/>
        </w:rPr>
        <w:t xml:space="preserve"> – </w:t>
      </w:r>
      <w:hyperlink w:anchor="premessa0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disegno di legge, frutto del lavoro di un'apposita Commissione costituita presso il Ministero della giustizia per predisporre specifici interventi di riforma, denota una seria progettazione legislativa – testimoniata anche dalla fattura delle relazioni sull'analisi tecnico normativa e di impatto della regolamentazione – che appare particolarmente compiuta nella delega del comma 1. In relazione, invece, alla formulazione delle norme di delega del comma 2, </w:t>
      </w:r>
      <w:r w:rsidRPr="00541B8B">
        <w:rPr>
          <w:b/>
        </w:rPr>
        <w:t>taluni principi e criteri direttivi meriterebbero ulteriori specificazioni,</w:t>
      </w:r>
      <w:r w:rsidRPr="00541B8B">
        <w:t xml:space="preserve"> il cui contenuto potrebbe essere desunto dalla stessa relazione illustrativa. In particolare, richiederebbero di essere ulteriormente specificati i numeri 1) e 2) della lettera </w:t>
      </w:r>
      <w:r w:rsidRPr="00541B8B">
        <w:rPr>
          <w:rFonts w:eastAsiaTheme="majorEastAsia"/>
          <w:i/>
        </w:rPr>
        <w:t>b),</w:t>
      </w:r>
      <w:r w:rsidRPr="00541B8B">
        <w:t xml:space="preserve"> relativa al giudizio di appello, soprattutto là dove si riferiscono: al potenziamento del carattere </w:t>
      </w:r>
      <w:proofErr w:type="spellStart"/>
      <w:r w:rsidRPr="00541B8B">
        <w:t>impugnatorio</w:t>
      </w:r>
      <w:proofErr w:type="spellEnd"/>
      <w:r w:rsidRPr="00541B8B">
        <w:t xml:space="preserve"> dell'appello, anche attraverso la codificazione degli orientamenti giurisprudenziali; alla riaffermazione in appello dei principi del giusto processo e di leale collaborazione tra i soggetti processuali; all'introduzione di criteri di maggior rigore in relazione all'onere dell'appellante di indicare i capi della sentenza che vengono impugnati e di illustrare le modificazioni richieste, anche attraverso la razionalizzazione della disciplina della forma dell'atto introduttivo, in relazione ai quali la trasposizione nel testo della delega di elementi contenuti nella relazione illustrativa risulterebbe utile anche al fine di evidenziare gli elementi di novità della normativa in questione rispetto all'ordinamento vigente. Richiederebbero di essere ulteriormente specificati anche i principi e i criteri contenuti al numero 2) della lettera </w:t>
      </w:r>
      <w:r w:rsidRPr="00541B8B">
        <w:rPr>
          <w:rFonts w:eastAsiaTheme="majorEastAsia"/>
          <w:i/>
        </w:rPr>
        <w:t>c),</w:t>
      </w:r>
      <w:r w:rsidRPr="00541B8B">
        <w:t xml:space="preserve"> relativa al giudizio di cassazione, laddove menziona la finalità di “favorire la funzione nomofilattica della Corte di cassazione, anche attraverso la razionalizzazione della formazione dei ruoli secondo criteri di rilevanza delle questioni”: la relazione illustrativa, che potrebbe essere ripresa nell'articolato, riconduce al rafforzamento della funzione nomofilattica della Corte tanto interventi funzionali, quanto interventi strutturali, specificamente indicati. Infine, dovrebbe essere maggiormente specificato il numero 1) della lettera </w:t>
      </w:r>
      <w:r w:rsidRPr="00541B8B">
        <w:rPr>
          <w:rFonts w:eastAsiaTheme="majorEastAsia"/>
          <w:i/>
        </w:rPr>
        <w:t>e),</w:t>
      </w:r>
      <w:r w:rsidRPr="00541B8B">
        <w:t xml:space="preserve"> in materia di procedimenti speciali, finalizzato al “potenziamento dell'istituto dell'arbitrato”, da perseguire attraverso due misure: una di carattere meramente eventuale (che quindi affievolisce la pregnanza del principio), relativa alla riforma della </w:t>
      </w:r>
      <w:proofErr w:type="spellStart"/>
      <w:r w:rsidRPr="00541B8B">
        <w:rPr>
          <w:rFonts w:eastAsiaTheme="majorEastAsia"/>
          <w:i/>
        </w:rPr>
        <w:t>traslatio</w:t>
      </w:r>
      <w:proofErr w:type="spellEnd"/>
      <w:r w:rsidRPr="00541B8B">
        <w:rPr>
          <w:rFonts w:eastAsiaTheme="majorEastAsia"/>
          <w:i/>
        </w:rPr>
        <w:t xml:space="preserve"> </w:t>
      </w:r>
      <w:proofErr w:type="spellStart"/>
      <w:r w:rsidRPr="00541B8B">
        <w:rPr>
          <w:rFonts w:eastAsiaTheme="majorEastAsia"/>
          <w:i/>
        </w:rPr>
        <w:t>iudicii</w:t>
      </w:r>
      <w:proofErr w:type="spellEnd"/>
      <w:r w:rsidRPr="00541B8B">
        <w:t>, e l'altra, genericamente ricondotta alla “razionalizzazione delle impugnazioni del lodo”, con espressione che non consente di individuare la direzione o l'obiettivo perseguito</w:t>
      </w:r>
      <w:r w:rsidRPr="00541B8B">
        <w:rPr>
          <w:rFonts w:cs="Arial"/>
          <w:szCs w:val="22"/>
        </w:rPr>
        <w:t>» (</w:t>
      </w:r>
      <w:hyperlink w:anchor="S05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contextualSpacing/>
        <w:rPr>
          <w:rFonts w:cs="Arial"/>
          <w:szCs w:val="22"/>
        </w:rPr>
      </w:pPr>
      <w:bookmarkStart w:id="130" w:name="S05a03"/>
      <w:r w:rsidRPr="00541B8B">
        <w:rPr>
          <w:rFonts w:cs="Arial"/>
          <w:szCs w:val="22"/>
        </w:rPr>
        <w:t>3</w:t>
      </w:r>
      <w:bookmarkEnd w:id="130"/>
      <w:r w:rsidRPr="00541B8B">
        <w:rPr>
          <w:rFonts w:cs="Arial"/>
          <w:szCs w:val="22"/>
        </w:rPr>
        <w:t xml:space="preserve"> – </w:t>
      </w:r>
      <w:hyperlink w:anchor="premessa0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con riferimento al computo dei termini per l'esercizio della delega, il comma 3 dell'articolo 1 dispone che il termine di 18 mesi per l'esercizio della delega possa essere prolungato di 60 giorni qualora i termini per l'espressione dei pareri parlamentari scadano nei trenta giorni che precedono la scadenza dei termini di delega, o successivamente, impiegando pertanto la cosiddetta </w:t>
      </w:r>
      <w:r w:rsidRPr="00541B8B">
        <w:rPr>
          <w:b/>
        </w:rPr>
        <w:t>“tecnica dello scorrimento”</w:t>
      </w:r>
      <w:r w:rsidRPr="00541B8B">
        <w:t xml:space="preserve">, la quale non permette di individuare il termine per l'esercizio della delega in modo univoco; a tale proposito, si segnala che, secondo una costante linea di indirizzo, il Comitato per la legislazione nei propri pareri, ha sempre segnalato che “appare opportuno individuare univocamente i termini per l'esercizio della delega principale e di quelle integrative e correttive, rinunziando alla cosiddetta ’tecnica dello scorrimento’” e che, sia nell'esame del disegno di legge C. 2617 (delega per la riforma del terzo settore), sia nell'esame del disegno di legge C. 3194 (delega appalti pubblici) dopo che il Comitato aveva posto una condizione in tal senso, rispettivamente l'Assemblea e l'VIII Commissione della Camera hanno approvato emendamenti volti a prevedere, in luogo dello scorrimento del termine di delega, </w:t>
      </w:r>
      <w:r w:rsidRPr="00541B8B">
        <w:lastRenderedPageBreak/>
        <w:t>termini univoci entro i quali il Governo deve trasmettere alle Camere gli schemi dei decreti legislativi, pena l'inefficacia della delega</w:t>
      </w:r>
      <w:r w:rsidRPr="00541B8B">
        <w:rPr>
          <w:rFonts w:cs="Arial"/>
          <w:szCs w:val="22"/>
        </w:rPr>
        <w:t xml:space="preserve"> » (</w:t>
      </w:r>
      <w:hyperlink w:anchor="S05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31" w:name="S05a04"/>
      <w:r w:rsidRPr="00541B8B">
        <w:rPr>
          <w:rFonts w:cs="Arial"/>
          <w:szCs w:val="22"/>
        </w:rPr>
        <w:t>4</w:t>
      </w:r>
      <w:bookmarkEnd w:id="131"/>
      <w:r w:rsidRPr="00541B8B">
        <w:rPr>
          <w:rFonts w:cs="Arial"/>
          <w:szCs w:val="22"/>
        </w:rPr>
        <w:t xml:space="preserve"> - </w:t>
      </w:r>
      <w:hyperlink w:anchor="premessa0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nel testo presentato al Senato reca sia l'analisi tecnico-normativa (</w:t>
      </w:r>
      <w:r w:rsidRPr="00541B8B">
        <w:rPr>
          <w:rFonts w:cs="Arial"/>
          <w:b/>
          <w:szCs w:val="22"/>
        </w:rPr>
        <w:t>ATN</w:t>
      </w:r>
      <w:r w:rsidRPr="00541B8B">
        <w:rPr>
          <w:rFonts w:cs="Arial"/>
          <w:szCs w:val="22"/>
        </w:rPr>
        <w:t>) sia l'analisi di impatto della regolamentazione (</w:t>
      </w:r>
      <w:r w:rsidRPr="00541B8B">
        <w:rPr>
          <w:rFonts w:cs="Arial"/>
          <w:b/>
          <w:szCs w:val="22"/>
        </w:rPr>
        <w:t>AIR</w:t>
      </w:r>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132" w:name="S05C"/>
      <w:r w:rsidRPr="00541B8B">
        <w:rPr>
          <w:rFonts w:cs="Arial"/>
          <w:b/>
          <w:szCs w:val="22"/>
        </w:rPr>
        <w:t>Condizioni:</w:t>
      </w:r>
    </w:p>
    <w:bookmarkEnd w:id="132"/>
    <w:p w:rsidR="00541B8B" w:rsidRPr="00541B8B" w:rsidRDefault="00541B8B" w:rsidP="00541B8B">
      <w:pPr>
        <w:spacing w:before="60" w:after="60"/>
        <w:ind w:firstLine="0"/>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bookmarkStart w:id="133" w:name="S05c01"/>
      <w:r w:rsidRPr="00541B8B">
        <w:rPr>
          <w:rFonts w:cs="Arial"/>
          <w:szCs w:val="22"/>
        </w:rPr>
        <w:t>1) per quanto detto in premessa</w:t>
      </w:r>
      <w:bookmarkEnd w:id="133"/>
      <w:r w:rsidRPr="00541B8B">
        <w:rPr>
          <w:rFonts w:cs="Arial"/>
          <w:szCs w:val="22"/>
        </w:rPr>
        <w:t>, all'articolo 1, comma 3, si individui il termine per l'esercizio della delega in modo univoco senza possibilità di “scorrimenti; [</w:t>
      </w:r>
      <w:hyperlink w:anchor="premessa05"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134" w:name="S05O"/>
      <w:r w:rsidRPr="00541B8B">
        <w:rPr>
          <w:rFonts w:cs="Arial"/>
          <w:b/>
          <w:szCs w:val="22"/>
        </w:rPr>
        <w:t>Osservazioni:</w:t>
      </w:r>
    </w:p>
    <w:bookmarkEnd w:id="134"/>
    <w:p w:rsidR="00541B8B" w:rsidRPr="00541B8B" w:rsidRDefault="00541B8B" w:rsidP="00541B8B">
      <w:pPr>
        <w:spacing w:before="60" w:after="60"/>
        <w:ind w:firstLine="0"/>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568" w:hanging="284"/>
        <w:contextualSpacing/>
        <w:rPr>
          <w:rFonts w:cs="Arial"/>
          <w:szCs w:val="22"/>
        </w:rPr>
      </w:pPr>
      <w:bookmarkStart w:id="135" w:name="S05o01"/>
      <w:r w:rsidRPr="00541B8B">
        <w:rPr>
          <w:rFonts w:cs="Arial"/>
          <w:szCs w:val="22"/>
        </w:rPr>
        <w:t xml:space="preserve">1) all'articolo 1, comma </w:t>
      </w:r>
      <w:bookmarkEnd w:id="135"/>
      <w:r w:rsidRPr="00541B8B">
        <w:rPr>
          <w:rFonts w:cs="Arial"/>
          <w:szCs w:val="22"/>
        </w:rPr>
        <w:t>2, lettera b), numeri 1) e 2), lettera c), numero 2) e lettera e), numero 1), che recano principi e criteri direttivi generici, si dovrebbero meglio precisare i suddetti principi e criteri – anche mediante la semplice trasposizione nel testo degli elementi contenuti nella relazione illustrativa – al fine di circoscrivere adeguatamente la discrezionalità del legislatore delegato. [</w:t>
      </w:r>
      <w:hyperlink w:anchor="premessa05"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contextualSpacing/>
      </w:pPr>
    </w:p>
    <w:p w:rsidR="00541B8B" w:rsidRPr="00541B8B" w:rsidRDefault="00541B8B" w:rsidP="00541B8B">
      <w:pPr>
        <w:spacing w:before="60" w:after="60"/>
        <w:contextualSpacing/>
        <w:sectPr w:rsidR="00541B8B" w:rsidRPr="00541B8B" w:rsidSect="00D20CCA">
          <w:headerReference w:type="even" r:id="rId334"/>
          <w:headerReference w:type="default" r:id="rId335"/>
          <w:footerReference w:type="even" r:id="rId336"/>
          <w:footerReference w:type="default" r:id="rId337"/>
          <w:headerReference w:type="first" r:id="rId338"/>
          <w:footerReference w:type="first" r:id="rId339"/>
          <w:pgSz w:w="11906" w:h="16838" w:code="9"/>
          <w:pgMar w:top="1418" w:right="1418" w:bottom="1134" w:left="1418" w:header="567" w:footer="567" w:gutter="0"/>
          <w:cols w:space="708"/>
          <w:docGrid w:linePitch="360"/>
        </w:sectPr>
      </w:pPr>
    </w:p>
    <w:tbl>
      <w:tblPr>
        <w:tblStyle w:val="Grigliatabella"/>
        <w:tblW w:w="5000" w:type="pct"/>
        <w:tblLook w:val="01E0" w:firstRow="1" w:lastRow="1" w:firstColumn="1" w:lastColumn="1" w:noHBand="0" w:noVBand="0"/>
      </w:tblPr>
      <w:tblGrid>
        <w:gridCol w:w="1230"/>
        <w:gridCol w:w="1157"/>
        <w:gridCol w:w="1598"/>
        <w:gridCol w:w="2818"/>
        <w:gridCol w:w="1349"/>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lastRenderedPageBreak/>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rPr>
            </w:pPr>
            <w:r w:rsidRPr="00541B8B">
              <w:rPr>
                <w:rFonts w:cs="Arial"/>
                <w:b/>
              </w:rPr>
              <w:t>0006</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3513</w:t>
            </w:r>
          </w:p>
        </w:tc>
        <w:tc>
          <w:tcPr>
            <w:tcW w:w="1020" w:type="pct"/>
          </w:tcPr>
          <w:p w:rsidR="00541B8B" w:rsidRPr="00541B8B" w:rsidRDefault="00DC78AD" w:rsidP="00541B8B">
            <w:pPr>
              <w:spacing w:before="100" w:beforeAutospacing="1" w:after="100" w:afterAutospacing="1"/>
              <w:ind w:firstLine="0"/>
              <w:contextualSpacing/>
              <w:jc w:val="center"/>
              <w:rPr>
                <w:rFonts w:cs="Arial"/>
                <w:sz w:val="24"/>
              </w:rPr>
            </w:pPr>
            <w:hyperlink r:id="rId340" w:history="1">
              <w:r w:rsidR="00541B8B" w:rsidRPr="00541B8B">
                <w:rPr>
                  <w:rFonts w:cs="Arial"/>
                  <w:color w:val="0000FF"/>
                  <w:u w:val="single"/>
                </w:rPr>
                <w:t>DL 210/2015</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Milleproroghe</w:t>
            </w:r>
          </w:p>
        </w:tc>
        <w:tc>
          <w:tcPr>
            <w:tcW w:w="867" w:type="pct"/>
          </w:tcPr>
          <w:p w:rsidR="00541B8B" w:rsidRPr="00541B8B" w:rsidRDefault="00DC78AD" w:rsidP="00541B8B">
            <w:pPr>
              <w:spacing w:before="100" w:beforeAutospacing="1" w:after="100" w:afterAutospacing="1"/>
              <w:ind w:firstLine="0"/>
              <w:contextualSpacing/>
              <w:jc w:val="center"/>
              <w:rPr>
                <w:rFonts w:cs="Arial"/>
                <w:sz w:val="24"/>
              </w:rPr>
            </w:pPr>
            <w:hyperlink r:id="rId341" w:anchor="data.20160114.com48.bollettino.sede00010.tit00010" w:history="1">
              <w:r w:rsidR="00541B8B" w:rsidRPr="00541B8B">
                <w:rPr>
                  <w:color w:val="0000FF"/>
                  <w:u w:val="single"/>
                </w:rPr>
                <w:t>14/01/2016</w:t>
              </w:r>
            </w:hyperlink>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076"/>
        <w:gridCol w:w="4076"/>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96-</w:t>
            </w:r>
            <w:r w:rsidRPr="00541B8B">
              <w:rPr>
                <w:rFonts w:cs="Arial"/>
                <w:b/>
                <w:bCs/>
                <w:i/>
                <w:sz w:val="24"/>
              </w:rPr>
              <w:t>BIS</w:t>
            </w:r>
            <w:r w:rsidRPr="00541B8B">
              <w:rPr>
                <w:rFonts w:cs="Arial"/>
                <w:b/>
                <w:bCs/>
                <w:sz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136" w:name="premessa06"/>
            <w:r w:rsidRPr="00541B8B">
              <w:rPr>
                <w:rFonts w:cs="Arial"/>
                <w:b/>
                <w:color w:val="0000FF"/>
                <w:sz w:val="24"/>
                <w:szCs w:val="24"/>
              </w:rPr>
              <w:t>Premessa</w:t>
            </w:r>
            <w:bookmarkEnd w:id="136"/>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1 Condizione, 3 Osservazioni, 1 Raccomandazione</w:t>
            </w:r>
          </w:p>
        </w:tc>
      </w:tr>
      <w:tr w:rsidR="00541B8B" w:rsidRPr="00541B8B" w:rsidTr="00D20CCA">
        <w:trPr>
          <w:trHeight w:val="1128"/>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6a01" w:history="1">
              <w:r w:rsidR="00541B8B" w:rsidRPr="00541B8B">
                <w:rPr>
                  <w:color w:val="0000FF"/>
                  <w:u w:val="single"/>
                </w:rPr>
                <w:t>1</w:t>
              </w:r>
            </w:hyperlink>
            <w:r w:rsidR="00541B8B" w:rsidRPr="00541B8B">
              <w:rPr>
                <w:rFonts w:cs="Arial"/>
              </w:rPr>
              <w:t xml:space="preserve"> – Contenuto considerato fisiologicamente eterogeneo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Le disposizioni incidono su numerosi ambiti materiali e sono legate tra loro dalla comune funzione di prorogare o differire termini previsti da disposizioni legislative vigenti, ovvero di introdurre regimi transitori.</w:t>
            </w:r>
          </w:p>
        </w:tc>
      </w:tr>
      <w:tr w:rsidR="00541B8B" w:rsidRPr="00541B8B" w:rsidTr="00D20CCA">
        <w:trPr>
          <w:trHeight w:val="141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6a02" w:history="1">
              <w:r w:rsidR="00541B8B" w:rsidRPr="00541B8B">
                <w:rPr>
                  <w:color w:val="0000FF"/>
                  <w:u w:val="single"/>
                </w:rPr>
                <w:t>2</w:t>
              </w:r>
            </w:hyperlink>
            <w:r w:rsidR="00541B8B" w:rsidRPr="00541B8B">
              <w:rPr>
                <w:rFonts w:cs="Arial"/>
              </w:rPr>
              <w:t xml:space="preserve"> – Coordinamento con le fonti normative vigenti: modifiche non testuali ed assenza di clausole di coordinamento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5654AF" w:rsidP="005654AF">
            <w:pPr>
              <w:spacing w:before="100" w:beforeAutospacing="1" w:after="100" w:afterAutospacing="1"/>
              <w:ind w:firstLine="0"/>
              <w:contextualSpacing/>
              <w:jc w:val="left"/>
            </w:pPr>
            <w:r w:rsidRPr="005654AF">
              <w:rPr>
                <w:color w:val="0000FF"/>
                <w:u w:val="single"/>
              </w:rPr>
              <w:t xml:space="preserve">3 </w:t>
            </w:r>
            <w:r w:rsidR="00541B8B" w:rsidRPr="005654AF">
              <w:rPr>
                <w:color w:val="0000FF"/>
              </w:rPr>
              <w:t xml:space="preserve"> – </w:t>
            </w:r>
            <w:r w:rsidR="00541B8B" w:rsidRPr="00541B8B">
              <w:rPr>
                <w:rFonts w:cs="Arial"/>
              </w:rPr>
              <w:t>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Viene prorogato il termine di entrata in vigore del nuovo sistema di remunerazione della filiera distributiva del farmaco, ma non si adegua conseguentemente il termine di adozione del decreto attuativo di tale disciplina.</w:t>
            </w:r>
          </w:p>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Osservazione 3 </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6a04" w:history="1">
              <w:r w:rsidR="00541B8B" w:rsidRPr="00541B8B">
                <w:rPr>
                  <w:rFonts w:cs="Arial"/>
                  <w:color w:val="0000FF"/>
                  <w:u w:val="single"/>
                </w:rPr>
                <w:t>4</w:t>
              </w:r>
            </w:hyperlink>
            <w:r w:rsidR="00541B8B" w:rsidRPr="00541B8B">
              <w:rPr>
                <w:rFonts w:cs="Arial"/>
              </w:rPr>
              <w:t xml:space="preserve"> – Proroga di disposizioni transitorie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Stratificazione di disposizioni a carattere temporaneo, delle quali andrebbe valutata la trasformazione a regime.</w:t>
            </w:r>
          </w:p>
          <w:p w:rsidR="00541B8B" w:rsidRPr="00541B8B" w:rsidRDefault="00541B8B" w:rsidP="00541B8B">
            <w:pPr>
              <w:spacing w:before="100" w:beforeAutospacing="1" w:after="100" w:afterAutospacing="1"/>
              <w:ind w:firstLine="0"/>
              <w:contextualSpacing/>
              <w:rPr>
                <w:rFonts w:cs="Arial"/>
              </w:rPr>
            </w:pPr>
            <w:r w:rsidRPr="00541B8B">
              <w:rPr>
                <w:rFonts w:cs="Arial"/>
              </w:rPr>
              <w:t>Osservazione 2</w:t>
            </w:r>
          </w:p>
          <w:p w:rsidR="00541B8B" w:rsidRPr="00541B8B" w:rsidRDefault="00541B8B" w:rsidP="00541B8B">
            <w:pPr>
              <w:spacing w:before="100" w:beforeAutospacing="1" w:after="100" w:afterAutospacing="1"/>
              <w:ind w:firstLine="0"/>
              <w:contextualSpacing/>
              <w:rPr>
                <w:rFonts w:cs="Arial"/>
              </w:rPr>
            </w:pPr>
            <w:r w:rsidRPr="00541B8B">
              <w:rPr>
                <w:rFonts w:cs="Arial"/>
              </w:rPr>
              <w:t>Raccomandazione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pPr>
            <w:hyperlink w:anchor="S06a05" w:history="1">
              <w:r w:rsidR="00541B8B" w:rsidRPr="00541B8B">
                <w:rPr>
                  <w:rFonts w:cs="Arial"/>
                  <w:color w:val="0000FF"/>
                  <w:u w:val="single"/>
                </w:rPr>
                <w:t>5</w:t>
              </w:r>
            </w:hyperlink>
            <w:r w:rsidR="00541B8B" w:rsidRPr="00541B8B">
              <w:rPr>
                <w:rFonts w:cs="Arial"/>
              </w:rPr>
              <w:t xml:space="preserve"> – Efficacia temporale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Si proroga il termine iniziale di entrata  in vigore di discipline a regime che avrebbero già dovuto trovare applicazione da alcuni anni.</w:t>
            </w:r>
          </w:p>
          <w:p w:rsidR="00541B8B" w:rsidRPr="00541B8B" w:rsidRDefault="00541B8B" w:rsidP="00541B8B">
            <w:pPr>
              <w:spacing w:before="100" w:beforeAutospacing="1" w:after="100" w:afterAutospacing="1"/>
              <w:ind w:firstLine="0"/>
              <w:contextualSpacing/>
              <w:rPr>
                <w:rFonts w:cs="Arial"/>
              </w:rPr>
            </w:pPr>
            <w:r w:rsidRPr="00541B8B">
              <w:rPr>
                <w:rFonts w:cs="Arial"/>
              </w:rPr>
              <w:t>Raccomandazione 1</w:t>
            </w:r>
          </w:p>
        </w:tc>
      </w:tr>
    </w:tbl>
    <w:p w:rsidR="00541B8B" w:rsidRPr="00541B8B" w:rsidRDefault="00541B8B" w:rsidP="00541B8B">
      <w:pPr>
        <w:spacing w:before="60" w:after="60"/>
        <w:contextualSpacing/>
      </w:pPr>
    </w:p>
    <w:tbl>
      <w:tblPr>
        <w:tblStyle w:val="Grigliatabella"/>
        <w:tblW w:w="5000" w:type="pct"/>
        <w:jc w:val="center"/>
        <w:tblLook w:val="01E0" w:firstRow="1" w:lastRow="1" w:firstColumn="1" w:lastColumn="1" w:noHBand="0" w:noVBand="0"/>
      </w:tblPr>
      <w:tblGrid>
        <w:gridCol w:w="4076"/>
        <w:gridCol w:w="4076"/>
      </w:tblGrid>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pPr>
            <w:hyperlink w:anchor="S06a06" w:history="1">
              <w:r w:rsidR="00541B8B" w:rsidRPr="00541B8B">
                <w:rPr>
                  <w:color w:val="0000FF"/>
                  <w:u w:val="single"/>
                </w:rPr>
                <w:t>6</w:t>
              </w:r>
            </w:hyperlink>
            <w:r w:rsidR="00541B8B" w:rsidRPr="00541B8B">
              <w:t xml:space="preserve"> – Efficacia temporale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Proroga di termini per l’adozione di provvedimenti applicativi di norme preesistenti che non hanno mai trovato attuazione.</w:t>
            </w:r>
          </w:p>
          <w:p w:rsidR="00541B8B" w:rsidRPr="00541B8B" w:rsidRDefault="00541B8B" w:rsidP="00541B8B">
            <w:pPr>
              <w:spacing w:before="100" w:beforeAutospacing="1" w:after="100" w:afterAutospacing="1"/>
              <w:ind w:firstLine="0"/>
              <w:contextualSpacing/>
              <w:rPr>
                <w:rFonts w:cs="Arial"/>
              </w:rPr>
            </w:pPr>
            <w:r w:rsidRPr="00541B8B">
              <w:rPr>
                <w:rFonts w:cs="Arial"/>
              </w:rPr>
              <w:t>Raccomandazione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pPr>
            <w:hyperlink w:anchor="S06a07" w:history="1">
              <w:r w:rsidR="00541B8B" w:rsidRPr="00541B8B">
                <w:rPr>
                  <w:color w:val="0000FF"/>
                  <w:u w:val="single"/>
                </w:rPr>
                <w:t>7</w:t>
              </w:r>
            </w:hyperlink>
            <w:r w:rsidR="00541B8B" w:rsidRPr="00541B8B">
              <w:t xml:space="preserve"> – Efficacia temporale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Proroga di disposizioni aventi carattere derogatorio.</w:t>
            </w:r>
          </w:p>
          <w:p w:rsidR="00541B8B" w:rsidRPr="00541B8B" w:rsidRDefault="00541B8B" w:rsidP="00541B8B">
            <w:pPr>
              <w:spacing w:before="100" w:beforeAutospacing="1" w:after="100" w:afterAutospacing="1"/>
              <w:ind w:firstLine="0"/>
              <w:contextualSpacing/>
              <w:rPr>
                <w:rFonts w:cs="Arial"/>
              </w:rPr>
            </w:pPr>
            <w:r w:rsidRPr="00541B8B">
              <w:rPr>
                <w:rFonts w:cs="Arial"/>
              </w:rPr>
              <w:t>Raccomandazione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pPr>
            <w:hyperlink w:anchor="S06a08" w:history="1">
              <w:r w:rsidR="00541B8B" w:rsidRPr="00541B8B">
                <w:rPr>
                  <w:color w:val="0000FF"/>
                  <w:u w:val="single"/>
                </w:rPr>
                <w:t>8</w:t>
              </w:r>
            </w:hyperlink>
            <w:r w:rsidR="00541B8B" w:rsidRPr="00541B8B">
              <w:t xml:space="preserve"> – Rapporti tra fonti primarie e fonti subordinate: incidenza su fonti subordinate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Richiamo al punto 3, lettera </w:t>
            </w:r>
            <w:r w:rsidRPr="00541B8B">
              <w:rPr>
                <w:rFonts w:cs="Arial"/>
                <w:i/>
              </w:rPr>
              <w:t>e)</w:t>
            </w:r>
            <w:r w:rsidRPr="00541B8B">
              <w:rPr>
                <w:rFonts w:cs="Arial"/>
              </w:rPr>
              <w:t>, della circolare sulla formulazione dei testi normativi.</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rPr>
            </w:pPr>
            <w:hyperlink w:anchor="S06a09" w:history="1">
              <w:r w:rsidR="00541B8B" w:rsidRPr="00541B8B">
                <w:rPr>
                  <w:rFonts w:cs="Arial"/>
                  <w:color w:val="0000FF"/>
                  <w:u w:val="single"/>
                </w:rPr>
                <w:t>9</w:t>
              </w:r>
            </w:hyperlink>
            <w:r w:rsidR="00541B8B" w:rsidRPr="00541B8B">
              <w:rPr>
                <w:rFonts w:cs="Arial"/>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Assenti. Presente una tautologica dichiarazione di esenzione dall’obbligo di redigere l’AIR.</w:t>
            </w:r>
          </w:p>
        </w:tc>
      </w:tr>
    </w:tbl>
    <w:p w:rsidR="00541B8B" w:rsidRPr="00541B8B" w:rsidRDefault="00541B8B" w:rsidP="00541B8B">
      <w:pPr>
        <w:spacing w:before="60" w:after="60"/>
        <w:contextualSpacing/>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4076"/>
        <w:gridCol w:w="4076"/>
      </w:tblGrid>
      <w:tr w:rsidR="00541B8B" w:rsidRPr="00541B8B" w:rsidTr="00D20CCA">
        <w:tc>
          <w:tcPr>
            <w:tcW w:w="5000" w:type="pct"/>
            <w:gridSpan w:val="2"/>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b/>
                <w:color w:val="0000FF"/>
              </w:rPr>
              <w:t>Rilievi</w:t>
            </w: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pPr>
            <w:hyperlink w:anchor="S06C" w:history="1">
              <w:r w:rsidR="00541B8B" w:rsidRPr="00541B8B">
                <w:rPr>
                  <w:color w:val="0000FF"/>
                  <w:u w:val="single"/>
                </w:rPr>
                <w:t>C</w:t>
              </w:r>
            </w:hyperlink>
            <w:r w:rsidR="00541B8B" w:rsidRPr="00541B8B">
              <w:t xml:space="preserve"> - Condizione</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rPr>
                <w:rFonts w:cs="Arial"/>
              </w:rPr>
            </w:pPr>
            <w:hyperlink w:anchor="S06O" w:history="1">
              <w:r w:rsidR="00541B8B" w:rsidRPr="00541B8B">
                <w:rPr>
                  <w:color w:val="0000FF"/>
                  <w:u w:val="single"/>
                </w:rPr>
                <w:t>O</w:t>
              </w:r>
            </w:hyperlink>
            <w:r w:rsidR="00541B8B" w:rsidRPr="00541B8B">
              <w:rPr>
                <w:rFonts w:cs="Arial"/>
              </w:rPr>
              <w:t xml:space="preserve"> - Osservazioni</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pPr>
            <w:hyperlink w:anchor="S06R" w:history="1">
              <w:r w:rsidR="00541B8B" w:rsidRPr="00541B8B">
                <w:rPr>
                  <w:color w:val="0000FF"/>
                  <w:u w:val="single"/>
                </w:rPr>
                <w:t>R</w:t>
              </w:r>
            </w:hyperlink>
            <w:r w:rsidR="00541B8B" w:rsidRPr="00541B8B">
              <w:t xml:space="preserve"> - Raccomandazione</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pPr>
    </w:p>
    <w:p w:rsidR="00541B8B" w:rsidRPr="00541B8B" w:rsidRDefault="00541B8B" w:rsidP="00541B8B">
      <w:pPr>
        <w:spacing w:before="60" w:after="60"/>
        <w:ind w:firstLine="0"/>
        <w:contextualSpacing/>
      </w:pPr>
    </w:p>
    <w:tbl>
      <w:tblPr>
        <w:tblStyle w:val="Grigliatabella"/>
        <w:tblW w:w="5000" w:type="pct"/>
        <w:tblLook w:val="01E0" w:firstRow="1" w:lastRow="1" w:firstColumn="1" w:lastColumn="1" w:noHBand="0" w:noVBand="0"/>
      </w:tblPr>
      <w:tblGrid>
        <w:gridCol w:w="8152"/>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i/>
              </w:rPr>
              <w:t xml:space="preserve">Punto 3, lettera </w:t>
            </w:r>
            <w:r w:rsidRPr="00541B8B">
              <w:rPr>
                <w:rFonts w:cs="Arial"/>
              </w:rPr>
              <w:t>e)</w:t>
            </w:r>
            <w:r w:rsidRPr="00541B8B">
              <w:rPr>
                <w:rFonts w:cs="Arial"/>
                <w:i/>
              </w:rPr>
              <w:t>, della circolare sulla corretta formulazione dei testi normativi.</w:t>
            </w:r>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60" w:after="60"/>
        <w:ind w:firstLine="0"/>
        <w:contextualSpacing/>
        <w:rPr>
          <w:rFonts w:cs="Arial"/>
          <w:szCs w:val="22"/>
        </w:rPr>
      </w:pPr>
      <w:bookmarkStart w:id="137" w:name="S06a01"/>
      <w:r w:rsidRPr="00541B8B">
        <w:rPr>
          <w:rFonts w:cs="Arial"/>
          <w:szCs w:val="22"/>
        </w:rPr>
        <w:t>1</w:t>
      </w:r>
      <w:bookmarkEnd w:id="137"/>
      <w:r w:rsidRPr="00541B8B">
        <w:rPr>
          <w:rFonts w:cs="Arial"/>
          <w:szCs w:val="22"/>
        </w:rPr>
        <w:t xml:space="preserve"> – </w:t>
      </w:r>
      <w:hyperlink w:anchor="premessa0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provvedimento, che si compone di tredici articoli, reca </w:t>
      </w:r>
      <w:r w:rsidRPr="00541B8B">
        <w:rPr>
          <w:b/>
        </w:rPr>
        <w:t>disposizioni che intervengono, come fisiologicamente accade per i decreti-legge così detti “mille proroghe”, su numerosi ambiti materiali</w:t>
      </w:r>
      <w:r w:rsidRPr="00541B8B">
        <w:t>, ma che risultano legate tra loro dalla comune funzione di prorogare o differire termini previsti da disposizioni legislative vigenti, ovvero di introdurre regimi transitori</w:t>
      </w:r>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138" w:name="S06a02"/>
      <w:r w:rsidRPr="00541B8B">
        <w:rPr>
          <w:rFonts w:cs="Arial"/>
          <w:szCs w:val="22"/>
        </w:rPr>
        <w:t>2</w:t>
      </w:r>
      <w:bookmarkEnd w:id="138"/>
      <w:r w:rsidRPr="00541B8B">
        <w:rPr>
          <w:rFonts w:cs="Arial"/>
          <w:szCs w:val="22"/>
        </w:rPr>
        <w:t xml:space="preserve"> – </w:t>
      </w:r>
      <w:hyperlink w:anchor="premessa0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nel procedere a numerose modifiche della disciplina vigente, il provvedimento in esame non sempre effettua gli opportuni coordinamenti con le preesistenti fonti normative, sulle quali talvolta interviene mediante </w:t>
      </w:r>
      <w:r w:rsidRPr="00541B8B">
        <w:rPr>
          <w:b/>
        </w:rPr>
        <w:t>modifiche non testuali</w:t>
      </w:r>
      <w:r w:rsidRPr="00541B8B">
        <w:t xml:space="preserve">. Alcuni interventi di proroga o differimento di termini (si vedano, ad esempio, l'articolo Pag. 44, commi 1, 2 e 4; l'articolo 7, comma 11 e l'articolo 12, comma 1) vengono infatti disposti senza novellare il termine precedentemente </w:t>
      </w:r>
      <w:r w:rsidRPr="00541B8B">
        <w:lastRenderedPageBreak/>
        <w:t>previsto, talora integrando la proroga o il differimento con aggiunte di natura sostanziale</w:t>
      </w:r>
      <w:r w:rsidRPr="00541B8B">
        <w:rPr>
          <w:rFonts w:cs="Arial"/>
          <w:szCs w:val="22"/>
        </w:rPr>
        <w:t>» (</w:t>
      </w:r>
      <w:hyperlink w:anchor="S06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139" w:name="S06a03"/>
      <w:r w:rsidRPr="00541B8B">
        <w:rPr>
          <w:rFonts w:cs="Arial"/>
          <w:szCs w:val="22"/>
        </w:rPr>
        <w:t>3</w:t>
      </w:r>
      <w:bookmarkEnd w:id="139"/>
      <w:r w:rsidRPr="00541B8B">
        <w:rPr>
          <w:rFonts w:cs="Arial"/>
          <w:szCs w:val="22"/>
        </w:rPr>
        <w:t xml:space="preserve"> – </w:t>
      </w:r>
      <w:hyperlink w:anchor="premessa0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«un ulteriore difetto di </w:t>
      </w:r>
      <w:r w:rsidRPr="00541B8B">
        <w:rPr>
          <w:rFonts w:cs="Arial"/>
          <w:b/>
          <w:szCs w:val="22"/>
        </w:rPr>
        <w:t>coordinamento con l'ordinamento vigente</w:t>
      </w:r>
      <w:r w:rsidRPr="00541B8B">
        <w:rPr>
          <w:rFonts w:cs="Arial"/>
          <w:szCs w:val="22"/>
        </w:rPr>
        <w:t xml:space="preserve"> si riscontra all'articolo 6, comma 2, che, nel prorogare il termine di entrata in vigore del nuovo sistema di remunerazione della filiera distributiva del farmaco, non interviene sul termine di adozione del decreto attuativo della nuova disciplina, che resta fissato nei novanta giorni successivi alla data di entrata in vigore della legge 7 agosto 2012, n. 135» (</w:t>
      </w:r>
      <w:hyperlink w:anchor="S06o03"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40" w:name="S06a04"/>
      <w:r w:rsidRPr="00541B8B">
        <w:rPr>
          <w:rFonts w:cs="Arial"/>
          <w:szCs w:val="22"/>
        </w:rPr>
        <w:t>4</w:t>
      </w:r>
      <w:bookmarkEnd w:id="140"/>
      <w:r w:rsidRPr="00541B8B">
        <w:rPr>
          <w:rFonts w:cs="Arial"/>
          <w:szCs w:val="22"/>
        </w:rPr>
        <w:t xml:space="preserve"> – </w:t>
      </w:r>
      <w:hyperlink w:anchor="premessa0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decreto-legge reca </w:t>
      </w:r>
      <w:r w:rsidRPr="00541B8B">
        <w:rPr>
          <w:b/>
        </w:rPr>
        <w:t>disposizioni di carattere temporaneo</w:t>
      </w:r>
      <w:r w:rsidRPr="00541B8B">
        <w:t xml:space="preserve"> delle quali, quanto meno in alcuni casi, andrebbe valutata la trasformazione a regime, poiché, a seguito di successive proroghe, </w:t>
      </w:r>
      <w:r w:rsidRPr="00541B8B">
        <w:rPr>
          <w:b/>
        </w:rPr>
        <w:t>si applicano ininterrottamente da numerosi anni</w:t>
      </w:r>
      <w:r w:rsidRPr="00541B8B">
        <w:t xml:space="preserve">. Ad esempio, l'articolo 3, comma 1, proroga al 31 dicembre 2016 il termine per l'applicazione della disciplina transitoria in materia di incroci proprietari tra tv e giornali, originariamente fissato al 31 dicembre 2010 dall'articolo 43 del decreto legislativo n. 177 del 2005 (testo unico dei servizi di media audiovisivi e radiofonici); l'articolo 4, al comma 1, proroga invece in maniera non testuale, per l'anno 2016, l'applicazione di disposizioni transitorie in materia di approvazione del bilancio di previsione degli enti locali e di verifica della salvaguardia degli equilibri di bilancio (articolo 1, comma 1-bis del decreto-legge 30 dicembre 2004, n. 314), in vigore sin dal 2005, mentre, al comma 5, relativo al mantenimento delle contabilità speciali delle province di Monza-Brianza, Fermo e Barletta-Andria-Trani, proroga una disciplina a carattere transitorio che avrebbe dovuto cessare il 30 giugno 2008 (articolo 2, comma 2, delle leggi </w:t>
      </w:r>
      <w:proofErr w:type="spellStart"/>
      <w:r w:rsidRPr="00541B8B">
        <w:t>nn</w:t>
      </w:r>
      <w:proofErr w:type="spellEnd"/>
      <w:r w:rsidRPr="00541B8B">
        <w:t>. 146, 147 e 148 del 2004, relative all'istituzione delle tre province); l'articolo 7, al comma 4, proroga al 31 dicembre 2016 la validità delle tariffe massime di riferimento per la remunerazione di alcune prestazioni di assistenza ospedaliera, come determinate dal decreto ministeriale in data 18 ottobre 2012, che, a norma dell'articolo 15, comma 16, del decreto-legge n. 95 del 2012, avrebbero dovuto avere validità fino al 31 dicembre 2014; infine, l'articolo 10, al comma 3, proroga il regime transitorio relativo al contenimento della spesa per l'acquisto di mobili e arredi da parte delle amministrazioni pubbliche, previsto, per gli anni 2013 e 2014, dall'articolo 1, comma 141, della legge 24 dicembre 2012, n. 228 e poi prorogato al 2015 dal decreto-legge n. 192 del 2014, laddove il comma 5 proroga il regime transitorio relativo alle indennità corrisposte dalle pubbliche amministrazioni ai componenti di organi collegiali ed ai titolari di incarichi di cui all'articolo 6, comma 3, del decreto-legge n. 78 del 2010</w:t>
      </w:r>
      <w:r w:rsidRPr="00541B8B">
        <w:rPr>
          <w:rFonts w:cs="Arial"/>
          <w:szCs w:val="22"/>
        </w:rPr>
        <w:t>»; (</w:t>
      </w:r>
      <w:hyperlink w:anchor="S06o02" w:history="1">
        <w:r w:rsidRPr="00541B8B">
          <w:rPr>
            <w:rFonts w:cs="Arial"/>
            <w:b/>
            <w:color w:val="0000FF"/>
            <w:szCs w:val="22"/>
            <w:u w:val="single"/>
          </w:rPr>
          <w:t>conseguente osservazione</w:t>
        </w:r>
      </w:hyperlink>
      <w:r w:rsidRPr="00541B8B">
        <w:rPr>
          <w:rFonts w:cs="Arial"/>
          <w:szCs w:val="22"/>
        </w:rPr>
        <w:t>) (</w:t>
      </w:r>
      <w:hyperlink w:anchor="S06r01" w:history="1">
        <w:r w:rsidRPr="00541B8B">
          <w:rPr>
            <w:rFonts w:cs="Arial"/>
            <w:b/>
            <w:color w:val="0000FF"/>
            <w:szCs w:val="22"/>
            <w:u w:val="single"/>
          </w:rPr>
          <w:t>conseguente raccomandazione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41" w:name="S06a05"/>
      <w:r w:rsidRPr="00541B8B">
        <w:rPr>
          <w:rFonts w:cs="Arial"/>
          <w:szCs w:val="22"/>
        </w:rPr>
        <w:lastRenderedPageBreak/>
        <w:t>5</w:t>
      </w:r>
      <w:bookmarkEnd w:id="141"/>
      <w:r w:rsidRPr="00541B8B">
        <w:rPr>
          <w:rFonts w:cs="Arial"/>
          <w:szCs w:val="22"/>
        </w:rPr>
        <w:t xml:space="preserve"> – </w:t>
      </w:r>
      <w:hyperlink w:anchor="premessa0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decreto-legge </w:t>
      </w:r>
      <w:r w:rsidRPr="00541B8B">
        <w:rPr>
          <w:b/>
        </w:rPr>
        <w:t>proroga inoltre in più punti il termine iniziale di entrata in vigore di discipline a regime che avrebbero dovuto trovare applicazione già da alcuni anni</w:t>
      </w:r>
      <w:r w:rsidRPr="00541B8B">
        <w:t>. Ad esempio, l'articolo 7, comma 3, proroga fino al 31 luglio 2016 il termine (contemplato dall'articolo 189, comma 5, del codice dei contratti pubblici di cui al decreto legislativo n. 163 del 2006) a decorrere dal quale trova applicazione la disciplina sulla qualificazione del contraente generale delle grandi opere, relativamente alla dimostrazione del possesso dei requisiti di adeguata idoneità tecnica ed organizzativa; l'articolo 8, al comma 1, lettera a), rinvia l'applicazione della disciplina relativa al sistema di controllo della tracciabilità dei rifiuti-SISTRI e delle relative sanzioni, di cui al decreto legislativo n. 152 del 2006</w:t>
      </w:r>
      <w:r w:rsidRPr="00541B8B">
        <w:rPr>
          <w:rFonts w:cs="Arial"/>
          <w:szCs w:val="22"/>
        </w:rPr>
        <w:t>»; (</w:t>
      </w:r>
      <w:hyperlink w:anchor="S06r01" w:history="1">
        <w:r w:rsidRPr="00541B8B">
          <w:rPr>
            <w:rFonts w:cs="Arial"/>
            <w:b/>
            <w:color w:val="0000FF"/>
            <w:szCs w:val="22"/>
            <w:u w:val="single"/>
          </w:rPr>
          <w:t>conseguente raccomandazione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42" w:name="S06a06"/>
      <w:r w:rsidRPr="00541B8B">
        <w:rPr>
          <w:rFonts w:cs="Arial"/>
          <w:szCs w:val="22"/>
        </w:rPr>
        <w:t>6</w:t>
      </w:r>
      <w:bookmarkEnd w:id="142"/>
      <w:r w:rsidRPr="00541B8B">
        <w:rPr>
          <w:rFonts w:cs="Arial"/>
          <w:szCs w:val="22"/>
        </w:rPr>
        <w:t xml:space="preserve"> – </w:t>
      </w:r>
      <w:hyperlink w:anchor="premessa0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altre disposizioni intervengono poi a </w:t>
      </w:r>
      <w:r w:rsidRPr="00541B8B">
        <w:rPr>
          <w:b/>
        </w:rPr>
        <w:t>prorogare il termine per l'adozione di provvedimenti applicativi di norme preesistenti che, conseguentemente, pur vigendo da tempo, non hanno mai trovato attuazione</w:t>
      </w:r>
      <w:r w:rsidRPr="00541B8B">
        <w:t>. Ad esempio, l'articolo 2, comma 1, rinvia – dal 1o gennaio al 1o luglio 2016 – l'obbligatorietà, nel processo amministrativo, di sottoscrizione con firma digitale di tutti gli atti e i provvedimenti del giudice, dei suoi ausiliari, del personale degli uffici giudiziari e delle parti, disposta dall'articolo 38 del decreto-legge n. 90 del 2014, che aveva fissato un termine di 60 giorni dall'entrata in vigore della legge di conversione per l'adozione di un decreto attuativo, che non risulta ancora emanato; l'articolo 6, comma 2, novella l'articolo 15, comma 2, del decreto-legge 6 luglio 2012, n. 95, ulteriormente prorogando al 1o gennaio 2017 il termine – inizialmente fissato al 1o gennaio 2013 – entro il quale il sistema di remunerazione della filiera distributiva del farmaco dovrà essere sostituito da “un nuovo metodo”, definito con decreto del Ministro della salute, all'esito di una complessa procedura; l'articolo 7, comma 5, novella invece l'articolo 2, comma 3, del decreto-legge 25 marzo 2010, n. 40, differendo al 31 dicembre 2016 il termine per l'emanazione del decreto del Ministro delle infrastrutture e dei trasporti, di concerto con il Ministro dello sviluppo economico, previa intesa con la Conferenza Unificata di cui al decreto legislativo 28 agosto 1997, n. 281, con il quale avrebbero dovuto essere adottate – entro il 26 maggio 2010 – “urgenti disposizioni attuative, tese ad impedire pratiche di esercizio abusivo del servizio di taxi e del servizio di noleggio con conducente o, comunque, non rispondenti ai principi ordinamentali che regolano la materia”; l'articolo 10, comma 2, proroga infine a tutto il 2016 l'applicazione del regime della tassazione della produzione combinata di energia elettrica e calore definito con deliberazione n. 16/98 dell'Autorità per l'energia elettrica e il gas, la cui applicazione era originariamente limitata al 2012, nelle more dell'adozione del decreto del Ministero dello sviluppo economico, di concerto con il Ministero dell'economia e delle finanze, previsto al comma 1</w:t>
      </w:r>
      <w:r w:rsidRPr="00541B8B">
        <w:rPr>
          <w:rFonts w:cs="Arial"/>
          <w:szCs w:val="22"/>
        </w:rPr>
        <w:t>»; (</w:t>
      </w:r>
      <w:hyperlink w:anchor="S06r01" w:history="1">
        <w:r w:rsidRPr="00541B8B">
          <w:rPr>
            <w:rFonts w:cs="Arial"/>
            <w:b/>
            <w:color w:val="0000FF"/>
            <w:szCs w:val="22"/>
            <w:u w:val="single"/>
          </w:rPr>
          <w:t>conseguente raccomandazione</w:t>
        </w:r>
      </w:hyperlink>
      <w:r w:rsidRPr="00541B8B">
        <w:rPr>
          <w:rFonts w:cs="Arial"/>
          <w:szCs w:val="22"/>
        </w:rPr>
        <w:t>)</w:t>
      </w:r>
    </w:p>
    <w:p w:rsidR="00541B8B" w:rsidRPr="00541B8B" w:rsidRDefault="00541B8B" w:rsidP="00541B8B">
      <w:pPr>
        <w:spacing w:before="60" w:after="60"/>
        <w:ind w:firstLine="0"/>
        <w:contextualSpacing/>
        <w:rPr>
          <w:rFonts w:cs="Arial"/>
          <w:szCs w:val="22"/>
        </w:rPr>
      </w:pPr>
      <w:bookmarkStart w:id="143" w:name="S06a07"/>
      <w:r w:rsidRPr="00541B8B">
        <w:rPr>
          <w:rFonts w:cs="Arial"/>
          <w:szCs w:val="22"/>
        </w:rPr>
        <w:lastRenderedPageBreak/>
        <w:t>7</w:t>
      </w:r>
      <w:bookmarkEnd w:id="143"/>
      <w:r w:rsidRPr="00541B8B">
        <w:rPr>
          <w:rFonts w:cs="Arial"/>
          <w:szCs w:val="22"/>
        </w:rPr>
        <w:t xml:space="preserve"> – </w:t>
      </w:r>
      <w:hyperlink w:anchor="premessa0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alcune disposizioni intervengono infine a </w:t>
      </w:r>
      <w:r w:rsidRPr="00541B8B">
        <w:rPr>
          <w:b/>
        </w:rPr>
        <w:t>prorogare disposizioni aventi carattere derogatorio</w:t>
      </w:r>
      <w:r w:rsidRPr="00541B8B">
        <w:t>. Ciò si riscontra, a titolo esemplificativo, all'articolo 1, comma 5 e all'articolo 10, commi 6 e 8</w:t>
      </w:r>
      <w:r w:rsidRPr="00541B8B">
        <w:rPr>
          <w:rFonts w:cs="Arial"/>
          <w:szCs w:val="22"/>
        </w:rPr>
        <w:t>»; (</w:t>
      </w:r>
      <w:hyperlink w:anchor="S06r01" w:history="1">
        <w:r w:rsidRPr="00541B8B">
          <w:rPr>
            <w:rFonts w:cs="Arial"/>
            <w:b/>
            <w:color w:val="0000FF"/>
            <w:szCs w:val="22"/>
            <w:u w:val="single"/>
          </w:rPr>
          <w:t>conseguente raccomandazione</w:t>
        </w:r>
      </w:hyperlink>
      <w:r w:rsidRPr="00541B8B">
        <w:rPr>
          <w:rFonts w:cs="Arial"/>
          <w:szCs w:val="22"/>
        </w:rPr>
        <w:t>)</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44" w:name="S06a08"/>
      <w:r w:rsidRPr="00541B8B">
        <w:rPr>
          <w:rFonts w:cs="Arial"/>
          <w:szCs w:val="22"/>
        </w:rPr>
        <w:t>8</w:t>
      </w:r>
      <w:bookmarkEnd w:id="144"/>
      <w:r w:rsidRPr="00541B8B">
        <w:rPr>
          <w:rFonts w:cs="Arial"/>
          <w:szCs w:val="22"/>
        </w:rPr>
        <w:t xml:space="preserve"> – </w:t>
      </w:r>
      <w:hyperlink w:anchor="premessa0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decreto-legge, all'articolo 7, comma 4 (che proroga il termine stabilito dall'articolo 357, comma 27, del Regolamento di esecuzione ed attuazione del decreto legislativo 12 aprile 2006, n. 163, recante “Codice dei contratti pubblici relativi a lavori, servizi e forniture”), </w:t>
      </w:r>
      <w:r w:rsidRPr="00541B8B">
        <w:rPr>
          <w:b/>
        </w:rPr>
        <w:t>incide in via non testuale su discipline oggetto di fonte normativa di rango subordinato</w:t>
      </w:r>
      <w:r w:rsidRPr="00541B8B">
        <w:t xml:space="preserve">; tale circostanza non appare coerente con le esigenze di semplificazione dell'ordinamento vigente: si integra infatti una modalità di produzione legislativa che, secondo i costanti indirizzi del Comitato, non appare funzionale alle esigenze di coerente utilizzo delle fonti, in quanto può derivarne l'effetto secondo cui atti non aventi forza di legge presentano “un diverso grado di ‘resistenza’ ad interventi modificativi successivi” [si veda il </w:t>
      </w:r>
      <w:r w:rsidRPr="00541B8B">
        <w:rPr>
          <w:b/>
        </w:rPr>
        <w:t>punto 3, lettera e), della circolare</w:t>
      </w:r>
      <w:r w:rsidRPr="00541B8B">
        <w:t xml:space="preserve"> congiunta dei Presidenti di Camera e Senato e del Presidente del Consiglio del 20 aprile 2001]</w:t>
      </w:r>
      <w:r w:rsidRPr="00541B8B">
        <w:rPr>
          <w:rFonts w:cs="Arial"/>
          <w:szCs w:val="22"/>
        </w:rPr>
        <w:t>»; (</w:t>
      </w:r>
      <w:hyperlink w:anchor="S06c01"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45" w:name="S06a09"/>
      <w:r w:rsidRPr="00541B8B">
        <w:rPr>
          <w:rFonts w:cs="Arial"/>
          <w:szCs w:val="22"/>
        </w:rPr>
        <w:t>9</w:t>
      </w:r>
      <w:bookmarkEnd w:id="145"/>
      <w:r w:rsidRPr="00541B8B">
        <w:rPr>
          <w:rFonts w:cs="Arial"/>
          <w:szCs w:val="22"/>
        </w:rPr>
        <w:t xml:space="preserve"> – </w:t>
      </w:r>
      <w:hyperlink w:anchor="premessa0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il disegno di legge non è corredato della relazione sull'analisi tecnico-normativa (</w:t>
      </w:r>
      <w:r w:rsidRPr="00541B8B">
        <w:rPr>
          <w:b/>
        </w:rPr>
        <w:t>ATN</w:t>
      </w:r>
      <w:r w:rsidRPr="00541B8B">
        <w:t>) ed è sprovvisto della relazione sull'analisi di impatto della regolamentazione (</w:t>
      </w:r>
      <w:r w:rsidRPr="00541B8B">
        <w:rPr>
          <w:b/>
        </w:rPr>
        <w:t>AIR</w:t>
      </w:r>
      <w:r w:rsidRPr="00541B8B">
        <w:t>); alla relazione di accompagnamento al disegno di legge di conversione è allegata una tautologica dichiarazione di esenzione dall'obbligo di redigerla</w:t>
      </w:r>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146" w:name="S06C"/>
      <w:r w:rsidRPr="00541B8B">
        <w:rPr>
          <w:rFonts w:cs="Arial"/>
          <w:b/>
          <w:szCs w:val="22"/>
        </w:rPr>
        <w:t>Condizioni</w:t>
      </w:r>
      <w:r w:rsidRPr="00541B8B">
        <w:rPr>
          <w:rFonts w:cs="Arial"/>
          <w:szCs w:val="22"/>
        </w:rPr>
        <w:t xml:space="preserve">: </w:t>
      </w:r>
    </w:p>
    <w:bookmarkEnd w:id="146"/>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color w:val="0000FF"/>
          <w:szCs w:val="22"/>
          <w:u w:val="single"/>
        </w:rPr>
      </w:pPr>
      <w:bookmarkStart w:id="147" w:name="S06c01"/>
      <w:r w:rsidRPr="00541B8B">
        <w:t>1) si proceda alla soppressione</w:t>
      </w:r>
      <w:bookmarkEnd w:id="147"/>
      <w:r w:rsidRPr="00541B8B">
        <w:t>, nella parte in cui incide su una norma contenuta in una fonte subordinata del diritto, della disposizione contenuta all'articolo 7, comma 4, oppure, subordinatamente – ove si intenda mantenerla – si provveda a riformularla nel senso di autorizzare il Governo ad integrare la disciplina contenuta nella fonte subordinata mediante un atto avente la medesima forza.</w:t>
      </w:r>
      <w:hyperlink w:anchor="premessa06" w:history="1">
        <w:r w:rsidRPr="00541B8B">
          <w:rPr>
            <w:rFonts w:cs="Arial"/>
            <w:color w:val="0000FF"/>
            <w:szCs w:val="22"/>
          </w:rPr>
          <w:t xml:space="preserve"> </w:t>
        </w:r>
        <w:r w:rsidRPr="00541B8B">
          <w:rPr>
            <w:rFonts w:cs="Arial"/>
            <w:szCs w:val="22"/>
          </w:rPr>
          <w:t>[</w:t>
        </w:r>
        <w:r w:rsidRPr="00541B8B">
          <w:rPr>
            <w:rFonts w:cs="Arial"/>
            <w:color w:val="0000FF"/>
            <w:szCs w:val="22"/>
            <w:u w:val="single"/>
          </w:rPr>
          <w:t>torna su</w:t>
        </w:r>
        <w:r w:rsidRPr="00541B8B">
          <w:rPr>
            <w:rFonts w:cs="Arial"/>
            <w:szCs w:val="22"/>
          </w:rPr>
          <w:t>]</w:t>
        </w:r>
      </w:hyperlink>
      <w:r w:rsidRPr="00541B8B">
        <w:rPr>
          <w:rFonts w:cs="Arial"/>
          <w:color w:val="0000FF"/>
          <w:szCs w:val="22"/>
          <w:u w:val="single"/>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148" w:name="S06O"/>
      <w:r w:rsidRPr="00541B8B">
        <w:rPr>
          <w:rFonts w:cs="Arial"/>
          <w:b/>
          <w:szCs w:val="22"/>
        </w:rPr>
        <w:lastRenderedPageBreak/>
        <w:t>Osservazioni</w:t>
      </w:r>
      <w:r w:rsidRPr="00541B8B">
        <w:rPr>
          <w:rFonts w:cs="Arial"/>
          <w:szCs w:val="22"/>
        </w:rPr>
        <w:t xml:space="preserve">: </w:t>
      </w:r>
    </w:p>
    <w:bookmarkEnd w:id="148"/>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color w:val="0000FF"/>
          <w:szCs w:val="22"/>
          <w:u w:val="single"/>
        </w:rPr>
      </w:pPr>
      <w:r w:rsidRPr="00541B8B">
        <w:t xml:space="preserve">1) </w:t>
      </w:r>
      <w:bookmarkStart w:id="149" w:name="S06o01"/>
      <w:r w:rsidRPr="00541B8B">
        <w:t xml:space="preserve">si dovrebbero riformulare </w:t>
      </w:r>
      <w:bookmarkEnd w:id="149"/>
      <w:r w:rsidRPr="00541B8B">
        <w:t>in termini di novella le disposizioni indicate in premessa che incidono in via non testuale su previgenti disposizioni legislative al fine di prorogare o differire termini da esse previsti;</w:t>
      </w:r>
      <w:hyperlink w:anchor="premessa06" w:history="1">
        <w:r w:rsidRPr="00541B8B">
          <w:rPr>
            <w:rFonts w:cs="Arial"/>
            <w:color w:val="0000FF"/>
            <w:szCs w:val="22"/>
          </w:rPr>
          <w:t xml:space="preserve"> </w:t>
        </w:r>
        <w:r w:rsidRPr="00541B8B">
          <w:rPr>
            <w:rFonts w:cs="Arial"/>
            <w:szCs w:val="22"/>
          </w:rPr>
          <w:t>[</w:t>
        </w:r>
        <w:r w:rsidRPr="00541B8B">
          <w:rPr>
            <w:rFonts w:cs="Arial"/>
            <w:color w:val="0000FF"/>
            <w:szCs w:val="22"/>
            <w:u w:val="single"/>
          </w:rPr>
          <w:t>torna su</w:t>
        </w:r>
        <w:r w:rsidRPr="00541B8B">
          <w:rPr>
            <w:rFonts w:cs="Arial"/>
            <w:szCs w:val="22"/>
          </w:rPr>
          <w:t>]</w:t>
        </w:r>
      </w:hyperlink>
      <w:r w:rsidRPr="00541B8B">
        <w:rPr>
          <w:rFonts w:cs="Arial"/>
          <w:color w:val="0000FF"/>
          <w:szCs w:val="22"/>
          <w:u w:val="single"/>
        </w:rPr>
        <w:t xml:space="preserve"> </w:t>
      </w:r>
    </w:p>
    <w:p w:rsidR="00541B8B" w:rsidRPr="00541B8B" w:rsidRDefault="00541B8B" w:rsidP="00541B8B">
      <w:pPr>
        <w:keepNext/>
        <w:spacing w:before="60" w:after="60"/>
        <w:ind w:left="567" w:hanging="283"/>
        <w:contextualSpacing/>
        <w:rPr>
          <w:rFonts w:cs="Arial"/>
          <w:szCs w:val="22"/>
        </w:rPr>
      </w:pPr>
      <w:bookmarkStart w:id="150" w:name="S06o02"/>
      <w:r w:rsidRPr="00541B8B">
        <w:rPr>
          <w:rFonts w:cs="Arial"/>
          <w:szCs w:val="22"/>
        </w:rPr>
        <w:t>2) per quanto detto in premessa</w:t>
      </w:r>
      <w:bookmarkEnd w:id="150"/>
      <w:r w:rsidRPr="00541B8B">
        <w:rPr>
          <w:rFonts w:cs="Arial"/>
          <w:szCs w:val="22"/>
        </w:rPr>
        <w:t xml:space="preserve">, si dovrebbe verificare se le disposizioni contenute all'articolo 3, comma 1, all'articolo 4, commi 1 e 5, all'articolo 7, comma 4, e all'articolo 10, commi 3 e 5, debbano mantenere natura temporanea, con l'eventualità di essere soggette a successive proroghe, ovvero possano essere trasformate in previsioni a regime; </w:t>
      </w:r>
      <w:hyperlink w:anchor="premessa06" w:history="1">
        <w:r w:rsidRPr="00541B8B">
          <w:rPr>
            <w:rFonts w:cs="Arial"/>
            <w:szCs w:val="22"/>
          </w:rPr>
          <w:t xml:space="preserve"> [</w:t>
        </w:r>
        <w:r w:rsidRPr="00541B8B">
          <w:rPr>
            <w:rFonts w:cs="Arial"/>
            <w:color w:val="0000FF"/>
            <w:szCs w:val="22"/>
            <w:u w:val="single"/>
          </w:rPr>
          <w:t>torna su</w:t>
        </w:r>
        <w:r w:rsidRPr="00541B8B">
          <w:rPr>
            <w:rFonts w:cs="Arial"/>
            <w:szCs w:val="22"/>
          </w:rPr>
          <w:t>]</w:t>
        </w:r>
      </w:hyperlink>
      <w:r w:rsidRPr="00541B8B">
        <w:rPr>
          <w:rFonts w:cs="Arial"/>
          <w:szCs w:val="22"/>
        </w:rPr>
        <w:t xml:space="preserve"> </w:t>
      </w:r>
    </w:p>
    <w:p w:rsidR="00541B8B" w:rsidRPr="00541B8B" w:rsidRDefault="00541B8B" w:rsidP="00541B8B">
      <w:pPr>
        <w:keepNext/>
        <w:spacing w:before="60" w:after="60"/>
        <w:ind w:left="567" w:hanging="283"/>
        <w:contextualSpacing/>
        <w:rPr>
          <w:rFonts w:cs="Arial"/>
          <w:szCs w:val="22"/>
        </w:rPr>
      </w:pPr>
      <w:bookmarkStart w:id="151" w:name="S06o03"/>
      <w:r w:rsidRPr="00541B8B">
        <w:rPr>
          <w:rFonts w:cs="Arial"/>
          <w:szCs w:val="22"/>
        </w:rPr>
        <w:t xml:space="preserve">3) all'articolo 6, comma 2, </w:t>
      </w:r>
      <w:bookmarkEnd w:id="151"/>
      <w:r w:rsidRPr="00541B8B">
        <w:rPr>
          <w:rFonts w:cs="Arial"/>
          <w:szCs w:val="22"/>
        </w:rPr>
        <w:t>si dovrebbe porre riparo al difetto di coordinamento con l'ordinamento vigente indicato in premessa.</w:t>
      </w:r>
      <w:hyperlink w:anchor="premessa06" w:history="1">
        <w:r w:rsidRPr="00541B8B">
          <w:rPr>
            <w:rFonts w:cs="Arial"/>
            <w:szCs w:val="22"/>
          </w:rPr>
          <w:t xml:space="preserve"> [</w:t>
        </w:r>
        <w:r w:rsidRPr="00541B8B">
          <w:rPr>
            <w:rFonts w:cs="Arial"/>
            <w:color w:val="0000FF"/>
            <w:szCs w:val="22"/>
            <w:u w:val="single"/>
          </w:rPr>
          <w:t>torna su</w:t>
        </w:r>
        <w:r w:rsidRPr="00541B8B">
          <w:rPr>
            <w:rFonts w:cs="Arial"/>
            <w:szCs w:val="22"/>
          </w:rPr>
          <w:t>]</w:t>
        </w:r>
      </w:hyperlink>
      <w:r w:rsidRPr="00541B8B">
        <w:rPr>
          <w:rFonts w:cs="Arial"/>
          <w:szCs w:val="22"/>
        </w:rPr>
        <w:t xml:space="preserve"> </w:t>
      </w:r>
    </w:p>
    <w:p w:rsidR="00541B8B" w:rsidRPr="00541B8B" w:rsidRDefault="00541B8B" w:rsidP="00541B8B">
      <w:pPr>
        <w:keepNext/>
        <w:tabs>
          <w:tab w:val="num" w:pos="0"/>
          <w:tab w:val="num" w:pos="567"/>
        </w:tabs>
        <w:spacing w:before="60" w:after="60"/>
        <w:ind w:left="567" w:hanging="283"/>
        <w:contextualSpacing/>
        <w:rPr>
          <w:rFonts w:cs="Arial"/>
          <w:szCs w:val="22"/>
        </w:rPr>
      </w:pPr>
    </w:p>
    <w:p w:rsidR="00541B8B" w:rsidRPr="00541B8B" w:rsidRDefault="00541B8B" w:rsidP="00541B8B">
      <w:pPr>
        <w:keepNext/>
        <w:tabs>
          <w:tab w:val="num" w:pos="0"/>
          <w:tab w:val="num" w:pos="567"/>
        </w:tabs>
        <w:spacing w:before="60" w:after="60"/>
        <w:ind w:left="567" w:hanging="283"/>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152" w:name="S06R"/>
      <w:r w:rsidRPr="00541B8B">
        <w:rPr>
          <w:rFonts w:cs="Arial"/>
          <w:b/>
          <w:szCs w:val="22"/>
        </w:rPr>
        <w:t>Raccomandazioni</w:t>
      </w:r>
      <w:r w:rsidRPr="00541B8B">
        <w:rPr>
          <w:rFonts w:cs="Arial"/>
          <w:szCs w:val="22"/>
        </w:rPr>
        <w:t xml:space="preserve">: </w:t>
      </w:r>
    </w:p>
    <w:bookmarkEnd w:id="152"/>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color w:val="0000FF"/>
          <w:szCs w:val="22"/>
          <w:u w:val="single"/>
        </w:rPr>
      </w:pPr>
      <w:bookmarkStart w:id="153" w:name="S06r01"/>
      <w:r w:rsidRPr="00541B8B">
        <w:t xml:space="preserve">1) come più volte ribadito </w:t>
      </w:r>
      <w:bookmarkEnd w:id="153"/>
      <w:r w:rsidRPr="00541B8B">
        <w:t xml:space="preserve">dal Comitato per la legislazione, abbia cura il legislatore di introdurre interventi stabili e a regime, evitando il ricorso sistematico a una legislazione provvisoria, temporanea, sperimentale o fatta di mere proroghe, che, nell'incorporare già all'origine la previsione di successivi interventi integrativi, correttivi, o, comunque, a regime, confligge con le esigenze di stabilità, certezza e semplificazione della legislazione. </w:t>
      </w:r>
      <w:hyperlink w:anchor="premessa06" w:history="1">
        <w:r w:rsidRPr="00541B8B">
          <w:rPr>
            <w:rFonts w:cs="Arial"/>
            <w:color w:val="0000FF"/>
            <w:szCs w:val="22"/>
            <w:u w:val="single"/>
          </w:rPr>
          <w:t>[torna su]</w:t>
        </w:r>
      </w:hyperlink>
      <w:r w:rsidRPr="00541B8B">
        <w:rPr>
          <w:rFonts w:cs="Arial"/>
          <w:color w:val="0000FF"/>
          <w:szCs w:val="22"/>
          <w:u w:val="single"/>
        </w:rPr>
        <w:t xml:space="preserve"> </w:t>
      </w:r>
    </w:p>
    <w:p w:rsidR="00541B8B" w:rsidRPr="00541B8B" w:rsidRDefault="00541B8B" w:rsidP="00541B8B">
      <w:pPr>
        <w:spacing w:before="60" w:after="60"/>
        <w:ind w:left="284" w:firstLine="0"/>
        <w:contextualSpacing/>
        <w:rPr>
          <w:rFonts w:cs="Arial"/>
          <w:szCs w:val="22"/>
        </w:rPr>
      </w:pPr>
    </w:p>
    <w:p w:rsidR="00541B8B" w:rsidRPr="00541B8B" w:rsidRDefault="00541B8B" w:rsidP="00541B8B">
      <w:pPr>
        <w:spacing w:before="60" w:after="60"/>
        <w:ind w:firstLine="0"/>
        <w:contextualSpacing/>
      </w:pPr>
    </w:p>
    <w:p w:rsidR="00541B8B" w:rsidRPr="00541B8B" w:rsidRDefault="00541B8B" w:rsidP="00541B8B">
      <w:pPr>
        <w:spacing w:before="60" w:after="60"/>
        <w:contextualSpacing/>
        <w:sectPr w:rsidR="00541B8B" w:rsidRPr="00541B8B" w:rsidSect="00D20CCA">
          <w:headerReference w:type="default" r:id="rId342"/>
          <w:footerReference w:type="even" r:id="rId343"/>
          <w:footerReference w:type="default" r:id="rId344"/>
          <w:pgSz w:w="11906" w:h="16838" w:code="9"/>
          <w:pgMar w:top="1985" w:right="1985" w:bottom="1985" w:left="1985" w:header="1134" w:footer="1134" w:gutter="0"/>
          <w:cols w:space="720"/>
          <w:formProt w:val="0"/>
        </w:sectPr>
      </w:pPr>
    </w:p>
    <w:tbl>
      <w:tblPr>
        <w:tblStyle w:val="Grigliatabella"/>
        <w:tblW w:w="5000" w:type="pct"/>
        <w:tblLook w:val="01E0" w:firstRow="1" w:lastRow="1" w:firstColumn="1" w:lastColumn="1" w:noHBand="0" w:noVBand="0"/>
      </w:tblPr>
      <w:tblGrid>
        <w:gridCol w:w="1230"/>
        <w:gridCol w:w="1360"/>
        <w:gridCol w:w="1863"/>
        <w:gridCol w:w="3254"/>
        <w:gridCol w:w="1579"/>
      </w:tblGrid>
      <w:tr w:rsidR="00541B8B" w:rsidRPr="00541B8B" w:rsidTr="00D20CCA">
        <w:trPr>
          <w:cantSplit/>
          <w:trHeight w:val="567"/>
        </w:trPr>
        <w:tc>
          <w:tcPr>
            <w:tcW w:w="662"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lastRenderedPageBreak/>
              <w:t>N. SCHEDA</w:t>
            </w:r>
          </w:p>
        </w:tc>
        <w:tc>
          <w:tcPr>
            <w:tcW w:w="733"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1003"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52"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662" w:type="pct"/>
          </w:tcPr>
          <w:p w:rsidR="00541B8B" w:rsidRPr="00541B8B" w:rsidRDefault="00541B8B" w:rsidP="00541B8B">
            <w:pPr>
              <w:spacing w:before="60" w:after="60"/>
              <w:ind w:firstLine="0"/>
              <w:contextualSpacing/>
              <w:jc w:val="center"/>
              <w:rPr>
                <w:rFonts w:cs="Arial"/>
                <w:b/>
              </w:rPr>
            </w:pPr>
            <w:r w:rsidRPr="00541B8B">
              <w:rPr>
                <w:rFonts w:cs="Arial"/>
                <w:b/>
              </w:rPr>
              <w:t>0007</w:t>
            </w:r>
          </w:p>
        </w:tc>
        <w:tc>
          <w:tcPr>
            <w:tcW w:w="733"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TU 3317</w:t>
            </w:r>
          </w:p>
        </w:tc>
        <w:tc>
          <w:tcPr>
            <w:tcW w:w="1003" w:type="pct"/>
          </w:tcPr>
          <w:p w:rsidR="00541B8B" w:rsidRPr="00541B8B" w:rsidRDefault="00DC78AD" w:rsidP="00541B8B">
            <w:pPr>
              <w:spacing w:before="100" w:beforeAutospacing="1" w:after="100" w:afterAutospacing="1"/>
              <w:ind w:firstLine="0"/>
              <w:contextualSpacing/>
              <w:jc w:val="center"/>
              <w:rPr>
                <w:rFonts w:cs="Arial"/>
                <w:sz w:val="24"/>
              </w:rPr>
            </w:pPr>
            <w:hyperlink r:id="rId345" w:history="1">
              <w:r w:rsidR="00541B8B" w:rsidRPr="00541B8B">
                <w:rPr>
                  <w:rFonts w:cs="Arial"/>
                  <w:color w:val="0000FF"/>
                  <w:u w:val="single"/>
                </w:rPr>
                <w:t>pdl</w:t>
              </w:r>
            </w:hyperlink>
          </w:p>
        </w:tc>
        <w:tc>
          <w:tcPr>
            <w:tcW w:w="1752"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Delega Fondo editoria</w:t>
            </w:r>
          </w:p>
        </w:tc>
        <w:tc>
          <w:tcPr>
            <w:tcW w:w="850" w:type="pct"/>
          </w:tcPr>
          <w:p w:rsidR="00541B8B" w:rsidRPr="00541B8B" w:rsidRDefault="00DC78AD" w:rsidP="00541B8B">
            <w:pPr>
              <w:spacing w:before="100" w:beforeAutospacing="1" w:after="100" w:afterAutospacing="1"/>
              <w:ind w:firstLine="0"/>
              <w:contextualSpacing/>
              <w:jc w:val="center"/>
              <w:rPr>
                <w:rFonts w:cs="Arial"/>
                <w:sz w:val="24"/>
              </w:rPr>
            </w:pPr>
            <w:hyperlink r:id="rId346" w:anchor="data.20160210.com48.bollettino.sede00030.tit00010" w:history="1">
              <w:r w:rsidR="00541B8B" w:rsidRPr="00541B8B">
                <w:rPr>
                  <w:color w:val="0000FF"/>
                  <w:u w:val="single"/>
                </w:rPr>
                <w:t>10/02/2016</w:t>
              </w:r>
            </w:hyperlink>
          </w:p>
        </w:tc>
      </w:tr>
    </w:tbl>
    <w:p w:rsidR="00541B8B" w:rsidRPr="00541B8B" w:rsidRDefault="00541B8B" w:rsidP="00541B8B">
      <w:pPr>
        <w:spacing w:before="60" w:after="60"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16-</w:t>
            </w:r>
            <w:r w:rsidRPr="00541B8B">
              <w:rPr>
                <w:rFonts w:cs="Arial"/>
                <w:b/>
                <w:bCs/>
                <w:i/>
                <w:sz w:val="24"/>
              </w:rPr>
              <w:t>BIS</w:t>
            </w:r>
            <w:r w:rsidRPr="00541B8B">
              <w:rPr>
                <w:rFonts w:cs="Arial"/>
                <w:b/>
                <w:bCs/>
                <w:sz w:val="24"/>
              </w:rPr>
              <w:t>, COMMA 6-</w:t>
            </w:r>
            <w:r w:rsidRPr="00541B8B">
              <w:rPr>
                <w:rFonts w:cs="Arial"/>
                <w:b/>
                <w:bCs/>
                <w:i/>
                <w:sz w:val="24"/>
              </w:rPr>
              <w:t>BIS</w:t>
            </w:r>
            <w:r w:rsidRPr="00541B8B">
              <w:rPr>
                <w:rFonts w:cs="Arial"/>
                <w:b/>
                <w:bCs/>
                <w:sz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154" w:name="premessa07"/>
            <w:r w:rsidRPr="00541B8B">
              <w:rPr>
                <w:rFonts w:cs="Arial"/>
                <w:b/>
                <w:color w:val="0000FF"/>
                <w:sz w:val="24"/>
                <w:szCs w:val="24"/>
              </w:rPr>
              <w:t>Premessa</w:t>
            </w:r>
            <w:bookmarkEnd w:id="154"/>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5 Condizioni, 2 Osservazioni</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07a01" w:history="1">
              <w:r w:rsidR="00541B8B" w:rsidRPr="00541B8B">
                <w:rPr>
                  <w:color w:val="0000FF"/>
                  <w:szCs w:val="22"/>
                  <w:u w:val="single"/>
                </w:rPr>
                <w:t>1</w:t>
              </w:r>
            </w:hyperlink>
            <w:r w:rsidR="00541B8B" w:rsidRPr="00541B8B">
              <w:rPr>
                <w:rFonts w:cs="Arial"/>
                <w:szCs w:val="22"/>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Cs w:val="22"/>
              </w:rPr>
            </w:pP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07a02" w:history="1">
              <w:r w:rsidR="00541B8B" w:rsidRPr="00541B8B">
                <w:rPr>
                  <w:color w:val="0000FF"/>
                  <w:szCs w:val="22"/>
                  <w:u w:val="single"/>
                </w:rPr>
                <w:t>2</w:t>
              </w:r>
            </w:hyperlink>
            <w:r w:rsidR="00541B8B" w:rsidRPr="00541B8B">
              <w:rPr>
                <w:rFonts w:cs="Arial"/>
                <w:szCs w:val="22"/>
              </w:rPr>
              <w:t xml:space="preserve"> – </w:t>
            </w:r>
            <w:r w:rsidR="00541B8B" w:rsidRPr="00541B8B">
              <w:rPr>
                <w:szCs w:val="22"/>
              </w:rPr>
              <w:t>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Principi e criteri direttivi generici.</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07a03" w:history="1">
              <w:r w:rsidR="00541B8B" w:rsidRPr="00541B8B">
                <w:rPr>
                  <w:color w:val="0000FF"/>
                  <w:szCs w:val="22"/>
                  <w:u w:val="single"/>
                </w:rPr>
                <w:t>3</w:t>
              </w:r>
            </w:hyperlink>
            <w:r w:rsidR="00541B8B" w:rsidRPr="00541B8B">
              <w:rPr>
                <w:rFonts w:cs="Arial"/>
                <w:szCs w:val="22"/>
              </w:rPr>
              <w:t xml:space="preserve"> – </w:t>
            </w:r>
            <w:r w:rsidR="00541B8B" w:rsidRPr="00541B8B">
              <w:rPr>
                <w:szCs w:val="22"/>
              </w:rPr>
              <w:t>Disposizioni di delega: principi e criteri direttivi; rubrica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Principi e criteri direttivi generici o che coincidono con le finalità della delega. Mancante riferimento alle deleghe nel titolo della proposta di legge e nella rubrica dell’articolo. Riferimento al paragrafo 1 della circolare sulla formulazione dei testi normativi.</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4</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Osservazione1</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07a04" w:history="1">
              <w:r w:rsidR="00541B8B" w:rsidRPr="00541B8B">
                <w:rPr>
                  <w:color w:val="0000FF"/>
                  <w:szCs w:val="22"/>
                  <w:u w:val="single"/>
                </w:rPr>
                <w:t>4</w:t>
              </w:r>
            </w:hyperlink>
            <w:r w:rsidR="00541B8B" w:rsidRPr="00541B8B">
              <w:rPr>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Modifica di norma di recentissima approvazione (la legge di stabilità 2016), senza gli opportuni coordinamenti.</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Condizioni 1, 2 e 3</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07a05" w:history="1">
              <w:r w:rsidR="00541B8B" w:rsidRPr="00541B8B">
                <w:rPr>
                  <w:color w:val="0000FF"/>
                  <w:szCs w:val="22"/>
                  <w:u w:val="single"/>
                </w:rPr>
                <w:t>5</w:t>
              </w:r>
            </w:hyperlink>
            <w:r w:rsidR="00541B8B" w:rsidRPr="00541B8B">
              <w:rPr>
                <w:szCs w:val="22"/>
              </w:rPr>
              <w:t xml:space="preserve"> – 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Trasmissione alle Camere di nuovo testo in caso di mancato recepimento delle condizioni senza previsione di secondo parere</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5</w:t>
            </w:r>
          </w:p>
        </w:tc>
      </w:tr>
    </w:tbl>
    <w:p w:rsidR="00541B8B" w:rsidRPr="00541B8B" w:rsidRDefault="00541B8B" w:rsidP="00541B8B">
      <w:pPr>
        <w:spacing w:before="60" w:after="60"/>
        <w:contextualSpacing/>
      </w:pPr>
    </w:p>
    <w:p w:rsidR="00541B8B" w:rsidRPr="00541B8B" w:rsidRDefault="00541B8B" w:rsidP="00541B8B">
      <w:pPr>
        <w:spacing w:before="60" w:after="60"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 w:val="24"/>
                <w:szCs w:val="24"/>
              </w:rPr>
            </w:pPr>
            <w:r w:rsidRPr="00541B8B">
              <w:rPr>
                <w:rFonts w:cs="Arial"/>
                <w:b/>
                <w:color w:val="0000FF"/>
                <w:sz w:val="24"/>
                <w:szCs w:val="24"/>
              </w:rPr>
              <w:t>Rilievi non presenti in Premessa</w:t>
            </w:r>
          </w:p>
        </w:tc>
      </w:tr>
    </w:tbl>
    <w:tbl>
      <w:tblPr>
        <w:tblW w:w="5140" w:type="pct"/>
        <w:tblLook w:val="01E0" w:firstRow="1" w:lastRow="1" w:firstColumn="1" w:lastColumn="1" w:noHBand="0" w:noVBand="0"/>
      </w:tblPr>
      <w:tblGrid>
        <w:gridCol w:w="4773"/>
        <w:gridCol w:w="4773"/>
      </w:tblGrid>
      <w:tr w:rsidR="00541B8B" w:rsidRPr="00541B8B" w:rsidTr="00D20CCA">
        <w:trPr>
          <w:trHeight w:val="423"/>
        </w:trPr>
        <w:tc>
          <w:tcPr>
            <w:tcW w:w="250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pPr>
            <w:r w:rsidRPr="00541B8B">
              <w:t>Efficacia temporale</w:t>
            </w:r>
          </w:p>
        </w:tc>
        <w:tc>
          <w:tcPr>
            <w:tcW w:w="250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rPr>
              <w:t>Osservazione 2</w:t>
            </w:r>
          </w:p>
        </w:tc>
      </w:tr>
    </w:tbl>
    <w:p w:rsidR="00541B8B" w:rsidRPr="00541B8B" w:rsidRDefault="00541B8B" w:rsidP="00541B8B">
      <w:pPr>
        <w:spacing w:before="60" w:after="60" w:line="240" w:lineRule="auto"/>
        <w:ind w:firstLine="0"/>
        <w:contextualSpacing/>
        <w:jc w:val="left"/>
        <w:rPr>
          <w:rFonts w:cs="Arial"/>
          <w:sz w:val="24"/>
          <w:szCs w:val="24"/>
        </w:rPr>
      </w:pPr>
    </w:p>
    <w:p w:rsidR="00541B8B" w:rsidRPr="00541B8B" w:rsidRDefault="00541B8B" w:rsidP="00541B8B">
      <w:pPr>
        <w:spacing w:before="60" w:after="60"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 w:val="24"/>
                <w:szCs w:val="24"/>
              </w:rPr>
            </w:pPr>
            <w:r w:rsidRPr="00541B8B">
              <w:rPr>
                <w:rFonts w:cs="Arial"/>
                <w:b/>
                <w:color w:val="0000FF"/>
                <w:sz w:val="24"/>
                <w:szCs w:val="24"/>
              </w:rPr>
              <w:t>Rilievi</w:t>
            </w:r>
          </w:p>
        </w:tc>
      </w:tr>
    </w:tbl>
    <w:tbl>
      <w:tblPr>
        <w:tblW w:w="5140" w:type="pct"/>
        <w:tblLook w:val="01E0" w:firstRow="1" w:lastRow="1" w:firstColumn="1" w:lastColumn="1" w:noHBand="0" w:noVBand="0"/>
      </w:tblPr>
      <w:tblGrid>
        <w:gridCol w:w="4773"/>
        <w:gridCol w:w="4773"/>
      </w:tblGrid>
      <w:tr w:rsidR="00541B8B" w:rsidRPr="00541B8B" w:rsidTr="00D20CCA">
        <w:trPr>
          <w:trHeight w:val="423"/>
        </w:trPr>
        <w:tc>
          <w:tcPr>
            <w:tcW w:w="250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pPr>
            <w:hyperlink w:anchor="S07C" w:history="1">
              <w:r w:rsidR="00541B8B" w:rsidRPr="00541B8B">
                <w:rPr>
                  <w:color w:val="0000FF"/>
                  <w:u w:val="single"/>
                </w:rPr>
                <w:t>C</w:t>
              </w:r>
            </w:hyperlink>
            <w:r w:rsidR="00541B8B" w:rsidRPr="00541B8B">
              <w:t xml:space="preserve"> - Condizioni</w:t>
            </w:r>
          </w:p>
        </w:tc>
        <w:tc>
          <w:tcPr>
            <w:tcW w:w="250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423"/>
        </w:trPr>
        <w:tc>
          <w:tcPr>
            <w:tcW w:w="250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rPr>
            </w:pPr>
            <w:hyperlink w:anchor="S07O" w:history="1">
              <w:r w:rsidR="00541B8B" w:rsidRPr="00541B8B">
                <w:rPr>
                  <w:rFonts w:cs="Arial"/>
                  <w:color w:val="0000FF"/>
                  <w:u w:val="single"/>
                </w:rPr>
                <w:t>O</w:t>
              </w:r>
            </w:hyperlink>
            <w:r w:rsidR="00541B8B" w:rsidRPr="00541B8B">
              <w:rPr>
                <w:rFonts w:cs="Arial"/>
              </w:rPr>
              <w:t xml:space="preserve"> - Osservazioni</w:t>
            </w:r>
          </w:p>
        </w:tc>
        <w:tc>
          <w:tcPr>
            <w:tcW w:w="250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rPr>
          <w:b/>
        </w:rPr>
      </w:pPr>
    </w:p>
    <w:p w:rsidR="00541B8B" w:rsidRPr="00541B8B" w:rsidRDefault="00541B8B" w:rsidP="00541B8B">
      <w:pPr>
        <w:spacing w:before="60" w:after="60"/>
        <w:ind w:firstLine="0"/>
        <w:contextualSpacing/>
        <w:rPr>
          <w:b/>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lastRenderedPageBreak/>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i/>
              </w:rPr>
              <w:t>Paragrafo 1 della circolare sulla formulazione dei testi normativi.</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55" w:name="S07a01"/>
      <w:r w:rsidRPr="00541B8B">
        <w:rPr>
          <w:rFonts w:cs="Arial"/>
          <w:szCs w:val="22"/>
        </w:rPr>
        <w:t>1</w:t>
      </w:r>
      <w:bookmarkEnd w:id="155"/>
      <w:r w:rsidRPr="00541B8B">
        <w:rPr>
          <w:rFonts w:cs="Arial"/>
          <w:szCs w:val="22"/>
        </w:rPr>
        <w:t xml:space="preserve"> – </w:t>
      </w:r>
      <w:hyperlink w:anchor="premessa07"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testo, che si compone di 5 articoli, presenta un </w:t>
      </w:r>
      <w:r w:rsidRPr="00541B8B">
        <w:rPr>
          <w:rFonts w:cs="Arial"/>
          <w:b/>
          <w:szCs w:val="22"/>
        </w:rPr>
        <w:t>contenuto omogeneo</w:t>
      </w:r>
      <w:r w:rsidRPr="00541B8B">
        <w:rPr>
          <w:rFonts w:cs="Arial"/>
          <w:szCs w:val="22"/>
        </w:rPr>
        <w:t xml:space="preserve">, recando, oltre a disposizioni di immediata applicazione finalizzate all’istituzione del Fondo per il pluralismo e l’innovazione dell’informazione, al riordino dei contributi alle imprese editrici e alla vendita dei giornali, disposizioni di delega al Governo per la ridefinizione del sostegno pubblico all’editoria, per la revisione della disciplina pensionistica dei giornalisti e per la revisione della composizione e delle competenze del Consiglio nazionale dell’ordine dei giornalisti»;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156" w:name="S07a02"/>
      <w:r w:rsidRPr="00541B8B">
        <w:rPr>
          <w:rFonts w:cs="Arial"/>
          <w:szCs w:val="22"/>
        </w:rPr>
        <w:t>2</w:t>
      </w:r>
      <w:bookmarkEnd w:id="156"/>
      <w:r w:rsidRPr="00541B8B">
        <w:rPr>
          <w:rFonts w:cs="Arial"/>
          <w:szCs w:val="22"/>
        </w:rPr>
        <w:t xml:space="preserve"> – </w:t>
      </w:r>
      <w:hyperlink w:anchor="premessa07"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con riferimento alla formulazione delle norme di delega per la ridefinizione del sostegno pubblico all’editoria, il testo, all’articolo 2, comma 2, si connota per la formulazione dei </w:t>
      </w:r>
      <w:r w:rsidRPr="00541B8B">
        <w:rPr>
          <w:b/>
        </w:rPr>
        <w:t xml:space="preserve">principi e </w:t>
      </w:r>
      <w:r w:rsidRPr="00541B8B">
        <w:t>dei</w:t>
      </w:r>
      <w:r w:rsidRPr="00541B8B">
        <w:rPr>
          <w:b/>
        </w:rPr>
        <w:t xml:space="preserve"> criteri direttivi</w:t>
      </w:r>
      <w:r w:rsidRPr="00541B8B">
        <w:t xml:space="preserve"> in termini assai dettagliati, con l’eccezione di quelli contenuti alle lettere g), h) e i), che presentano un minor livello di dettaglio e risultano alquanto generici</w:t>
      </w:r>
      <w:r w:rsidRPr="00541B8B">
        <w:rPr>
          <w:rFonts w:cs="Arial"/>
          <w:szCs w:val="22"/>
        </w:rPr>
        <w:t>» (</w:t>
      </w:r>
      <w:hyperlink w:anchor="S07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157" w:name="S07a03"/>
      <w:r w:rsidRPr="00541B8B">
        <w:rPr>
          <w:rFonts w:cs="Arial"/>
          <w:szCs w:val="22"/>
        </w:rPr>
        <w:t>3</w:t>
      </w:r>
      <w:bookmarkEnd w:id="157"/>
      <w:r w:rsidRPr="00541B8B">
        <w:rPr>
          <w:rFonts w:cs="Arial"/>
          <w:szCs w:val="22"/>
        </w:rPr>
        <w:t xml:space="preserve"> – </w:t>
      </w:r>
      <w:hyperlink w:anchor="premessa07"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in relazione invece ai </w:t>
      </w:r>
      <w:r w:rsidRPr="00541B8B">
        <w:rPr>
          <w:b/>
        </w:rPr>
        <w:t>criteri direttivi</w:t>
      </w:r>
      <w:r w:rsidRPr="00541B8B">
        <w:t xml:space="preserve"> contenuti al comma 5 dell’articolo 2 che il Governo è chiamato a osservare nell’esercizio delle deleghe per la revisione della disciplina pensionistica dei giornalisti (lettera a) e per la revisione della composizione e delle competenze del Consiglio nazionale dell’ordine dei giornalisti (lettera b) – delle quali peraltro non v’è menzione né nel titolo della proposta di legge né nella rubrica dell’articolo - si segnala che i principi e i criteri contenuti alla lettera a), da un lato coincidono con le finalità della delega e, dall’altro, laddove si prevede che la delega debba procedere anche alla “revisione della procedura per il riconoscimento degli stati di crisi delle imprese editoriali ai fini dell’accesso ai prepensionamenti”, appaiono, analogamente a quelli contenuti alla lettera b), assai generici, con la conseguenza che, nella suddette fattispecie, risulta oltremodo dilatato l’orizzonte della scelta discrezionale del Governo</w:t>
      </w:r>
      <w:r w:rsidRPr="00541B8B">
        <w:rPr>
          <w:rFonts w:cs="Arial"/>
          <w:szCs w:val="22"/>
        </w:rPr>
        <w:t>» (</w:t>
      </w:r>
      <w:hyperlink w:anchor="S07c04" w:history="1">
        <w:r w:rsidRPr="00541B8B">
          <w:rPr>
            <w:rFonts w:cs="Arial"/>
            <w:b/>
            <w:color w:val="0000FF"/>
            <w:szCs w:val="22"/>
            <w:u w:val="single"/>
          </w:rPr>
          <w:t>conseguente condizione</w:t>
        </w:r>
      </w:hyperlink>
      <w:r w:rsidRPr="00541B8B">
        <w:rPr>
          <w:rFonts w:cs="Arial"/>
          <w:szCs w:val="22"/>
        </w:rPr>
        <w:t>) (</w:t>
      </w:r>
      <w:hyperlink w:anchor="S07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58" w:name="S07a04"/>
      <w:r w:rsidRPr="00541B8B">
        <w:rPr>
          <w:rFonts w:cs="Arial"/>
          <w:szCs w:val="22"/>
        </w:rPr>
        <w:t>4</w:t>
      </w:r>
      <w:bookmarkEnd w:id="158"/>
      <w:r w:rsidRPr="00541B8B">
        <w:rPr>
          <w:rFonts w:cs="Arial"/>
          <w:szCs w:val="22"/>
        </w:rPr>
        <w:t xml:space="preserve"> - </w:t>
      </w:r>
      <w:hyperlink w:anchor="premessa07"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szCs w:val="22"/>
        </w:rPr>
        <w:t xml:space="preserve">sul piano del </w:t>
      </w:r>
      <w:r w:rsidRPr="00541B8B">
        <w:rPr>
          <w:b/>
          <w:szCs w:val="22"/>
        </w:rPr>
        <w:t>coordinamento con l’ordinamento vigente</w:t>
      </w:r>
      <w:r w:rsidRPr="00541B8B">
        <w:rPr>
          <w:szCs w:val="22"/>
        </w:rPr>
        <w:t xml:space="preserve">, il testo, all’articolo 1, detta una nuova disciplina del Fondo per il pluralismo e l’innovazione dell’informazione, istituito dall’articolo 1, comma 160, lettera </w:t>
      </w:r>
      <w:r w:rsidRPr="00541B8B">
        <w:rPr>
          <w:i/>
          <w:szCs w:val="22"/>
        </w:rPr>
        <w:t>b</w:t>
      </w:r>
      <w:r w:rsidRPr="00541B8B">
        <w:rPr>
          <w:szCs w:val="22"/>
        </w:rPr>
        <w:t>), della recentissima legge 28 dicembre 2015, n. 208, definendone le finalità e prevedendo che: il Fondo stesso sia istituito nello stato di previsione della Presidenza del Consiglio piuttosto che del Ministero dello sviluppo economico; sia finanziato fino ad un importo massimo di 100 (piuttosto che di 50) milioni delle “</w:t>
      </w:r>
      <w:r w:rsidRPr="00541B8B">
        <w:rPr>
          <w:i/>
          <w:szCs w:val="22"/>
        </w:rPr>
        <w:t>eventuali maggiori entrate versate a titolo di canone di abbonamento alla televisione rispetto alle somme già iscritte a tale titolo nel bilancio di previsione per l’anno 2016</w:t>
      </w:r>
      <w:r w:rsidRPr="00541B8B">
        <w:rPr>
          <w:szCs w:val="22"/>
        </w:rPr>
        <w:t xml:space="preserve">”; sia finanziato anche con le somme versate a titolo di sanzioni amministrative comminate dall’Autorità per le Garanzie nelle Comunicazioni ai sensi dell’articolo 541, commi 1 e 2, del decreto legislativo n. 177 del 2005, che attualmente vengono versate all’entrata del bilancio dello Stato (comma 10 dell’articolo 51 del decreto legislativo 31 luglio 2005, n. 177); sia ripartito annualmente con decreto del Presidente del Consiglio dei ministri o del </w:t>
      </w:r>
      <w:r w:rsidRPr="00541B8B">
        <w:rPr>
          <w:szCs w:val="22"/>
        </w:rPr>
        <w:lastRenderedPageBreak/>
        <w:t xml:space="preserve">Sottosegretario di Stato delegato, di concerto con i Ministri dello sviluppo economico e dell’economia e delle finanze, sentite le Commissioni parlamentari competenti. Il testo, al successivo articolo 5, sopprime poi il comma 160, lettera </w:t>
      </w:r>
      <w:r w:rsidRPr="00541B8B">
        <w:rPr>
          <w:i/>
          <w:szCs w:val="22"/>
        </w:rPr>
        <w:t>b</w:t>
      </w:r>
      <w:r w:rsidRPr="00541B8B">
        <w:rPr>
          <w:szCs w:val="22"/>
        </w:rPr>
        <w:t xml:space="preserve">), il comma 162 e reca una clausola di coordinamento con il comma 163 dell’articolo 1 della legge n. 208/2015: tali disposizioni risultano tuttavia inadeguate ad assicurare il coordinamento della nuova normativa con la disciplina contenuta nella legge n. 208 in quanto la soppressione della lettera </w:t>
      </w:r>
      <w:r w:rsidRPr="00541B8B">
        <w:rPr>
          <w:i/>
          <w:szCs w:val="22"/>
        </w:rPr>
        <w:t>b</w:t>
      </w:r>
      <w:r w:rsidRPr="00541B8B">
        <w:rPr>
          <w:szCs w:val="22"/>
        </w:rPr>
        <w:t xml:space="preserve">) del comma 160, che istituisce il Fondo per il pluralismo e l’innovazione dell’informazione, sopprimerebbe la disciplina unitaria delle finalità cui sono destinate le maggiori entrate eventualmente derivanti dal canone di abbonamento alla televisione, che risultano così indicate in parte al comma 160, lettere </w:t>
      </w:r>
      <w:r w:rsidRPr="00541B8B">
        <w:rPr>
          <w:i/>
          <w:szCs w:val="22"/>
        </w:rPr>
        <w:t>a</w:t>
      </w:r>
      <w:r w:rsidRPr="00541B8B">
        <w:rPr>
          <w:szCs w:val="22"/>
        </w:rPr>
        <w:t xml:space="preserve">) e </w:t>
      </w:r>
      <w:r w:rsidRPr="00541B8B">
        <w:rPr>
          <w:i/>
          <w:szCs w:val="22"/>
        </w:rPr>
        <w:t>c</w:t>
      </w:r>
      <w:r w:rsidRPr="00541B8B">
        <w:rPr>
          <w:szCs w:val="22"/>
        </w:rPr>
        <w:t>) e in parte nella nuova legge, peraltro con riferimento incompleto alle “eventuali maggiori entrate” (senza indicare il termine di riferimento, dato dalle somme già iscritte a tale titolo nel bilancio di previsione per l’anno 2016)</w:t>
      </w:r>
      <w:r w:rsidRPr="00541B8B">
        <w:rPr>
          <w:rFonts w:cs="Arial"/>
          <w:szCs w:val="22"/>
        </w:rPr>
        <w:t>» (</w:t>
      </w:r>
      <w:hyperlink w:anchor="S07c01" w:history="1">
        <w:r w:rsidRPr="00541B8B">
          <w:rPr>
            <w:rFonts w:cs="Arial"/>
            <w:b/>
            <w:color w:val="0000FF"/>
            <w:szCs w:val="22"/>
            <w:u w:val="single"/>
          </w:rPr>
          <w:t>conseguente condizione</w:t>
        </w:r>
      </w:hyperlink>
      <w:r w:rsidRPr="00541B8B">
        <w:rPr>
          <w:rFonts w:cs="Arial"/>
          <w:szCs w:val="22"/>
        </w:rPr>
        <w:t>), (</w:t>
      </w:r>
      <w:hyperlink w:anchor="S07c02" w:history="1">
        <w:r w:rsidRPr="00541B8B">
          <w:rPr>
            <w:rFonts w:cs="Arial"/>
            <w:b/>
            <w:color w:val="0000FF"/>
            <w:szCs w:val="22"/>
            <w:u w:val="single"/>
          </w:rPr>
          <w:t>conseguente condizione</w:t>
        </w:r>
      </w:hyperlink>
      <w:r w:rsidRPr="00541B8B">
        <w:rPr>
          <w:rFonts w:cs="Arial"/>
          <w:szCs w:val="22"/>
        </w:rPr>
        <w:t>), (</w:t>
      </w:r>
      <w:hyperlink w:anchor="S07c03"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59" w:name="S07a05"/>
      <w:r w:rsidRPr="00541B8B">
        <w:rPr>
          <w:rFonts w:cs="Arial"/>
          <w:szCs w:val="22"/>
        </w:rPr>
        <w:t>5</w:t>
      </w:r>
      <w:bookmarkEnd w:id="159"/>
      <w:r w:rsidRPr="00541B8B">
        <w:rPr>
          <w:rFonts w:cs="Arial"/>
          <w:szCs w:val="22"/>
        </w:rPr>
        <w:t xml:space="preserve"> - </w:t>
      </w:r>
      <w:hyperlink w:anchor="premessa07"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sz w:val="24"/>
          <w:szCs w:val="24"/>
        </w:rPr>
        <w:t xml:space="preserve">quanto alla </w:t>
      </w:r>
      <w:r w:rsidRPr="00541B8B">
        <w:rPr>
          <w:b/>
          <w:sz w:val="24"/>
          <w:szCs w:val="24"/>
        </w:rPr>
        <w:t>procedura delineata per l’esercizio della delega</w:t>
      </w:r>
      <w:r w:rsidRPr="00541B8B">
        <w:rPr>
          <w:sz w:val="24"/>
          <w:szCs w:val="24"/>
        </w:rPr>
        <w:t>, l’articolo 2, comma 7, all’ultimo periodo, prevede che il Governo, qualora non intenda conformarsi ai pareri parlamentari, ritrasmetta il testo alle Camere “con le sue osservazioni e con eventuali modificazioni, corredate dei necessari elementi integrativi di informazione e motivazione”: il testo sembrerebbe configurare tale trasmissione come atto conclusivo del procedimento, mentre essa dovrebbe essere funzionale – come in tutti i casi in cui è prevista – all’espressione di un secondo parere parlamentare</w:t>
      </w:r>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160" w:name="S07C"/>
      <w:r w:rsidRPr="00541B8B">
        <w:rPr>
          <w:rFonts w:cs="Arial"/>
          <w:b/>
          <w:szCs w:val="22"/>
        </w:rPr>
        <w:t>Condizioni:</w:t>
      </w:r>
    </w:p>
    <w:bookmarkEnd w:id="160"/>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r w:rsidRPr="00541B8B">
        <w:rPr>
          <w:szCs w:val="22"/>
        </w:rPr>
        <w:t xml:space="preserve">1) </w:t>
      </w:r>
      <w:bookmarkStart w:id="161" w:name="S07c01"/>
      <w:r w:rsidRPr="00541B8B">
        <w:rPr>
          <w:szCs w:val="22"/>
        </w:rPr>
        <w:t xml:space="preserve">per quanto detto </w:t>
      </w:r>
      <w:bookmarkEnd w:id="161"/>
      <w:r w:rsidRPr="00541B8B">
        <w:rPr>
          <w:szCs w:val="22"/>
        </w:rPr>
        <w:t xml:space="preserve">in premessa, si dovrebbe riformulare l’articolo 1 in termini di novella ai commi 160, lettera </w:t>
      </w:r>
      <w:r w:rsidRPr="00541B8B">
        <w:rPr>
          <w:i/>
          <w:szCs w:val="22"/>
        </w:rPr>
        <w:t>b</w:t>
      </w:r>
      <w:r w:rsidRPr="00541B8B">
        <w:rPr>
          <w:szCs w:val="22"/>
        </w:rPr>
        <w:t>), e 162 dell’articolo 1 della legge n. 208/2015, in particolare:</w:t>
      </w:r>
    </w:p>
    <w:p w:rsidR="00541B8B" w:rsidRPr="00541B8B" w:rsidRDefault="00541B8B" w:rsidP="00541B8B">
      <w:pPr>
        <w:numPr>
          <w:ilvl w:val="1"/>
          <w:numId w:val="27"/>
        </w:numPr>
        <w:spacing w:before="60" w:after="60"/>
        <w:contextualSpacing/>
        <w:rPr>
          <w:rFonts w:cs="Arial"/>
          <w:szCs w:val="22"/>
        </w:rPr>
      </w:pPr>
      <w:r w:rsidRPr="00541B8B">
        <w:rPr>
          <w:szCs w:val="22"/>
        </w:rPr>
        <w:t>indicando, nel comma 162, le finalità del Fondo e le fonti di finanziamento ulteriori rispetto a quelle di cui al comma 160, lettera b) (le risorse statali destinate alle diverse forme di sostegno all’editoria quotidiana e periodica anche digitale, comprese le risorse del Fondo straordinario per gli interventi di sostegno all’editoria di cui all’art. 1, comma 261, della legge 27 dicembre 2013, n. 147; quelle destinate all’emittenza radiofonica e televisiva in ambito locale, comprese quelle iscritte nello stato di previsione del Ministero dello sviluppo economico, nonché le somme versate a titolo di sanzioni amministrative comminate dall’Autorità per le Garanzie nelle Comunicazioni ai sensi dell’art. 51, commi 1 e 2, del decreto legislativo 31 luglio 2005, n. 177, che attualmente, a norma del comma 10 del citato articolo 51, vengono versate all’entrata del bilancio dello Stato);</w:t>
      </w:r>
    </w:p>
    <w:p w:rsidR="00541B8B" w:rsidRPr="00541B8B" w:rsidRDefault="00541B8B" w:rsidP="00541B8B">
      <w:pPr>
        <w:numPr>
          <w:ilvl w:val="1"/>
          <w:numId w:val="27"/>
        </w:numPr>
        <w:spacing w:before="60" w:after="60"/>
        <w:contextualSpacing/>
        <w:rPr>
          <w:rFonts w:cs="Arial"/>
          <w:szCs w:val="22"/>
        </w:rPr>
      </w:pPr>
      <w:r w:rsidRPr="00541B8B">
        <w:rPr>
          <w:szCs w:val="22"/>
        </w:rPr>
        <w:t>indicando, sempre nel comma 162, le modalità di riparto annuale del Fondo (decreto del Presidente del Consiglio dei ministri o del Sottosegretario di Stato delegato, di concerto con i Ministri dello sviluppo economico e dell’economia e delle finanze, sentite le Commissioni parlamentari competenti);</w:t>
      </w:r>
    </w:p>
    <w:p w:rsidR="00541B8B" w:rsidRPr="00541B8B" w:rsidRDefault="00541B8B" w:rsidP="00541B8B">
      <w:pPr>
        <w:numPr>
          <w:ilvl w:val="1"/>
          <w:numId w:val="27"/>
        </w:numPr>
        <w:spacing w:before="60" w:after="60"/>
        <w:contextualSpacing/>
        <w:rPr>
          <w:rFonts w:cs="Arial"/>
          <w:szCs w:val="22"/>
        </w:rPr>
      </w:pPr>
      <w:r w:rsidRPr="00541B8B">
        <w:rPr>
          <w:szCs w:val="22"/>
        </w:rPr>
        <w:lastRenderedPageBreak/>
        <w:t>modificando il comma 160, lettera b), al fine di prevedere che il Fondo sia finanziato fino ad un importo massimo di 100 milioni delle “eventuali maggiori entrate versate a titolo di canone di abbonamento alla televisione rispetto alle somme già iscritte a tale titolo nel bilancio di previsione per l’anno 2016”;</w:t>
      </w:r>
      <w:r w:rsidRPr="00541B8B">
        <w:rPr>
          <w:rFonts w:cs="Arial"/>
          <w:szCs w:val="22"/>
        </w:rPr>
        <w:t xml:space="preserve"> [</w:t>
      </w:r>
      <w:hyperlink w:anchor="premessa07"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r w:rsidRPr="00541B8B">
        <w:rPr>
          <w:szCs w:val="22"/>
        </w:rPr>
        <w:t xml:space="preserve">2) </w:t>
      </w:r>
      <w:bookmarkStart w:id="162" w:name="S07c02"/>
      <w:r w:rsidRPr="00541B8B">
        <w:rPr>
          <w:szCs w:val="22"/>
        </w:rPr>
        <w:t>si dovrebbero</w:t>
      </w:r>
      <w:bookmarkEnd w:id="162"/>
      <w:r w:rsidRPr="00541B8B">
        <w:rPr>
          <w:szCs w:val="22"/>
        </w:rPr>
        <w:t xml:space="preserve"> conseguentemente coordinare con la nuova disciplina le disposizioni di cui al comma 163 dell’articolo 1 della legge 208/2015;</w:t>
      </w:r>
      <w:r w:rsidRPr="00541B8B">
        <w:rPr>
          <w:rFonts w:cs="Arial"/>
          <w:szCs w:val="22"/>
        </w:rPr>
        <w:t xml:space="preserve"> [</w:t>
      </w:r>
      <w:hyperlink w:anchor="premessa07"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163" w:name="S07c03"/>
      <w:r w:rsidRPr="00541B8B">
        <w:rPr>
          <w:szCs w:val="22"/>
        </w:rPr>
        <w:t xml:space="preserve">3) si dovrebbero </w:t>
      </w:r>
      <w:bookmarkEnd w:id="163"/>
      <w:r w:rsidRPr="00541B8B">
        <w:rPr>
          <w:szCs w:val="22"/>
        </w:rPr>
        <w:t>infine coordinare con la nuova disciplina le disposizioni contenute all’articolo 51, comma 10, del decreto legislativo 31 luglio 2005, n. 177, e quelle di cui all’articolo 1, comma 261, della legge 27 dicembre 2013, n. 147;</w:t>
      </w:r>
      <w:r w:rsidRPr="00541B8B">
        <w:rPr>
          <w:rFonts w:cs="Arial"/>
          <w:szCs w:val="22"/>
        </w:rPr>
        <w:t xml:space="preserve"> [</w:t>
      </w:r>
      <w:hyperlink w:anchor="premessa07"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firstLine="0"/>
        <w:contextualSpacing/>
        <w:rPr>
          <w:rFonts w:cs="Arial"/>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bookmarkStart w:id="164" w:name="S07c04"/>
      <w:r w:rsidRPr="00541B8B">
        <w:rPr>
          <w:szCs w:val="22"/>
        </w:rPr>
        <w:t xml:space="preserve">4) si integrino il titolo </w:t>
      </w:r>
      <w:bookmarkEnd w:id="164"/>
      <w:r w:rsidRPr="00541B8B">
        <w:rPr>
          <w:szCs w:val="22"/>
        </w:rPr>
        <w:t>della proposta di legge e la rubrica dell’articolo 2 con il riferimento alle due deleghe conferite al Governo dal comma 5 di tale articolo (revisione della disciplina pensionistica dei giornalisti e revisione della composizione e delle competenze del Consiglio nazionale dell’ordine dei giornalisti), anche tenuto conto che la Circolare sulla formulazione tecnica dei testi legislativi impone, al paragrafo 1, che nel titolo debba essere specificata, ove costituisca il contenuto esclusivo o prevalente dell'atto, la presenza di deleghe legislative;</w:t>
      </w:r>
      <w:r w:rsidRPr="00541B8B">
        <w:rPr>
          <w:rFonts w:cs="Arial"/>
          <w:szCs w:val="22"/>
        </w:rPr>
        <w:t xml:space="preserve"> [</w:t>
      </w:r>
      <w:hyperlink w:anchor="premessa07"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165" w:name="S07c05"/>
      <w:r w:rsidRPr="00541B8B">
        <w:rPr>
          <w:szCs w:val="22"/>
        </w:rPr>
        <w:t xml:space="preserve">5) per quanto detto </w:t>
      </w:r>
      <w:bookmarkEnd w:id="165"/>
      <w:r w:rsidRPr="00541B8B">
        <w:rPr>
          <w:szCs w:val="22"/>
        </w:rPr>
        <w:t>in premessa, si dovrebbe riformulare la disposizione contenuta all’articolo 2, comma 7, ultimo periodo, con la previsione di un secondo parere parlamentare e con la contestuale indicazione di un termine per la sua espressione; diversamente, anche tenuto conto della tempistica prevista per l’esercizio della delega (pari a soli sei mesi), ove la nuova trasmissione del testo alle Camere non sia funzionale all’espressione di un secondo parere parlamentare, si dovrebbe sopprimere il periodo in questione;</w:t>
      </w:r>
      <w:r w:rsidRPr="00541B8B">
        <w:rPr>
          <w:rFonts w:cs="Arial"/>
          <w:szCs w:val="22"/>
        </w:rPr>
        <w:t xml:space="preserve"> [</w:t>
      </w:r>
      <w:hyperlink w:anchor="premessa07"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166" w:name="S07O"/>
      <w:r w:rsidRPr="00541B8B">
        <w:rPr>
          <w:rFonts w:cs="Arial"/>
          <w:b/>
          <w:szCs w:val="22"/>
        </w:rPr>
        <w:t>Osservazioni:</w:t>
      </w:r>
    </w:p>
    <w:bookmarkEnd w:id="166"/>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bookmarkStart w:id="167" w:name="S07o01"/>
      <w:r w:rsidRPr="00541B8B">
        <w:rPr>
          <w:szCs w:val="22"/>
        </w:rPr>
        <w:t xml:space="preserve">1) all’articolo 2, comma </w:t>
      </w:r>
      <w:bookmarkEnd w:id="167"/>
      <w:r w:rsidRPr="00541B8B">
        <w:rPr>
          <w:szCs w:val="22"/>
        </w:rPr>
        <w:t xml:space="preserve">2, lettere </w:t>
      </w:r>
      <w:r w:rsidRPr="00541B8B">
        <w:rPr>
          <w:i/>
          <w:szCs w:val="22"/>
        </w:rPr>
        <w:t>g</w:t>
      </w:r>
      <w:r w:rsidRPr="00541B8B">
        <w:rPr>
          <w:szCs w:val="22"/>
        </w:rPr>
        <w:t xml:space="preserve">), </w:t>
      </w:r>
      <w:r w:rsidRPr="00541B8B">
        <w:rPr>
          <w:i/>
          <w:szCs w:val="22"/>
        </w:rPr>
        <w:t>h</w:t>
      </w:r>
      <w:r w:rsidRPr="00541B8B">
        <w:rPr>
          <w:szCs w:val="22"/>
        </w:rPr>
        <w:t xml:space="preserve">) e </w:t>
      </w:r>
      <w:r w:rsidRPr="00541B8B">
        <w:rPr>
          <w:i/>
          <w:szCs w:val="22"/>
        </w:rPr>
        <w:t>i</w:t>
      </w:r>
      <w:r w:rsidRPr="00541B8B">
        <w:rPr>
          <w:szCs w:val="22"/>
        </w:rPr>
        <w:t xml:space="preserve">) e al comma 5, lettere </w:t>
      </w:r>
      <w:r w:rsidRPr="00541B8B">
        <w:rPr>
          <w:i/>
          <w:szCs w:val="22"/>
        </w:rPr>
        <w:t>a</w:t>
      </w:r>
      <w:r w:rsidRPr="00541B8B">
        <w:rPr>
          <w:szCs w:val="22"/>
        </w:rPr>
        <w:t xml:space="preserve">) e </w:t>
      </w:r>
      <w:r w:rsidRPr="00541B8B">
        <w:rPr>
          <w:i/>
          <w:szCs w:val="22"/>
        </w:rPr>
        <w:t>b</w:t>
      </w:r>
      <w:r w:rsidRPr="00541B8B">
        <w:rPr>
          <w:szCs w:val="22"/>
        </w:rPr>
        <w:t>), che recano principi e criteri direttivi generici o formulati in termini di finalità della delega, si dovrebbero meglio precisare i suddetti principi e criteri al fine di circoscrivere adeguatamente la discrezionalità del legislatore delegato;</w:t>
      </w:r>
      <w:r w:rsidRPr="00541B8B">
        <w:rPr>
          <w:rFonts w:cs="Arial"/>
          <w:szCs w:val="22"/>
        </w:rPr>
        <w:t xml:space="preserve"> [</w:t>
      </w:r>
      <w:hyperlink w:anchor="premessa07"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168" w:name="S07o02"/>
      <w:r w:rsidRPr="00541B8B">
        <w:rPr>
          <w:szCs w:val="22"/>
        </w:rPr>
        <w:t xml:space="preserve">2) all’articolo 4, comma 1, </w:t>
      </w:r>
      <w:bookmarkEnd w:id="168"/>
      <w:r w:rsidRPr="00541B8B">
        <w:rPr>
          <w:szCs w:val="22"/>
        </w:rPr>
        <w:t>si dovrebbe infine aggiornare il termine di decorrenza ivi previsto per la nuova disciplina in materia di vendita dei giornali, attualmente fissato al 1° gennaio 2016, al fine di distanziarlo rispetto all’entrata in vigore della legge.</w:t>
      </w:r>
      <w:r w:rsidRPr="00541B8B">
        <w:rPr>
          <w:rFonts w:cs="Arial"/>
          <w:szCs w:val="22"/>
        </w:rPr>
        <w:t xml:space="preserve"> [</w:t>
      </w:r>
      <w:hyperlink w:anchor="premessa07"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sectPr w:rsidR="00541B8B" w:rsidRPr="00541B8B" w:rsidSect="00D20CCA">
          <w:headerReference w:type="even" r:id="rId347"/>
          <w:headerReference w:type="default" r:id="rId348"/>
          <w:footerReference w:type="even" r:id="rId349"/>
          <w:footerReference w:type="default" r:id="rId350"/>
          <w:headerReference w:type="first" r:id="rId351"/>
          <w:footerReference w:type="first" r:id="rId352"/>
          <w:pgSz w:w="11906" w:h="16838" w:code="9"/>
          <w:pgMar w:top="1418" w:right="1418" w:bottom="1134" w:left="1418" w:header="567" w:footer="567" w:gutter="0"/>
          <w:cols w:space="708"/>
          <w:docGrid w:linePitch="360"/>
        </w:sectPr>
      </w:pPr>
    </w:p>
    <w:tbl>
      <w:tblPr>
        <w:tblStyle w:val="Grigliatabella"/>
        <w:tblW w:w="5000" w:type="pct"/>
        <w:tblLook w:val="01E0" w:firstRow="1" w:lastRow="1" w:firstColumn="1" w:lastColumn="1" w:noHBand="0" w:noVBand="0"/>
      </w:tblPr>
      <w:tblGrid>
        <w:gridCol w:w="1146"/>
        <w:gridCol w:w="1384"/>
        <w:gridCol w:w="1883"/>
        <w:gridCol w:w="3274"/>
        <w:gridCol w:w="1599"/>
      </w:tblGrid>
      <w:tr w:rsidR="00541B8B" w:rsidRPr="00541B8B" w:rsidTr="00D20CCA">
        <w:trPr>
          <w:cantSplit/>
          <w:trHeight w:val="567"/>
        </w:trPr>
        <w:tc>
          <w:tcPr>
            <w:tcW w:w="61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lastRenderedPageBreak/>
              <w:t>N. SCHEDA</w:t>
            </w:r>
          </w:p>
        </w:tc>
        <w:tc>
          <w:tcPr>
            <w:tcW w:w="74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14"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3"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2"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617"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0008</w:t>
            </w:r>
          </w:p>
        </w:tc>
        <w:tc>
          <w:tcPr>
            <w:tcW w:w="745"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3119</w:t>
            </w:r>
          </w:p>
        </w:tc>
        <w:tc>
          <w:tcPr>
            <w:tcW w:w="1014" w:type="pct"/>
          </w:tcPr>
          <w:p w:rsidR="00541B8B" w:rsidRPr="00541B8B" w:rsidRDefault="00DC78AD" w:rsidP="00541B8B">
            <w:pPr>
              <w:spacing w:before="100" w:beforeAutospacing="1" w:after="100" w:afterAutospacing="1"/>
              <w:ind w:firstLine="0"/>
              <w:contextualSpacing/>
              <w:jc w:val="center"/>
              <w:rPr>
                <w:rFonts w:cs="Arial"/>
                <w:szCs w:val="22"/>
              </w:rPr>
            </w:pPr>
            <w:hyperlink r:id="rId353" w:history="1">
              <w:r w:rsidR="00541B8B" w:rsidRPr="00541B8B">
                <w:rPr>
                  <w:rFonts w:cs="Arial"/>
                  <w:color w:val="0000FF"/>
                  <w:szCs w:val="22"/>
                  <w:u w:val="single"/>
                </w:rPr>
                <w:t>ddl Gov</w:t>
              </w:r>
            </w:hyperlink>
          </w:p>
        </w:tc>
        <w:tc>
          <w:tcPr>
            <w:tcW w:w="1763"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Delega settore agricolo (collegato agricolo)</w:t>
            </w:r>
          </w:p>
        </w:tc>
        <w:tc>
          <w:tcPr>
            <w:tcW w:w="862" w:type="pct"/>
          </w:tcPr>
          <w:p w:rsidR="00541B8B" w:rsidRPr="00541B8B" w:rsidRDefault="00DC78AD" w:rsidP="00541B8B">
            <w:pPr>
              <w:spacing w:before="100" w:beforeAutospacing="1" w:after="100" w:afterAutospacing="1"/>
              <w:ind w:firstLine="0"/>
              <w:contextualSpacing/>
              <w:jc w:val="center"/>
              <w:rPr>
                <w:rFonts w:cs="Arial"/>
                <w:szCs w:val="22"/>
              </w:rPr>
            </w:pPr>
            <w:hyperlink r:id="rId354" w:anchor="data.20160216.com48.bollettino.sede00010.tit00010" w:history="1">
              <w:r w:rsidR="00541B8B" w:rsidRPr="00541B8B">
                <w:rPr>
                  <w:rFonts w:cs="Arial"/>
                  <w:color w:val="0000FF"/>
                  <w:szCs w:val="22"/>
                  <w:u w:val="single"/>
                </w:rPr>
                <w:t>16/02/2016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169" w:name="premessa08"/>
            <w:r w:rsidRPr="00541B8B">
              <w:rPr>
                <w:rFonts w:cs="Arial"/>
                <w:b/>
                <w:color w:val="0000FF"/>
                <w:sz w:val="24"/>
                <w:szCs w:val="24"/>
              </w:rPr>
              <w:t>Premessa</w:t>
            </w:r>
            <w:bookmarkEnd w:id="169"/>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3 Condizioni, 6 Osservazioni</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08a01" w:history="1">
              <w:r w:rsidR="00541B8B" w:rsidRPr="00541B8B">
                <w:rPr>
                  <w:rFonts w:cs="Arial"/>
                  <w:color w:val="0000FF"/>
                  <w:szCs w:val="22"/>
                  <w:u w:val="single"/>
                </w:rPr>
                <w:t>1</w:t>
              </w:r>
            </w:hyperlink>
            <w:r w:rsidR="00541B8B" w:rsidRPr="00541B8B">
              <w:rPr>
                <w:rFonts w:cs="Arial"/>
                <w:szCs w:val="22"/>
              </w:rPr>
              <w:t xml:space="preserve"> – Contenuto estremamente ampio e complesso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08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Modifiche non testuali e misure decontestualizzate, che spesso fanno sistema con quelle oggetto di altri provvedimenti.</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1</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Modifica non testuale del codice civile.</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2</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08a03" w:history="1">
              <w:r w:rsidR="00541B8B" w:rsidRPr="00541B8B">
                <w:rPr>
                  <w:rFonts w:cs="Arial"/>
                  <w:color w:val="0000FF"/>
                  <w:szCs w:val="22"/>
                  <w:u w:val="single"/>
                </w:rPr>
                <w:t>3</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Modifiche di norme di recente approvazione.</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08a04" w:history="1">
              <w:r w:rsidR="00541B8B" w:rsidRPr="00541B8B">
                <w:rPr>
                  <w:rFonts w:cs="Arial"/>
                  <w:color w:val="0000FF"/>
                  <w:szCs w:val="22"/>
                  <w:u w:val="single"/>
                </w:rPr>
                <w:t>4</w:t>
              </w:r>
            </w:hyperlink>
            <w:r w:rsidR="00541B8B" w:rsidRPr="00541B8B">
              <w:rPr>
                <w:rFonts w:cs="Arial"/>
                <w:szCs w:val="22"/>
              </w:rPr>
              <w:t xml:space="preserve"> - Rapporti tra fonti primarie e fonti subordinate: incidenza su fonti subordinate e rilegificazione + delegificazione spuria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Richiamo alla circolare sulla formulazione dei testi normativi, punto 3, lettera </w:t>
            </w:r>
            <w:r w:rsidRPr="00541B8B">
              <w:rPr>
                <w:rFonts w:cs="Arial"/>
                <w:i/>
                <w:szCs w:val="22"/>
              </w:rPr>
              <w:t>e)</w:t>
            </w:r>
            <w:r w:rsidRPr="00541B8B">
              <w:rPr>
                <w:rFonts w:cs="Arial"/>
                <w:szCs w:val="22"/>
              </w:rPr>
              <w:t>; richiamo all’articolo 17, comma 2, della legge n. 400/1988.</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2</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08a05" w:history="1">
              <w:r w:rsidR="00541B8B" w:rsidRPr="00541B8B">
                <w:rPr>
                  <w:rFonts w:cs="Arial"/>
                  <w:color w:val="0000FF"/>
                  <w:szCs w:val="22"/>
                  <w:u w:val="single"/>
                </w:rPr>
                <w:t>5</w:t>
              </w:r>
            </w:hyperlink>
            <w:r w:rsidR="00541B8B" w:rsidRPr="00541B8B">
              <w:rPr>
                <w:rFonts w:cs="Arial"/>
                <w:szCs w:val="22"/>
              </w:rPr>
              <w:t xml:space="preserve"> – Coerente utilizzo delle fonti normative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Adempimenti atipici: decreti di natura non regolamentare. Richiamo alla sentenza della Corte costituzionale n. 116/2006; richiamo alla sentenza del Consiglio di Stato n. 9/2012.</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08a06" w:history="1">
              <w:r w:rsidR="00541B8B" w:rsidRPr="00541B8B">
                <w:rPr>
                  <w:rFonts w:cs="Arial"/>
                  <w:color w:val="0000FF"/>
                  <w:szCs w:val="22"/>
                  <w:u w:val="single"/>
                </w:rPr>
                <w:t>6</w:t>
              </w:r>
            </w:hyperlink>
            <w:r w:rsidR="00541B8B" w:rsidRPr="00541B8B">
              <w:rPr>
                <w:rFonts w:cs="Arial"/>
                <w:szCs w:val="22"/>
              </w:rPr>
              <w:t xml:space="preserve"> – 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Principi e criteri direttivi generici o che coincidono con l’oggetto della delega, che a volte non appare chiaro.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Osservazione 3; Osservazione 4 </w:t>
            </w:r>
          </w:p>
        </w:tc>
      </w:tr>
    </w:tbl>
    <w:p w:rsidR="00541B8B" w:rsidRPr="00541B8B" w:rsidRDefault="00541B8B" w:rsidP="00541B8B">
      <w:pPr>
        <w:spacing w:before="60" w:after="60"/>
        <w:contextualSpacing/>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08a07" w:history="1">
              <w:r w:rsidR="00541B8B" w:rsidRPr="00541B8B">
                <w:rPr>
                  <w:rFonts w:cs="Arial"/>
                  <w:color w:val="0000FF"/>
                  <w:szCs w:val="22"/>
                  <w:u w:val="single"/>
                </w:rPr>
                <w:t>7</w:t>
              </w:r>
            </w:hyperlink>
            <w:r w:rsidR="00541B8B" w:rsidRPr="00541B8B">
              <w:rPr>
                <w:rFonts w:cs="Arial"/>
                <w:szCs w:val="22"/>
              </w:rPr>
              <w:t xml:space="preserve"> – Disposizioni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Disposizioni la cui attuazione sembra presupporre l’esercizio della delega che le precede, ma che appaiono prive di legami logici o causali con la delega stessa.</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5</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08a08" w:history="1">
              <w:r w:rsidR="00541B8B" w:rsidRPr="00541B8B">
                <w:rPr>
                  <w:rFonts w:cs="Arial"/>
                  <w:color w:val="0000FF"/>
                  <w:szCs w:val="22"/>
                  <w:u w:val="single"/>
                </w:rPr>
                <w:t>8</w:t>
              </w:r>
            </w:hyperlink>
            <w:r w:rsidR="00541B8B" w:rsidRPr="00541B8B">
              <w:rPr>
                <w:rFonts w:cs="Arial"/>
                <w:szCs w:val="22"/>
              </w:rPr>
              <w:t xml:space="preserve"> – 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Scorrimento del termine per l’esercizio della delega (“tecnica dello scorrimento”).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3</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08a09" w:history="1">
              <w:r w:rsidR="00541B8B" w:rsidRPr="00541B8B">
                <w:rPr>
                  <w:rFonts w:cs="Arial"/>
                  <w:color w:val="0000FF"/>
                  <w:szCs w:val="22"/>
                  <w:u w:val="single"/>
                </w:rPr>
                <w:t>9</w:t>
              </w:r>
            </w:hyperlink>
            <w:r w:rsidR="00541B8B" w:rsidRPr="00541B8B">
              <w:rPr>
                <w:rFonts w:cs="Arial"/>
                <w:szCs w:val="22"/>
              </w:rPr>
              <w:t xml:space="preserve"> – Formulazione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Rubriche incomplete o generiche.</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6</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08a10" w:history="1">
              <w:r w:rsidR="00541B8B" w:rsidRPr="00541B8B">
                <w:rPr>
                  <w:rFonts w:cs="Arial"/>
                  <w:color w:val="0000FF"/>
                  <w:szCs w:val="22"/>
                  <w:u w:val="single"/>
                </w:rPr>
                <w:t>10</w:t>
              </w:r>
            </w:hyperlink>
            <w:r w:rsidR="00541B8B" w:rsidRPr="00541B8B">
              <w:rPr>
                <w:rFonts w:cs="Arial"/>
                <w:szCs w:val="22"/>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Presenti.</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08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08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rPr>
                <w:rFonts w:cs="Arial"/>
                <w:i/>
                <w:szCs w:val="22"/>
              </w:rPr>
            </w:pPr>
            <w:r w:rsidRPr="00541B8B">
              <w:rPr>
                <w:rFonts w:cs="Arial"/>
                <w:i/>
                <w:szCs w:val="22"/>
              </w:rPr>
              <w:t xml:space="preserve">Articolo 17, comma 2, legge n. 400/1988; punto 3, lettera </w:t>
            </w:r>
            <w:r w:rsidRPr="00541B8B">
              <w:rPr>
                <w:rFonts w:cs="Arial"/>
                <w:szCs w:val="22"/>
              </w:rPr>
              <w:t>e)</w:t>
            </w:r>
            <w:r w:rsidRPr="00541B8B">
              <w:rPr>
                <w:rFonts w:cs="Arial"/>
                <w:i/>
                <w:szCs w:val="22"/>
              </w:rPr>
              <w:t>, della circolare sulla formulazione dei testi normativi; sentenza n. 116/2006 della Corte costituzionale; sentenza n. 9/2012 del Consiglio di Stato.</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ind w:firstLine="708"/>
        <w:contextualSpacing/>
        <w:rPr>
          <w:rFonts w:cs="Arial"/>
          <w:szCs w:val="22"/>
        </w:rPr>
      </w:pPr>
      <w:bookmarkStart w:id="170" w:name="S08a01"/>
      <w:r w:rsidRPr="00541B8B">
        <w:rPr>
          <w:rFonts w:cs="Arial"/>
          <w:szCs w:val="22"/>
        </w:rPr>
        <w:t>1</w:t>
      </w:r>
      <w:bookmarkEnd w:id="170"/>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disegno di legge, che si compone di 42 articoli, ripartiti in 5 Titoli oltre ad un sesto recante le disposizioni finali, e dedicati, rispettivamente, alla semplificazione e alla sicurezza agroalimentare, alla razionalizzazione e al contenimento della spesa pubblica, alla competitività e allo sviluppo delle imprese agricole e agroalimentari, a specifici interventi in singoli settori produttivi e ai rifiuti agricoli, reca un </w:t>
      </w:r>
      <w:r w:rsidRPr="00541B8B">
        <w:rPr>
          <w:rFonts w:cs="Arial"/>
          <w:b/>
          <w:szCs w:val="22"/>
        </w:rPr>
        <w:t>contenuto estremamente ampio e complesso</w:t>
      </w:r>
      <w:r w:rsidRPr="00541B8B">
        <w:rPr>
          <w:rFonts w:cs="Arial"/>
          <w:szCs w:val="22"/>
        </w:rPr>
        <w:t>; esso comprende, oltre a numerose disposizioni di immediata applicazione, anche disposizioni di delega, contenute agli articoli 5 (riordino e semplificazione della normativa in materia di agricoltura), 6 (società di affiancamento per le terre agricole), 9 (riordino e riduzione di enti, società e agenzie vigilati dal Ministero per le politiche agricole, alimentari e forestali,</w:t>
      </w:r>
      <w:r w:rsidRPr="00541B8B">
        <w:rPr>
          <w:rFonts w:cs="Arial"/>
          <w:iCs/>
          <w:szCs w:val="22"/>
        </w:rPr>
        <w:t xml:space="preserve"> riordino dell'assistenza tecnica agli allevatori e revisione della disciplina della riproduzione animale), 15 (riordino degli strumenti di gestione del rischio in agricoltura e per la regolazione dei mercati) e 25 (sostegno al settore del riso)</w:t>
      </w:r>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171" w:name="S08a02"/>
      <w:r w:rsidRPr="00541B8B">
        <w:rPr>
          <w:rFonts w:cs="Arial"/>
          <w:szCs w:val="22"/>
        </w:rPr>
        <w:t>2</w:t>
      </w:r>
      <w:bookmarkEnd w:id="171"/>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«nel procedere a numerose modifiche della disciplina vigente, il disegno di legge non sempre effettua gli opportuni </w:t>
      </w:r>
      <w:r w:rsidRPr="00541B8B">
        <w:rPr>
          <w:rFonts w:cs="Arial"/>
          <w:b/>
          <w:szCs w:val="22"/>
        </w:rPr>
        <w:t>coordinamenti con le preesistenti fonti normative</w:t>
      </w:r>
      <w:r w:rsidRPr="00541B8B">
        <w:rPr>
          <w:rFonts w:cs="Arial"/>
          <w:szCs w:val="22"/>
        </w:rPr>
        <w:t xml:space="preserve">, sulle quali talune disposizioni intervengono mediante </w:t>
      </w:r>
      <w:r w:rsidRPr="00541B8B">
        <w:rPr>
          <w:rFonts w:cs="Arial"/>
          <w:b/>
          <w:szCs w:val="22"/>
        </w:rPr>
        <w:t>modifiche non testuali</w:t>
      </w:r>
      <w:r w:rsidRPr="00541B8B">
        <w:rPr>
          <w:rFonts w:cs="Arial"/>
          <w:szCs w:val="22"/>
        </w:rPr>
        <w:t xml:space="preserve">; in altri casi, il difetto di coordinamento con la normativa vigente è imputabile all'introduzione di numerose misure di carattere organico che, nell'ambito delle partizioni del testo nelle quali sono inserite, appaiono decontestualizzate e, in molti casi, fanno sistema con quelle oggetto di altri provvedimenti, all'interno dei quali dovrebbero essere opportunamente collocate al fine di definire in modo ordinato le materie che ne formano oggetto. Tali modalità di produzione normativa si riscontrano, a titolo meramente esemplificativo: </w:t>
      </w:r>
    </w:p>
    <w:p w:rsidR="00541B8B" w:rsidRPr="00541B8B" w:rsidRDefault="00541B8B" w:rsidP="00541B8B">
      <w:pPr>
        <w:spacing w:before="60" w:after="60"/>
        <w:contextualSpacing/>
        <w:rPr>
          <w:rFonts w:cs="Arial"/>
          <w:szCs w:val="22"/>
        </w:rPr>
      </w:pPr>
      <w:r w:rsidRPr="00541B8B">
        <w:rPr>
          <w:rFonts w:cs="Arial"/>
          <w:szCs w:val="22"/>
        </w:rPr>
        <w:t>- all’articolo 3, che integra la disciplina in materia di servitù di cui al titolo VI del libro III del codice civile, senza novellarlo (</w:t>
      </w:r>
      <w:hyperlink w:anchor="S08c02"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r w:rsidRPr="00541B8B">
        <w:rPr>
          <w:rFonts w:cs="Arial"/>
          <w:szCs w:val="22"/>
        </w:rPr>
        <w:t>- all’articolo 7, in materia di agricoltura e acquacoltura biologiche, che abroga taluni articoli del decreto legislativo n. 220 del 1995, sostituendoli con una nuova disciplina, senza tuttavia collocarla nell’ambito del citato decreto legislativo;</w:t>
      </w:r>
    </w:p>
    <w:p w:rsidR="00541B8B" w:rsidRPr="00541B8B" w:rsidRDefault="00541B8B" w:rsidP="00541B8B">
      <w:pPr>
        <w:spacing w:before="60" w:after="60"/>
        <w:contextualSpacing/>
        <w:rPr>
          <w:rFonts w:cs="Arial"/>
          <w:szCs w:val="22"/>
        </w:rPr>
      </w:pPr>
      <w:r w:rsidRPr="00541B8B">
        <w:rPr>
          <w:rFonts w:cs="Arial"/>
          <w:szCs w:val="22"/>
        </w:rPr>
        <w:lastRenderedPageBreak/>
        <w:t>- agli articoli 8-</w:t>
      </w:r>
      <w:r w:rsidRPr="00541B8B">
        <w:rPr>
          <w:rFonts w:cs="Arial"/>
          <w:i/>
          <w:szCs w:val="22"/>
        </w:rPr>
        <w:t>ter</w:t>
      </w:r>
      <w:r w:rsidRPr="00541B8B">
        <w:rPr>
          <w:rFonts w:cs="Arial"/>
          <w:szCs w:val="22"/>
        </w:rPr>
        <w:t xml:space="preserve"> e 8-</w:t>
      </w:r>
      <w:r w:rsidRPr="00541B8B">
        <w:rPr>
          <w:rFonts w:cs="Arial"/>
          <w:i/>
          <w:szCs w:val="22"/>
        </w:rPr>
        <w:t>sexies</w:t>
      </w:r>
      <w:r w:rsidRPr="00541B8B">
        <w:rPr>
          <w:rFonts w:cs="Arial"/>
          <w:szCs w:val="22"/>
        </w:rPr>
        <w:t xml:space="preserve"> che introducono un’organica disciplina, rispettivamente, in materia di indennità espropriative dormienti e di esercizio dell’attività di manutenzione del verde, senza inserirla in alcun contesto normativo;</w:t>
      </w:r>
    </w:p>
    <w:p w:rsidR="00541B8B" w:rsidRPr="00541B8B" w:rsidRDefault="00541B8B" w:rsidP="00541B8B">
      <w:pPr>
        <w:spacing w:before="60" w:after="60"/>
        <w:contextualSpacing/>
        <w:rPr>
          <w:rFonts w:cs="Arial"/>
          <w:szCs w:val="22"/>
        </w:rPr>
      </w:pPr>
      <w:r w:rsidRPr="00541B8B">
        <w:rPr>
          <w:rFonts w:cs="Arial"/>
          <w:szCs w:val="22"/>
        </w:rPr>
        <w:t>- all’articolo 9, comma 7-</w:t>
      </w:r>
      <w:r w:rsidRPr="00541B8B">
        <w:rPr>
          <w:rFonts w:cs="Arial"/>
          <w:i/>
          <w:szCs w:val="22"/>
        </w:rPr>
        <w:t>bis</w:t>
      </w:r>
      <w:r w:rsidRPr="00541B8B">
        <w:rPr>
          <w:rFonts w:cs="Arial"/>
          <w:szCs w:val="22"/>
        </w:rPr>
        <w:t>, che interviene in materia di armonizzazione dei sistemi contabili degli organismi pagatori regionali senza novellare il decreto legislativo n. 91 del 2011;</w:t>
      </w:r>
    </w:p>
    <w:p w:rsidR="00541B8B" w:rsidRPr="00541B8B" w:rsidRDefault="00541B8B" w:rsidP="00541B8B">
      <w:pPr>
        <w:spacing w:before="60" w:after="60"/>
        <w:contextualSpacing/>
        <w:rPr>
          <w:rFonts w:cs="Arial"/>
          <w:szCs w:val="22"/>
        </w:rPr>
      </w:pPr>
      <w:r w:rsidRPr="00541B8B">
        <w:rPr>
          <w:rFonts w:cs="Arial"/>
          <w:szCs w:val="22"/>
        </w:rPr>
        <w:t>- all’articolo 13, commi 2, 3 e 4, che reca disposizioni in materia di produzione di latte, avulse da qualsiasi contesto normativo;</w:t>
      </w:r>
    </w:p>
    <w:p w:rsidR="00541B8B" w:rsidRPr="00541B8B" w:rsidRDefault="00541B8B" w:rsidP="00541B8B">
      <w:pPr>
        <w:spacing w:before="60" w:after="60"/>
        <w:contextualSpacing/>
        <w:rPr>
          <w:rFonts w:cs="Arial"/>
          <w:szCs w:val="22"/>
        </w:rPr>
      </w:pPr>
      <w:r w:rsidRPr="00541B8B">
        <w:rPr>
          <w:rFonts w:cs="Arial"/>
          <w:szCs w:val="22"/>
        </w:rPr>
        <w:t>- all’articolo 25-</w:t>
      </w:r>
      <w:r w:rsidRPr="00541B8B">
        <w:rPr>
          <w:rFonts w:cs="Arial"/>
          <w:i/>
          <w:szCs w:val="22"/>
        </w:rPr>
        <w:t>quater</w:t>
      </w:r>
      <w:r w:rsidRPr="00541B8B">
        <w:rPr>
          <w:rFonts w:cs="Arial"/>
          <w:szCs w:val="22"/>
        </w:rPr>
        <w:t>, che reca tre distinte disposizioni concernenti l’apicoltura senza novellare la legge in materia (legge 24 dicembre 2004, n. 313);</w:t>
      </w:r>
    </w:p>
    <w:p w:rsidR="00541B8B" w:rsidRPr="00541B8B" w:rsidRDefault="00541B8B" w:rsidP="00541B8B">
      <w:pPr>
        <w:spacing w:before="60" w:after="60"/>
        <w:contextualSpacing/>
        <w:rPr>
          <w:rFonts w:cs="Arial"/>
          <w:szCs w:val="22"/>
        </w:rPr>
      </w:pPr>
      <w:r w:rsidRPr="00541B8B">
        <w:rPr>
          <w:rFonts w:cs="Arial"/>
          <w:szCs w:val="22"/>
        </w:rPr>
        <w:t>- all’articolo 29-</w:t>
      </w:r>
      <w:r w:rsidRPr="00541B8B">
        <w:rPr>
          <w:rFonts w:cs="Arial"/>
          <w:i/>
          <w:szCs w:val="22"/>
        </w:rPr>
        <w:t>bis</w:t>
      </w:r>
      <w:r w:rsidRPr="00541B8B">
        <w:rPr>
          <w:rFonts w:cs="Arial"/>
          <w:szCs w:val="22"/>
        </w:rPr>
        <w:t>, che disciplina il contrasto al bracconaggio ittico nelle acque interne senza intervenire sul decreto legislativo n. 4 del 2012, il cui capo II è dedicato alle sanzioni per la pesca illegale;» (</w:t>
      </w:r>
      <w:hyperlink w:anchor="S08c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172" w:name="S08a03"/>
      <w:r w:rsidRPr="00541B8B">
        <w:rPr>
          <w:rFonts w:cs="Arial"/>
          <w:szCs w:val="22"/>
        </w:rPr>
        <w:t>3</w:t>
      </w:r>
      <w:bookmarkEnd w:id="172"/>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agli articoli 1, comma 9-</w:t>
      </w:r>
      <w:r w:rsidRPr="00541B8B">
        <w:rPr>
          <w:rFonts w:cs="Arial"/>
          <w:i/>
          <w:szCs w:val="22"/>
        </w:rPr>
        <w:t>ter</w:t>
      </w:r>
      <w:r w:rsidRPr="00541B8B">
        <w:rPr>
          <w:rFonts w:cs="Arial"/>
          <w:szCs w:val="22"/>
        </w:rPr>
        <w:t xml:space="preserve"> e 25-</w:t>
      </w:r>
      <w:r w:rsidRPr="00541B8B">
        <w:rPr>
          <w:rFonts w:cs="Arial"/>
          <w:i/>
          <w:szCs w:val="22"/>
        </w:rPr>
        <w:t>octies</w:t>
      </w:r>
      <w:r w:rsidRPr="00541B8B">
        <w:rPr>
          <w:rFonts w:cs="Arial"/>
          <w:szCs w:val="22"/>
        </w:rPr>
        <w:t xml:space="preserve">, modifica disposizioni di recentissima approvazione (e, segnatamente, la legge 28 dicembre 2015, n. 221, recante disposizioni in materia ambientale per promuovere misure di </w:t>
      </w:r>
      <w:r w:rsidRPr="00541B8B">
        <w:rPr>
          <w:rFonts w:cs="Arial"/>
          <w:i/>
          <w:szCs w:val="22"/>
        </w:rPr>
        <w:t>green economy</w:t>
      </w:r>
      <w:r w:rsidRPr="00541B8B">
        <w:rPr>
          <w:rFonts w:cs="Arial"/>
          <w:szCs w:val="22"/>
        </w:rPr>
        <w:t xml:space="preserve"> e per il contenimento dell'uso eccessivo di risorse naturali), circostanza che, come rilevato già in altre occasioni analoghe, costituisce una modalità di produzione legislativa non pienamente conforme alle esigenze di stabilità, certezza e semplificazione della legislazione»;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73" w:name="S08a04"/>
      <w:r w:rsidRPr="00541B8B">
        <w:rPr>
          <w:rFonts w:cs="Arial"/>
          <w:szCs w:val="22"/>
        </w:rPr>
        <w:t>4</w:t>
      </w:r>
      <w:bookmarkEnd w:id="173"/>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«in numerosissime circostanze, il disegno di legge incide in modo non testuale ovvero mediante esplicite novelle </w:t>
      </w:r>
      <w:r w:rsidRPr="00541B8B">
        <w:rPr>
          <w:rFonts w:cs="Arial"/>
          <w:b/>
          <w:szCs w:val="22"/>
        </w:rPr>
        <w:t>su discipline oggetto di fonti normative di rango subordinato</w:t>
      </w:r>
      <w:r w:rsidRPr="00541B8B">
        <w:rPr>
          <w:rFonts w:cs="Arial"/>
          <w:szCs w:val="22"/>
        </w:rPr>
        <w:t xml:space="preserve">, integrando una modalità di produzione legislativa che, secondo i costanti indirizzi del Comitato, non appare conforme alle esigenze di coerente utilizzo delle fonti, in quanto può derivarne l’effetto secondo cui atti non aventi forza di legge presentano un diverso grado di resistenza ad interventi modificativi successivi (si veda il </w:t>
      </w:r>
      <w:r w:rsidRPr="00541B8B">
        <w:rPr>
          <w:rFonts w:cs="Arial"/>
          <w:b/>
          <w:szCs w:val="22"/>
        </w:rPr>
        <w:t xml:space="preserve">punto 3, lettera </w:t>
      </w:r>
      <w:r w:rsidRPr="00541B8B">
        <w:rPr>
          <w:rFonts w:cs="Arial"/>
          <w:b/>
          <w:i/>
          <w:szCs w:val="22"/>
        </w:rPr>
        <w:t>e)</w:t>
      </w:r>
      <w:r w:rsidRPr="00541B8B">
        <w:rPr>
          <w:rFonts w:cs="Arial"/>
          <w:b/>
          <w:szCs w:val="22"/>
        </w:rPr>
        <w:t>, della circolare congiunta dei Presidenti di Camera e Senato e del Presidente del Consiglio del 20 aprile 2001</w:t>
      </w:r>
      <w:r w:rsidRPr="00541B8B">
        <w:rPr>
          <w:rFonts w:cs="Arial"/>
          <w:szCs w:val="22"/>
        </w:rPr>
        <w:t>). Ciò si riscontra, in particolare, all’articolo 1, commi 6 e 7, che interviene sul passaporto di identificazione dei bovini, disciplinato dal regolamento di cui al DPR 19 ottobre 2000, n. 437, di cui il comma 8 abroga due disposizioni; all’articolo 8-</w:t>
      </w:r>
      <w:r w:rsidRPr="00541B8B">
        <w:rPr>
          <w:rFonts w:cs="Arial"/>
          <w:i/>
          <w:szCs w:val="22"/>
        </w:rPr>
        <w:t>quater</w:t>
      </w:r>
      <w:r w:rsidRPr="00541B8B">
        <w:rPr>
          <w:rFonts w:cs="Arial"/>
          <w:szCs w:val="22"/>
        </w:rPr>
        <w:t xml:space="preserve">, che, da un lato fissa direttamente per legge la misura del contributo ambientale a carico dei produttori e degli importatori di oli e grassi vegetali e animali per uso alimentare che l’articolo 233, comma 10, lettera </w:t>
      </w:r>
      <w:r w:rsidRPr="00541B8B">
        <w:rPr>
          <w:rFonts w:cs="Arial"/>
          <w:i/>
          <w:szCs w:val="22"/>
        </w:rPr>
        <w:t>c)</w:t>
      </w:r>
      <w:r w:rsidRPr="00541B8B">
        <w:rPr>
          <w:rFonts w:cs="Arial"/>
          <w:szCs w:val="22"/>
        </w:rPr>
        <w:t xml:space="preserve"> del decreto legislativo n. 152 del 2006 demanda ad un decreto interministeriale e, dall’altro lato, demanda ad un decreto interministeriale l’aggiornamento dell’entità del contributo, operando così una sorta di delegificazione sulla base di una procedura che si discosta da quella delineata dall’articolo 17, comma 2, della legge n. 400 del 1988; all’articolo 16, che integra in maniera non testuale il decreto del Ministro delle politiche agricole alimentari e forestali in data 20 novembre 2007; all’articolo 25-</w:t>
      </w:r>
      <w:r w:rsidRPr="00541B8B">
        <w:rPr>
          <w:rFonts w:cs="Arial"/>
          <w:i/>
          <w:szCs w:val="22"/>
        </w:rPr>
        <w:t>septies</w:t>
      </w:r>
      <w:r w:rsidRPr="00541B8B">
        <w:rPr>
          <w:rFonts w:cs="Arial"/>
          <w:szCs w:val="22"/>
        </w:rPr>
        <w:t xml:space="preserve">, sulla denominazione di “fungo </w:t>
      </w:r>
      <w:proofErr w:type="spellStart"/>
      <w:r w:rsidRPr="00541B8B">
        <w:rPr>
          <w:rFonts w:cs="Arial"/>
          <w:szCs w:val="22"/>
        </w:rPr>
        <w:t>cardocello</w:t>
      </w:r>
      <w:proofErr w:type="spellEnd"/>
      <w:r w:rsidRPr="00541B8B">
        <w:rPr>
          <w:rFonts w:cs="Arial"/>
          <w:szCs w:val="22"/>
        </w:rPr>
        <w:t>” o “</w:t>
      </w:r>
      <w:proofErr w:type="spellStart"/>
      <w:r w:rsidRPr="00541B8B">
        <w:rPr>
          <w:rFonts w:cs="Arial"/>
          <w:szCs w:val="22"/>
        </w:rPr>
        <w:t>cardoncello</w:t>
      </w:r>
      <w:proofErr w:type="spellEnd"/>
      <w:r w:rsidRPr="00541B8B">
        <w:rPr>
          <w:rFonts w:cs="Arial"/>
          <w:szCs w:val="22"/>
        </w:rPr>
        <w:t>”, che integra la disciplina recata dal regolamento di delegificazione concernente la disciplina della raccolta e della commercializzazione dei funghi epigei freschi e conservati, di cui al DPR 14 luglio 1995, n. 376, e all’articolo 29, comma 2, che novella il regolamento di cui al DPR 2 ottobre 1968, n. 1639» (</w:t>
      </w:r>
      <w:hyperlink w:anchor="S08c02"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120"/>
        <w:contextualSpacing/>
        <w:rPr>
          <w:rFonts w:cs="Arial"/>
          <w:szCs w:val="22"/>
        </w:rPr>
      </w:pPr>
      <w:bookmarkStart w:id="174" w:name="S08a05"/>
      <w:r w:rsidRPr="00541B8B">
        <w:rPr>
          <w:rFonts w:cs="Arial"/>
          <w:szCs w:val="22"/>
        </w:rPr>
        <w:lastRenderedPageBreak/>
        <w:t>5</w:t>
      </w:r>
      <w:bookmarkEnd w:id="174"/>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all’articolo 1, comma 4, demanda ad </w:t>
      </w:r>
      <w:r w:rsidRPr="00541B8B">
        <w:rPr>
          <w:rFonts w:cs="Arial"/>
          <w:b/>
          <w:szCs w:val="22"/>
        </w:rPr>
        <w:t>un decreto di natura non regolamentare</w:t>
      </w:r>
      <w:r w:rsidRPr="00541B8B">
        <w:rPr>
          <w:rFonts w:cs="Arial"/>
          <w:szCs w:val="22"/>
        </w:rPr>
        <w:t xml:space="preserve"> (del quale, peraltro non è obbligatoria neppure la pubblicazione in Gazzetta Ufficiale) del Ministero delle politiche agricole alimentari e forestali la definizione di “disposizioni generali in materia di costituzione e riconoscimento dei consorzi di tutela” dei prodotti agroalimentari. A tale proposito, come più volte segnalato dal Comitato, si ricorda che la </w:t>
      </w:r>
      <w:r w:rsidRPr="00541B8B">
        <w:rPr>
          <w:rFonts w:cs="Arial"/>
          <w:b/>
          <w:szCs w:val="22"/>
        </w:rPr>
        <w:t>Corte costituzionale</w:t>
      </w:r>
      <w:r w:rsidRPr="00541B8B">
        <w:rPr>
          <w:rFonts w:cs="Arial"/>
          <w:szCs w:val="22"/>
        </w:rPr>
        <w:t xml:space="preserve">, nella </w:t>
      </w:r>
      <w:r w:rsidRPr="00541B8B">
        <w:rPr>
          <w:rFonts w:cs="Arial"/>
          <w:b/>
          <w:szCs w:val="22"/>
        </w:rPr>
        <w:t>sentenza n. 116 del 2006</w:t>
      </w:r>
      <w:r w:rsidRPr="00541B8B">
        <w:rPr>
          <w:rFonts w:cs="Arial"/>
          <w:szCs w:val="22"/>
        </w:rPr>
        <w:t>, con riferimento ad un decreto ministeriale del quale si esplicitava la natura non regolamentare, lo qualificava come «</w:t>
      </w:r>
      <w:r w:rsidRPr="00541B8B">
        <w:rPr>
          <w:rFonts w:cs="Arial"/>
          <w:i/>
          <w:szCs w:val="22"/>
        </w:rPr>
        <w:t>un atto statale dalla indefinibile natura giuridica</w:t>
      </w:r>
      <w:r w:rsidRPr="00541B8B">
        <w:rPr>
          <w:rFonts w:cs="Arial"/>
          <w:szCs w:val="22"/>
        </w:rPr>
        <w:t xml:space="preserve">» e che, più recentemente, l’Adunanza Plenaria del </w:t>
      </w:r>
      <w:r w:rsidRPr="00541B8B">
        <w:rPr>
          <w:rFonts w:cs="Arial"/>
          <w:b/>
          <w:szCs w:val="22"/>
        </w:rPr>
        <w:t>Consiglio di Stato</w:t>
      </w:r>
      <w:r w:rsidRPr="00541B8B">
        <w:rPr>
          <w:rFonts w:cs="Arial"/>
          <w:szCs w:val="22"/>
        </w:rPr>
        <w:t xml:space="preserve">, con </w:t>
      </w:r>
      <w:r w:rsidRPr="00541B8B">
        <w:rPr>
          <w:rFonts w:cs="Arial"/>
          <w:b/>
          <w:szCs w:val="22"/>
        </w:rPr>
        <w:t>sentenza 4 maggio 2012, n. 9</w:t>
      </w:r>
      <w:r w:rsidRPr="00541B8B">
        <w:rPr>
          <w:rFonts w:cs="Arial"/>
          <w:szCs w:val="22"/>
        </w:rPr>
        <w:t>, sulla natura giuridica dell’articolo 4 del decreto ministeriale 6 febbraio 2006, ha osservato che: “</w:t>
      </w:r>
      <w:r w:rsidRPr="00541B8B">
        <w:rPr>
          <w:rFonts w:cs="Arial"/>
          <w:i/>
          <w:szCs w:val="22"/>
        </w:rPr>
        <w:t>deve rilevarsi che, nonostante la crescente diffusione di quel fenomeno efficacemente descritto in termini di “fuga dal regolamento” (che si manifesta, talvolta anche in base ad esplicite indicazioni legislative, tramite l’adozione di atti normativi secondari che si autoqualificano in termini non regolamentari) deve, in linea di principio, escludersi che il potere normativo dei Ministri e, più in generale, del Governo possa esercitarsi medianti atti ‘atipici’, di natura non regolamentare</w:t>
      </w:r>
      <w:r w:rsidRPr="00541B8B">
        <w:rPr>
          <w:rFonts w:cs="Arial"/>
          <w:szCs w:val="22"/>
        </w:rPr>
        <w:t>”» (</w:t>
      </w:r>
      <w:hyperlink w:anchor="S08c01"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75" w:name="S08a06"/>
      <w:r w:rsidRPr="00541B8B">
        <w:rPr>
          <w:rFonts w:cs="Arial"/>
          <w:szCs w:val="22"/>
        </w:rPr>
        <w:t>6</w:t>
      </w:r>
      <w:bookmarkEnd w:id="175"/>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«in relazione alla </w:t>
      </w:r>
      <w:r w:rsidRPr="00541B8B">
        <w:rPr>
          <w:rFonts w:cs="Arial"/>
          <w:b/>
          <w:szCs w:val="22"/>
        </w:rPr>
        <w:t>formulazione delle norme di delega</w:t>
      </w:r>
      <w:r w:rsidRPr="00541B8B">
        <w:rPr>
          <w:rFonts w:cs="Arial"/>
          <w:szCs w:val="22"/>
        </w:rPr>
        <w:t xml:space="preserve">, il disegno di legge contiene alcune disposizioni nelle quali i </w:t>
      </w:r>
      <w:r w:rsidRPr="00541B8B">
        <w:rPr>
          <w:rFonts w:cs="Arial"/>
          <w:b/>
          <w:szCs w:val="22"/>
        </w:rPr>
        <w:t>principi e criteri direttivi</w:t>
      </w:r>
      <w:r w:rsidRPr="00541B8B">
        <w:rPr>
          <w:rFonts w:cs="Arial"/>
          <w:szCs w:val="22"/>
        </w:rPr>
        <w:t xml:space="preserve"> appaiono presentare elementi di sovrapposizione con l’oggetto della delega (si vedano, a titolo meramente esemplificativo, le lettere a) e b) dell’articolo 15, comma 1), mentre, in alcuni casi, è lo stesso oggetto della delega a non essere formulato in modo chiaro (si veda l’articolo 5, comma 1, che delega il Governo a raccogliere “in un codice agricolo e in eventuali appositi testi unici” tutte le norme vigenti in materia di agricoltura, selvicoltura e filiera foresta-legno); più in generale, in molti casi, i principi e i criteri direttivi sono formulati in termini generici (si veda, per tutti, il principio contenuto all’articolo 9, comma 2, lettera </w:t>
      </w:r>
      <w:r w:rsidRPr="00541B8B">
        <w:rPr>
          <w:rFonts w:cs="Arial"/>
          <w:i/>
          <w:szCs w:val="22"/>
        </w:rPr>
        <w:t>a)</w:t>
      </w:r>
      <w:r w:rsidRPr="00541B8B">
        <w:rPr>
          <w:rFonts w:cs="Arial"/>
          <w:szCs w:val="22"/>
        </w:rPr>
        <w:t>, dove lo stesso principio, consistente nella “revisione delle competenze e riordino degli enti, società e ed agenzie vigilati (…)”, è qualificato come “eventuale”) con la conseguenza che, nella suddette fattispecie, risulta oltremodo dilatato l’orizzonte della scelta discrezionale del Governo» (</w:t>
      </w:r>
      <w:hyperlink w:anchor="S08o03" w:history="1">
        <w:r w:rsidRPr="00541B8B">
          <w:rPr>
            <w:rFonts w:cs="Arial"/>
            <w:b/>
            <w:color w:val="0000FF"/>
            <w:szCs w:val="22"/>
            <w:u w:val="single"/>
          </w:rPr>
          <w:t>conseguente osservazione</w:t>
        </w:r>
      </w:hyperlink>
      <w:r w:rsidRPr="00541B8B">
        <w:rPr>
          <w:rFonts w:cs="Arial"/>
          <w:szCs w:val="22"/>
        </w:rPr>
        <w:t>) (</w:t>
      </w:r>
      <w:hyperlink w:anchor="S08o04"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76" w:name="S08a07"/>
      <w:r w:rsidRPr="00541B8B">
        <w:rPr>
          <w:rFonts w:cs="Arial"/>
          <w:szCs w:val="22"/>
        </w:rPr>
        <w:t>7</w:t>
      </w:r>
      <w:bookmarkEnd w:id="176"/>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«sempre sul piano della </w:t>
      </w:r>
      <w:r w:rsidRPr="00541B8B">
        <w:rPr>
          <w:rFonts w:cs="Arial"/>
          <w:b/>
          <w:szCs w:val="22"/>
        </w:rPr>
        <w:t>formulazione delle norme di delega</w:t>
      </w:r>
      <w:r w:rsidRPr="00541B8B">
        <w:rPr>
          <w:rFonts w:cs="Arial"/>
          <w:szCs w:val="22"/>
        </w:rPr>
        <w:t>, all’articolo 6, recante delega in materia di società di affiancamento per le terre agricole, non risulta chiaro come le disposizioni contenute ai commi 2 e 3 – sulla formazione dei giovani imprenditori e sull’onere, gravante sui medesimi, di dimostrare le eventuali innovazioni apportate all’azienda presso la quale effettuano l’affiancamento - si leghino con i principi e i criteri direttivi contenuti al comma 1, anche tenuto conto che la relativa attuazione sembra presupporre l’esercizio della delega» (</w:t>
      </w:r>
      <w:hyperlink w:anchor="S08o05"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77" w:name="S08a08"/>
      <w:r w:rsidRPr="00541B8B">
        <w:rPr>
          <w:rFonts w:cs="Arial"/>
          <w:szCs w:val="22"/>
        </w:rPr>
        <w:t>8</w:t>
      </w:r>
      <w:bookmarkEnd w:id="177"/>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«con riferimento al </w:t>
      </w:r>
      <w:r w:rsidRPr="00541B8B">
        <w:rPr>
          <w:rFonts w:cs="Arial"/>
          <w:b/>
          <w:szCs w:val="22"/>
        </w:rPr>
        <w:t>computo dei termini per l’esercizio delle deleghe</w:t>
      </w:r>
      <w:r w:rsidRPr="00541B8B">
        <w:rPr>
          <w:rFonts w:cs="Arial"/>
          <w:szCs w:val="22"/>
        </w:rPr>
        <w:t xml:space="preserve">, il disegno di legge, agli articoli 5, comma 3, terzo periodo, 6, comma 4, ultimo periodo, 9, comma 4, ultimo periodo e 15, comma 2, terzo periodo, stabilisce che, qualora il termine per l'espressione del parere parlamentare scada nei trenta giorni che precedono la scadenza dei termini di delega o successivamente, tali termini siano prorogati per un periodo di novanta </w:t>
      </w:r>
      <w:r w:rsidRPr="00541B8B">
        <w:rPr>
          <w:rFonts w:cs="Arial"/>
          <w:szCs w:val="22"/>
        </w:rPr>
        <w:lastRenderedPageBreak/>
        <w:t xml:space="preserve">giorni, sulla base di un meccanismo, la cosiddetta </w:t>
      </w:r>
      <w:r w:rsidRPr="00541B8B">
        <w:rPr>
          <w:rFonts w:cs="Arial"/>
          <w:b/>
          <w:szCs w:val="22"/>
        </w:rPr>
        <w:t>«tecnica dello scorrimento»</w:t>
      </w:r>
      <w:r w:rsidRPr="00541B8B">
        <w:rPr>
          <w:rFonts w:cs="Arial"/>
          <w:szCs w:val="22"/>
        </w:rPr>
        <w:t>”, che non permette di individuare il termine per l’esercizio della delega in modo univoco; a tale proposito, si segnala che, secondo una costante linea di indirizzo, il Comitato per la legislazione nei propri pareri, ha sempre segnalato che “appare opportuno individuare univocamente i termini per l'esercizio della delega principale e di quelle integrative e correttive, rinunziando alla «tecnica dello scorrimento»” e che, in numerose recenti circostanze, a seguito dell’espressione di rilievi in tal senso, sono stati approvati emendamenti volti a prevedere, in luogo dello scorrimento del termine di delega, termini certi entro i quali il Governo deve trasmettere alle Camere gli schemi dei decreti legislativi, pena l'inefficacia della delega» (</w:t>
      </w:r>
      <w:hyperlink w:anchor="S08c03"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78" w:name="S08a09"/>
      <w:r w:rsidRPr="00541B8B">
        <w:rPr>
          <w:rFonts w:cs="Arial"/>
          <w:szCs w:val="22"/>
        </w:rPr>
        <w:t>9</w:t>
      </w:r>
      <w:bookmarkEnd w:id="178"/>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«sul piano della </w:t>
      </w:r>
      <w:r w:rsidRPr="00541B8B">
        <w:rPr>
          <w:rFonts w:cs="Arial"/>
          <w:b/>
          <w:szCs w:val="22"/>
        </w:rPr>
        <w:t>formulazione del testo</w:t>
      </w:r>
      <w:r w:rsidRPr="00541B8B">
        <w:rPr>
          <w:rFonts w:cs="Arial"/>
          <w:szCs w:val="22"/>
        </w:rPr>
        <w:t>, all’articolo 16, mentre la rubrica si riferisce al sostegno della pesca sociale e allo sviluppo di prodotti provenienti da filiera corta agricola e ittica, il testo dell’articolo fa generico riferimento ai prodotti agricoli e alimentari a chilometro zero o derivanti da agricoltura biologica o a ridotto impatto ambientale e di qualità; la rubrica dell’articolo 25-octies fa invece generico riferimento alle aziende agricole, mentre l’articolo tratta nello specifico il contenimento della diffusione del cinghiale nelle aree protette e vulnerabili» (</w:t>
      </w:r>
      <w:hyperlink w:anchor="S08o06"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179" w:name="S08a10"/>
      <w:r w:rsidRPr="00541B8B">
        <w:rPr>
          <w:rFonts w:cs="Arial"/>
          <w:szCs w:val="22"/>
        </w:rPr>
        <w:t>10</w:t>
      </w:r>
      <w:bookmarkEnd w:id="179"/>
      <w:r w:rsidRPr="00541B8B">
        <w:rPr>
          <w:rFonts w:cs="Arial"/>
          <w:szCs w:val="22"/>
        </w:rPr>
        <w:t xml:space="preserve"> - </w:t>
      </w:r>
      <w:hyperlink w:anchor="premessa0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nel testo presentato al Senato reca sia l’analisi tecnico-normativa (</w:t>
      </w:r>
      <w:r w:rsidRPr="00541B8B">
        <w:rPr>
          <w:rFonts w:cs="Arial"/>
          <w:b/>
          <w:szCs w:val="22"/>
        </w:rPr>
        <w:t>ATN</w:t>
      </w:r>
      <w:r w:rsidRPr="00541B8B">
        <w:rPr>
          <w:rFonts w:cs="Arial"/>
          <w:szCs w:val="22"/>
        </w:rPr>
        <w:t>) sia l’analisi di impatto della regolamentazione (</w:t>
      </w:r>
      <w:r w:rsidRPr="00541B8B">
        <w:rPr>
          <w:rFonts w:cs="Arial"/>
          <w:b/>
          <w:szCs w:val="22"/>
        </w:rPr>
        <w:t>AIR</w:t>
      </w:r>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180" w:name="S08C"/>
      <w:r w:rsidRPr="00541B8B">
        <w:rPr>
          <w:rFonts w:cs="Arial"/>
          <w:b/>
          <w:szCs w:val="22"/>
        </w:rPr>
        <w:t>Condizioni</w:t>
      </w:r>
      <w:bookmarkEnd w:id="180"/>
      <w:r w:rsidRPr="00541B8B">
        <w:rPr>
          <w:rFonts w:cs="Arial"/>
          <w:b/>
          <w:szCs w:val="22"/>
        </w:rPr>
        <w:t>:</w:t>
      </w:r>
    </w:p>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r w:rsidRPr="00541B8B">
        <w:rPr>
          <w:rFonts w:cs="Arial"/>
          <w:szCs w:val="22"/>
        </w:rPr>
        <w:t xml:space="preserve">1) </w:t>
      </w:r>
      <w:bookmarkStart w:id="181" w:name="S08c01"/>
      <w:r w:rsidRPr="00541B8B">
        <w:rPr>
          <w:rFonts w:cs="Arial"/>
          <w:szCs w:val="22"/>
        </w:rPr>
        <w:t>per quanto detto in premessa</w:t>
      </w:r>
      <w:bookmarkEnd w:id="181"/>
      <w:r w:rsidRPr="00541B8B">
        <w:rPr>
          <w:rFonts w:cs="Arial"/>
          <w:szCs w:val="22"/>
        </w:rPr>
        <w:t>, all’articolo 1, comma 4, che demanda compiti attuativi a un decreto ministeriale del quale viene specificata la natura non regolamentare, sia riformulata la disposizione nel senso di prevedere che la disciplina attuativa sia introdotta da un regolamento adottato ai sensi dell’articolo 17, comma 3, della legge n. 400 del 1988; [</w:t>
      </w:r>
      <w:hyperlink w:anchor="premessa0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182" w:name="S08c02"/>
      <w:r w:rsidRPr="00541B8B">
        <w:rPr>
          <w:rFonts w:cs="Arial"/>
          <w:szCs w:val="22"/>
        </w:rPr>
        <w:t>2) per quanto detto in premessa</w:t>
      </w:r>
      <w:bookmarkEnd w:id="182"/>
      <w:r w:rsidRPr="00541B8B">
        <w:rPr>
          <w:rFonts w:cs="Arial"/>
          <w:szCs w:val="22"/>
        </w:rPr>
        <w:t>, si sopprimano le disposizioni contenute all’articolo 1, commi 6 e 7, all’articolo 8-quater, all’articolo 16, all’articolo 25-septies e all’articolo 29, comma 2, nella parte in cui incidono in maniera non testuale ovvero mediante esplicite novelle su discipline oggetto di fonti normative di rango subordinato, ovvero si proceda a riformularle nel senso di autorizzare il Governo ad integrare la disciplina contenuta nelle fonti secondarie mediante atto avente la medesima forza; [</w:t>
      </w:r>
      <w:hyperlink w:anchor="premessa0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firstLine="0"/>
        <w:contextualSpacing/>
        <w:rPr>
          <w:rFonts w:cs="Arial"/>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bookmarkStart w:id="183" w:name="S08c03"/>
      <w:r w:rsidRPr="00541B8B">
        <w:rPr>
          <w:rFonts w:cs="Arial"/>
          <w:szCs w:val="22"/>
        </w:rPr>
        <w:t>3) per quanto detto in premessa</w:t>
      </w:r>
      <w:bookmarkEnd w:id="183"/>
      <w:r w:rsidRPr="00541B8B">
        <w:rPr>
          <w:rFonts w:cs="Arial"/>
          <w:szCs w:val="22"/>
        </w:rPr>
        <w:t>, si sopprimano il terzo periodo dell’articolo 5, comma 3, l’ultimo periodo dell’articolo 6, comma 4, l’ultimo periodo dell’articolo 9, comma 4, e il terzo periodo dell’articolo 15, comma 2, nella parte in cui consentono il ricorso alla “tecnica dello scorrimento” del termine per l’esercizio della delega, individuando in modo univoco il termine ultimo per l’esercizio della stessa; [</w:t>
      </w:r>
      <w:hyperlink w:anchor="premessa0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184" w:name="S08O"/>
      <w:r w:rsidRPr="00541B8B">
        <w:rPr>
          <w:rFonts w:cs="Arial"/>
          <w:b/>
          <w:szCs w:val="22"/>
        </w:rPr>
        <w:lastRenderedPageBreak/>
        <w:t>Osservazioni:</w:t>
      </w:r>
    </w:p>
    <w:bookmarkEnd w:id="184"/>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bookmarkStart w:id="185" w:name="S08o01"/>
      <w:r w:rsidRPr="00541B8B">
        <w:rPr>
          <w:rFonts w:cs="Arial"/>
          <w:szCs w:val="22"/>
        </w:rPr>
        <w:t xml:space="preserve">1) si dovrebbero riformulare </w:t>
      </w:r>
      <w:bookmarkEnd w:id="185"/>
      <w:r w:rsidRPr="00541B8B">
        <w:rPr>
          <w:rFonts w:cs="Arial"/>
          <w:szCs w:val="22"/>
        </w:rPr>
        <w:t>le disposizioni indicate in premessa che incidono in via non testuale su previgenti disposizioni legislative in termini di novella alle medesime, nonché inserire in un idoneo tessuto normativo le disposizioni indicate in premessa che appaiono collocate fuori da un appropriato contesto; [</w:t>
      </w:r>
      <w:hyperlink w:anchor="premessa0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186" w:name="S08o02"/>
      <w:r w:rsidRPr="00541B8B">
        <w:rPr>
          <w:rFonts w:cs="Arial"/>
          <w:szCs w:val="22"/>
        </w:rPr>
        <w:t>2) in particolare</w:t>
      </w:r>
      <w:bookmarkEnd w:id="186"/>
      <w:r w:rsidRPr="00541B8B">
        <w:rPr>
          <w:rFonts w:cs="Arial"/>
          <w:szCs w:val="22"/>
        </w:rPr>
        <w:t>, all’articolo 3 - che integra la disciplina in materia di servitù di cui al titolo VI del libro III del codice civile, senza tuttavia novellarlo – dovrebbe valutarsi l’opportunità di riformulare la disposizione in termini di novella al citato codice, anche al fine di preservare la struttura di fonte unitaria del testo codicistico; [</w:t>
      </w:r>
      <w:hyperlink w:anchor="premessa0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187" w:name="S08o03"/>
      <w:r w:rsidRPr="00541B8B">
        <w:rPr>
          <w:rFonts w:cs="Arial"/>
          <w:szCs w:val="22"/>
        </w:rPr>
        <w:t>3) all’articolo 5</w:t>
      </w:r>
      <w:bookmarkEnd w:id="187"/>
      <w:r w:rsidRPr="00541B8B">
        <w:rPr>
          <w:rFonts w:cs="Arial"/>
          <w:szCs w:val="22"/>
        </w:rPr>
        <w:t>, comma 1, che delega il Governo ad raccogliere “in un codice agricolo e in eventuali appositi testi unici” tutte le norme vigenti in materia di agricoltura, selvicoltura e filiera foresta-legno, si dovrebbe meglio chiarire l’oggetto della delega; [</w:t>
      </w:r>
      <w:hyperlink w:anchor="premessa0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188" w:name="S08o04"/>
      <w:r w:rsidRPr="00541B8B">
        <w:rPr>
          <w:rFonts w:cs="Arial"/>
          <w:szCs w:val="22"/>
        </w:rPr>
        <w:t xml:space="preserve">4) al fine di circoscrivere </w:t>
      </w:r>
      <w:bookmarkEnd w:id="188"/>
      <w:r w:rsidRPr="00541B8B">
        <w:rPr>
          <w:rFonts w:cs="Arial"/>
          <w:szCs w:val="22"/>
        </w:rPr>
        <w:t>adeguatamente la discrezionalità del legislatore delegato, si dovrebbe meglio precisare il principio e criterio direttivo contenuto all’articolo 9, comma 2, lettera a); si dovrebbero altresì specificare, al fine di distinguerli dall’oggetto, i principi e criteri contenuti all’articolo 15, comma 1, lettere a) e b); [</w:t>
      </w:r>
      <w:hyperlink w:anchor="premessa0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189" w:name="S08o05"/>
      <w:r w:rsidRPr="00541B8B">
        <w:rPr>
          <w:rFonts w:cs="Arial"/>
          <w:szCs w:val="22"/>
        </w:rPr>
        <w:t xml:space="preserve">5) per quanto detto </w:t>
      </w:r>
      <w:bookmarkEnd w:id="189"/>
      <w:r w:rsidRPr="00541B8B">
        <w:rPr>
          <w:rFonts w:cs="Arial"/>
          <w:szCs w:val="22"/>
        </w:rPr>
        <w:t>in premessa, all’articolo 6, si dovrebbe chiarire come le disposizioni contenute ai commi 2 e 3 si leghino con i principi e i criteri direttivi contenuti al comma 1; [</w:t>
      </w:r>
      <w:hyperlink w:anchor="premessa0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firstLine="0"/>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left="567" w:hanging="283"/>
        <w:contextualSpacing/>
        <w:rPr>
          <w:rFonts w:cs="Arial"/>
          <w:szCs w:val="22"/>
        </w:rPr>
      </w:pPr>
      <w:bookmarkStart w:id="190" w:name="S08o06"/>
      <w:r w:rsidRPr="00541B8B">
        <w:rPr>
          <w:rFonts w:cs="Arial"/>
          <w:szCs w:val="22"/>
        </w:rPr>
        <w:t xml:space="preserve">6) per quanto </w:t>
      </w:r>
      <w:bookmarkEnd w:id="190"/>
      <w:r w:rsidRPr="00541B8B">
        <w:rPr>
          <w:rFonts w:cs="Arial"/>
          <w:szCs w:val="22"/>
        </w:rPr>
        <w:t>detto in premessa, all’articolo 16 e all’articolo 25-octies, si dovrebbero coordinare i contenuti delle rubriche con quelli dei relativi articoli. [</w:t>
      </w:r>
      <w:hyperlink w:anchor="premessa0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sectPr w:rsidR="00541B8B" w:rsidRPr="00541B8B" w:rsidSect="00D20CCA">
          <w:headerReference w:type="even" r:id="rId355"/>
          <w:headerReference w:type="default" r:id="rId356"/>
          <w:footerReference w:type="even" r:id="rId357"/>
          <w:footerReference w:type="default" r:id="rId358"/>
          <w:headerReference w:type="first" r:id="rId359"/>
          <w:footerReference w:type="first" r:id="rId360"/>
          <w:pgSz w:w="11906" w:h="16838" w:code="9"/>
          <w:pgMar w:top="1418" w:right="1418" w:bottom="1134" w:left="1418" w:header="567" w:footer="567" w:gutter="0"/>
          <w:cols w:space="708"/>
          <w:docGrid w:linePitch="360"/>
        </w:sectPr>
      </w:pPr>
    </w:p>
    <w:tbl>
      <w:tblPr>
        <w:tblStyle w:val="Grigliatabella"/>
        <w:tblW w:w="5000" w:type="pct"/>
        <w:tblLook w:val="01E0" w:firstRow="1" w:lastRow="1" w:firstColumn="1" w:lastColumn="1" w:noHBand="0" w:noVBand="0"/>
      </w:tblPr>
      <w:tblGrid>
        <w:gridCol w:w="1230"/>
        <w:gridCol w:w="1157"/>
        <w:gridCol w:w="1598"/>
        <w:gridCol w:w="2818"/>
        <w:gridCol w:w="1349"/>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lastRenderedPageBreak/>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rPr>
            </w:pPr>
            <w:r w:rsidRPr="00541B8B">
              <w:rPr>
                <w:rFonts w:cs="Arial"/>
                <w:b/>
              </w:rPr>
              <w:t>0009</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3606</w:t>
            </w:r>
          </w:p>
        </w:tc>
        <w:tc>
          <w:tcPr>
            <w:tcW w:w="1020" w:type="pct"/>
          </w:tcPr>
          <w:p w:rsidR="00541B8B" w:rsidRPr="00541B8B" w:rsidRDefault="00DC78AD" w:rsidP="00541B8B">
            <w:pPr>
              <w:spacing w:before="100" w:beforeAutospacing="1" w:after="100" w:afterAutospacing="1"/>
              <w:ind w:firstLine="0"/>
              <w:contextualSpacing/>
              <w:jc w:val="center"/>
              <w:rPr>
                <w:rFonts w:cs="Arial"/>
                <w:sz w:val="24"/>
              </w:rPr>
            </w:pPr>
            <w:hyperlink r:id="rId361" w:history="1">
              <w:r w:rsidR="00541B8B" w:rsidRPr="00541B8B">
                <w:rPr>
                  <w:rFonts w:cs="Arial"/>
                  <w:color w:val="0000FF"/>
                  <w:u w:val="single"/>
                </w:rPr>
                <w:t>DL 18/2016</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Banche di credito cooperativo</w:t>
            </w:r>
          </w:p>
        </w:tc>
        <w:tc>
          <w:tcPr>
            <w:tcW w:w="867" w:type="pct"/>
          </w:tcPr>
          <w:p w:rsidR="00541B8B" w:rsidRPr="00541B8B" w:rsidRDefault="00DC78AD" w:rsidP="00541B8B">
            <w:pPr>
              <w:spacing w:before="100" w:beforeAutospacing="1" w:after="100" w:afterAutospacing="1"/>
              <w:ind w:firstLine="0"/>
              <w:contextualSpacing/>
              <w:jc w:val="center"/>
              <w:rPr>
                <w:rFonts w:cs="Arial"/>
                <w:sz w:val="24"/>
              </w:rPr>
            </w:pPr>
            <w:hyperlink r:id="rId362" w:anchor="data.20160224.com48.bollettino.sede00010.tit00010" w:history="1">
              <w:r w:rsidR="00541B8B" w:rsidRPr="00541B8B">
                <w:rPr>
                  <w:color w:val="0000FF"/>
                  <w:u w:val="single"/>
                </w:rPr>
                <w:t>24/02/2016</w:t>
              </w:r>
            </w:hyperlink>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076"/>
        <w:gridCol w:w="4076"/>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96-</w:t>
            </w:r>
            <w:r w:rsidRPr="00541B8B">
              <w:rPr>
                <w:rFonts w:cs="Arial"/>
                <w:b/>
                <w:bCs/>
                <w:i/>
                <w:sz w:val="24"/>
              </w:rPr>
              <w:t>BIS</w:t>
            </w:r>
            <w:r w:rsidRPr="00541B8B">
              <w:rPr>
                <w:rFonts w:cs="Arial"/>
                <w:b/>
                <w:bCs/>
                <w:sz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191" w:name="premessa09"/>
            <w:r w:rsidRPr="00541B8B">
              <w:rPr>
                <w:rFonts w:cs="Arial"/>
                <w:b/>
                <w:color w:val="0000FF"/>
                <w:sz w:val="24"/>
                <w:szCs w:val="24"/>
              </w:rPr>
              <w:t>Premessa</w:t>
            </w:r>
            <w:bookmarkEnd w:id="191"/>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2 Condizioni, 4 Osservazioni</w:t>
            </w:r>
          </w:p>
        </w:tc>
      </w:tr>
      <w:tr w:rsidR="00541B8B" w:rsidRPr="00541B8B" w:rsidTr="00D20CCA">
        <w:trPr>
          <w:trHeight w:val="1128"/>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9a01" w:history="1">
              <w:r w:rsidR="00541B8B" w:rsidRPr="00541B8B">
                <w:rPr>
                  <w:color w:val="0000FF"/>
                  <w:u w:val="single"/>
                </w:rPr>
                <w:t>1</w:t>
              </w:r>
            </w:hyperlink>
            <w:r w:rsidR="00541B8B" w:rsidRPr="00541B8B">
              <w:rPr>
                <w:rFonts w:cs="Arial"/>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Le disposizioni intervengono su un ambito materiale omogeneo.</w:t>
            </w:r>
          </w:p>
        </w:tc>
      </w:tr>
      <w:tr w:rsidR="00541B8B" w:rsidRPr="00541B8B" w:rsidTr="00D20CCA">
        <w:trPr>
          <w:trHeight w:val="141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9a02" w:history="1">
              <w:r w:rsidR="00541B8B" w:rsidRPr="00541B8B">
                <w:rPr>
                  <w:color w:val="0000FF"/>
                  <w:u w:val="single"/>
                </w:rPr>
                <w:t>2</w:t>
              </w:r>
            </w:hyperlink>
            <w:r w:rsidR="00541B8B" w:rsidRPr="00541B8B">
              <w:rPr>
                <w:rFonts w:cs="Arial"/>
              </w:rPr>
              <w:t xml:space="preserve"> – Coordinamento con le fonti normative vigenti: modifiche non testuali ed assenza di clausole di coordinamento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09a03" w:history="1">
              <w:r w:rsidR="00541B8B" w:rsidRPr="00541B8B">
                <w:rPr>
                  <w:color w:val="0000FF"/>
                  <w:u w:val="single"/>
                </w:rPr>
                <w:t>3</w:t>
              </w:r>
            </w:hyperlink>
            <w:r w:rsidR="00541B8B" w:rsidRPr="00F56AFB">
              <w:rPr>
                <w:color w:val="0000FF"/>
              </w:rPr>
              <w:t xml:space="preserve"> – </w:t>
            </w:r>
            <w:r w:rsidR="00541B8B" w:rsidRPr="00541B8B">
              <w:rPr>
                <w:rFonts w:cs="Arial"/>
              </w:rPr>
              <w:t>Coerente utilizzo delle fonti normative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Si attribuisce ad una fonte subordinata, un decreto del Ministro dell’economia e delle finanze, il compito di modificare disposizioni di rango legislativo, in modo difforme da quanto previsto dall’articolo 17, comma 2, della legge n. 400 del 1988. </w:t>
            </w:r>
          </w:p>
          <w:p w:rsidR="00541B8B" w:rsidRPr="00541B8B" w:rsidRDefault="00541B8B" w:rsidP="00541B8B">
            <w:pPr>
              <w:spacing w:before="100" w:beforeAutospacing="1" w:after="100" w:afterAutospacing="1"/>
              <w:ind w:firstLine="0"/>
              <w:contextualSpacing/>
              <w:rPr>
                <w:rFonts w:cs="Arial"/>
              </w:rPr>
            </w:pPr>
            <w:r w:rsidRPr="00541B8B">
              <w:rPr>
                <w:rFonts w:cs="Arial"/>
              </w:rPr>
              <w:t>Condizione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09a04" w:history="1">
              <w:r w:rsidR="00541B8B" w:rsidRPr="00541B8B">
                <w:rPr>
                  <w:rFonts w:cs="Arial"/>
                  <w:color w:val="0000FF"/>
                  <w:u w:val="single"/>
                </w:rPr>
                <w:t>4</w:t>
              </w:r>
            </w:hyperlink>
            <w:r w:rsidR="00541B8B" w:rsidRPr="00541B8B">
              <w:rPr>
                <w:rFonts w:cs="Arial"/>
              </w:rPr>
              <w:t xml:space="preserve"> – Coerente utilizzo delle fonti normative: atti atipici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Previsione di un decreto di natura non regolamentare. Richiamo, nella conseguente </w:t>
            </w:r>
            <w:r w:rsidRPr="00541B8B">
              <w:rPr>
                <w:rFonts w:cs="Arial"/>
                <w:b/>
              </w:rPr>
              <w:t>Condizione 2</w:t>
            </w:r>
            <w:r w:rsidRPr="00541B8B">
              <w:rPr>
                <w:rFonts w:cs="Arial"/>
              </w:rPr>
              <w:t>, all’articolo 17, comma 3, della legge n. 400/1988. Richiamo alla sentenza n. 116/2006 della Corte costituzionale e alla sentenza n. 9/2012 del Consiglio di Stato.</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09a05" w:history="1">
              <w:r w:rsidR="00541B8B" w:rsidRPr="00541B8B">
                <w:rPr>
                  <w:rFonts w:cs="Arial"/>
                  <w:color w:val="0000FF"/>
                  <w:u w:val="single"/>
                </w:rPr>
                <w:t>5</w:t>
              </w:r>
            </w:hyperlink>
            <w:r w:rsidR="00541B8B" w:rsidRPr="00541B8B">
              <w:rPr>
                <w:rFonts w:cs="Arial"/>
              </w:rPr>
              <w:t xml:space="preserve"> – Immediata applicazione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Non si prevede alcun termine per l’adozione di un decreto del Ministro dell’economia e delle finanze. Richiamo, nella relativa </w:t>
            </w:r>
            <w:r w:rsidRPr="00541B8B">
              <w:rPr>
                <w:rFonts w:cs="Arial"/>
                <w:b/>
              </w:rPr>
              <w:t>Osservazione 1</w:t>
            </w:r>
            <w:r w:rsidRPr="00541B8B">
              <w:rPr>
                <w:rFonts w:cs="Arial"/>
              </w:rPr>
              <w:t>, all’articolo 15, comma 3, della legge n. 400 del 1988.</w:t>
            </w:r>
          </w:p>
          <w:p w:rsidR="00541B8B" w:rsidRPr="00541B8B" w:rsidRDefault="00541B8B" w:rsidP="00541B8B">
            <w:pPr>
              <w:spacing w:before="100" w:beforeAutospacing="1" w:after="100" w:afterAutospacing="1"/>
              <w:ind w:firstLine="0"/>
              <w:contextualSpacing/>
              <w:rPr>
                <w:rFonts w:cs="Arial"/>
              </w:rPr>
            </w:pPr>
            <w:r w:rsidRPr="00541B8B">
              <w:rPr>
                <w:rFonts w:cs="Arial"/>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09a06" w:history="1">
              <w:r w:rsidR="00541B8B" w:rsidRPr="00541B8B">
                <w:rPr>
                  <w:color w:val="0000FF"/>
                  <w:u w:val="single"/>
                </w:rPr>
                <w:t>6</w:t>
              </w:r>
            </w:hyperlink>
            <w:r w:rsidR="00541B8B" w:rsidRPr="00541B8B">
              <w:t xml:space="preserve"> - </w:t>
            </w:r>
            <w:r w:rsidR="00541B8B" w:rsidRPr="00541B8B">
              <w:rPr>
                <w:rFonts w:cs="Arial"/>
              </w:rPr>
              <w:t>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Assenti.</w:t>
            </w:r>
          </w:p>
        </w:tc>
      </w:tr>
    </w:tbl>
    <w:p w:rsidR="00541B8B" w:rsidRPr="00541B8B" w:rsidRDefault="00541B8B" w:rsidP="00541B8B">
      <w:pPr>
        <w:spacing w:before="60" w:after="60"/>
        <w:contextualSpacing/>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4076"/>
        <w:gridCol w:w="4076"/>
      </w:tblGrid>
      <w:tr w:rsidR="00541B8B" w:rsidRPr="00541B8B" w:rsidTr="00D20CCA">
        <w:tc>
          <w:tcPr>
            <w:tcW w:w="5000" w:type="pct"/>
            <w:gridSpan w:val="2"/>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b/>
                <w:color w:val="0000FF"/>
              </w:rPr>
              <w:t>Rilievi</w:t>
            </w: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pPr>
            <w:hyperlink w:anchor="S09C" w:history="1">
              <w:r w:rsidR="00541B8B" w:rsidRPr="00541B8B">
                <w:rPr>
                  <w:color w:val="0000FF"/>
                  <w:u w:val="single"/>
                </w:rPr>
                <w:t>C</w:t>
              </w:r>
            </w:hyperlink>
            <w:r w:rsidR="00541B8B" w:rsidRPr="00541B8B">
              <w:t xml:space="preserve"> - Condizioni</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rPr>
                <w:rFonts w:cs="Arial"/>
              </w:rPr>
            </w:pPr>
            <w:hyperlink w:anchor="S09O" w:history="1">
              <w:r w:rsidR="00541B8B" w:rsidRPr="00541B8B">
                <w:rPr>
                  <w:color w:val="0000FF"/>
                  <w:u w:val="single"/>
                </w:rPr>
                <w:t>O</w:t>
              </w:r>
            </w:hyperlink>
            <w:r w:rsidR="00541B8B" w:rsidRPr="00541B8B">
              <w:rPr>
                <w:rFonts w:cs="Arial"/>
              </w:rPr>
              <w:t xml:space="preserve"> - Osservazioni</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pPr>
    </w:p>
    <w:p w:rsidR="00541B8B" w:rsidRPr="00541B8B" w:rsidRDefault="00541B8B" w:rsidP="00541B8B">
      <w:pPr>
        <w:spacing w:before="60" w:after="60"/>
        <w:ind w:firstLine="0"/>
        <w:contextualSpacing/>
      </w:pPr>
    </w:p>
    <w:tbl>
      <w:tblPr>
        <w:tblStyle w:val="Grigliatabella"/>
        <w:tblW w:w="5000" w:type="pct"/>
        <w:tblLook w:val="01E0" w:firstRow="1" w:lastRow="1" w:firstColumn="1" w:lastColumn="1" w:noHBand="0" w:noVBand="0"/>
      </w:tblPr>
      <w:tblGrid>
        <w:gridCol w:w="4076"/>
        <w:gridCol w:w="4076"/>
      </w:tblGrid>
      <w:tr w:rsidR="00541B8B" w:rsidRPr="00541B8B" w:rsidTr="00D20CCA">
        <w:tc>
          <w:tcPr>
            <w:tcW w:w="5000" w:type="pct"/>
            <w:gridSpan w:val="2"/>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b/>
                <w:color w:val="0000FF"/>
              </w:rPr>
              <w:t>Rilievi non presenti in Premessa</w:t>
            </w:r>
          </w:p>
        </w:tc>
      </w:tr>
      <w:tr w:rsidR="00541B8B" w:rsidRPr="00541B8B" w:rsidTr="00D20CCA">
        <w:trPr>
          <w:trHeight w:val="376"/>
        </w:trPr>
        <w:tc>
          <w:tcPr>
            <w:tcW w:w="2500" w:type="pct"/>
          </w:tcPr>
          <w:p w:rsidR="00541B8B" w:rsidRPr="00541B8B" w:rsidRDefault="00541B8B" w:rsidP="00541B8B">
            <w:pPr>
              <w:keepNext/>
              <w:spacing w:before="100" w:beforeAutospacing="1" w:after="100" w:afterAutospacing="1"/>
              <w:ind w:firstLine="0"/>
              <w:contextualSpacing/>
              <w:jc w:val="left"/>
            </w:pPr>
            <w:r w:rsidRPr="00541B8B">
              <w:t>Riferimento normativo mancante</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rPr>
              <w:t>Osservazione 2</w:t>
            </w:r>
          </w:p>
        </w:tc>
      </w:tr>
      <w:tr w:rsidR="00541B8B" w:rsidRPr="00541B8B" w:rsidTr="00D20CCA">
        <w:trPr>
          <w:trHeight w:val="376"/>
        </w:trPr>
        <w:tc>
          <w:tcPr>
            <w:tcW w:w="2500" w:type="pct"/>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rPr>
              <w:t>Formulazione del testo</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rPr>
              <w:t>Osservazione 3</w:t>
            </w:r>
          </w:p>
        </w:tc>
      </w:tr>
      <w:tr w:rsidR="00541B8B" w:rsidRPr="00541B8B" w:rsidTr="00D20CCA">
        <w:trPr>
          <w:trHeight w:val="376"/>
        </w:trPr>
        <w:tc>
          <w:tcPr>
            <w:tcW w:w="2500" w:type="pct"/>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rPr>
              <w:t>Riferimento interno errato</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rPr>
              <w:t>Osservazione 4</w:t>
            </w:r>
          </w:p>
        </w:tc>
      </w:tr>
    </w:tbl>
    <w:p w:rsidR="00541B8B" w:rsidRPr="00541B8B" w:rsidRDefault="00541B8B" w:rsidP="00541B8B">
      <w:pPr>
        <w:spacing w:before="60" w:after="60"/>
        <w:ind w:firstLine="0"/>
        <w:contextualSpacing/>
      </w:pPr>
    </w:p>
    <w:p w:rsidR="00541B8B" w:rsidRPr="00541B8B" w:rsidRDefault="00541B8B" w:rsidP="00541B8B">
      <w:pPr>
        <w:spacing w:before="60" w:after="60"/>
        <w:ind w:firstLine="0"/>
        <w:contextualSpacing/>
      </w:pPr>
    </w:p>
    <w:tbl>
      <w:tblPr>
        <w:tblStyle w:val="Grigliatabella"/>
        <w:tblW w:w="5000" w:type="pct"/>
        <w:tblLook w:val="01E0" w:firstRow="1" w:lastRow="1" w:firstColumn="1" w:lastColumn="1" w:noHBand="0" w:noVBand="0"/>
      </w:tblPr>
      <w:tblGrid>
        <w:gridCol w:w="8152"/>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t>Riferimenti</w:t>
            </w:r>
          </w:p>
        </w:tc>
      </w:tr>
      <w:tr w:rsidR="00541B8B" w:rsidRPr="00541B8B" w:rsidTr="00D20CCA">
        <w:trPr>
          <w:trHeight w:val="787"/>
        </w:trPr>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i/>
              </w:rPr>
              <w:t>Articoli 15, c.3, e 17, c.2 e c. 3, della legge n. 400/1988; sentenza n. 116/2006 della Corte costituzionale; sentenza n. 9/2012 del Consiglio di Stato.</w:t>
            </w:r>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60" w:after="60"/>
        <w:ind w:firstLine="0"/>
        <w:contextualSpacing/>
        <w:rPr>
          <w:rFonts w:cs="Arial"/>
          <w:szCs w:val="22"/>
        </w:rPr>
      </w:pPr>
      <w:bookmarkStart w:id="192" w:name="S09a01"/>
      <w:r w:rsidRPr="00541B8B">
        <w:rPr>
          <w:rFonts w:cs="Arial"/>
          <w:szCs w:val="22"/>
        </w:rPr>
        <w:t>1</w:t>
      </w:r>
      <w:bookmarkEnd w:id="192"/>
      <w:r w:rsidRPr="00541B8B">
        <w:rPr>
          <w:rFonts w:cs="Arial"/>
          <w:szCs w:val="22"/>
        </w:rPr>
        <w:t xml:space="preserve"> – </w:t>
      </w:r>
      <w:hyperlink w:anchor="premessa09"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provvedimento, che si compone di diciotto articoli, contiene disposizioni che intervengono su un </w:t>
      </w:r>
      <w:r w:rsidRPr="00541B8B">
        <w:rPr>
          <w:b/>
        </w:rPr>
        <w:t>ambito materiale omogeneo</w:t>
      </w:r>
      <w:r w:rsidRPr="00541B8B">
        <w:t>, in quanto reca un complesso di interventi che investono la materia della riforma del settore bancario cooperativo, la garanzia sulla cartolarizzazione delle sofferenze, il regime fiscale relativo alle procedure di crisi e la gestione collettiva del risparmio, dei quali forniscono puntuale indicazione il titolo e il preambolo del decreto-legge; l'oggetto dell'articolo 16, estesamente indicato nella rubrica (“Modifica alla disciplina fiscale dei trasferimenti immobiliari nell'ambito di vendite giudiziarie”), viene assorbito nella rubrica del capo II e nel titolo del decreto dal più generico riferimento alle “disposizioni fiscali relative alle procedure di crisi”</w:t>
      </w:r>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193" w:name="S09a02"/>
      <w:r w:rsidRPr="00541B8B">
        <w:rPr>
          <w:rFonts w:cs="Arial"/>
          <w:szCs w:val="22"/>
        </w:rPr>
        <w:t>2</w:t>
      </w:r>
      <w:bookmarkEnd w:id="193"/>
      <w:r w:rsidRPr="00541B8B">
        <w:rPr>
          <w:rFonts w:cs="Arial"/>
          <w:szCs w:val="22"/>
        </w:rPr>
        <w:t xml:space="preserve"> – </w:t>
      </w:r>
      <w:hyperlink w:anchor="premessa09"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nel procedere a numerose modifiche della disciplina vigente, il provvedimento in esame effettua generalmente gli opportuni coordinamenti con le preesistenti fonti normative, sulle quali interviene mediante novelle. Fa eccezione l'articolo 15 che, intervenendo sul regime fiscale della cessione di diritti, attività e passività di un ente sottoposto a risoluzione a un ente ponte, </w:t>
      </w:r>
      <w:r w:rsidRPr="00541B8B">
        <w:rPr>
          <w:b/>
        </w:rPr>
        <w:t>fa sistema</w:t>
      </w:r>
      <w:r w:rsidRPr="00541B8B">
        <w:t xml:space="preserve"> con l'articolo 43 del decreto legislativo 180 del 2015, che disciplina tale cessione, senza tuttavia novellarlo</w:t>
      </w:r>
      <w:r w:rsidRPr="00541B8B">
        <w:rPr>
          <w:rFonts w:cs="Arial"/>
          <w:szCs w:val="22"/>
        </w:rPr>
        <w:t xml:space="preserve">»; </w:t>
      </w:r>
    </w:p>
    <w:p w:rsidR="00541B8B" w:rsidRPr="00541B8B" w:rsidRDefault="00541B8B" w:rsidP="00541B8B">
      <w:pPr>
        <w:spacing w:before="60" w:after="60"/>
        <w:ind w:firstLine="0"/>
        <w:contextualSpacing/>
        <w:rPr>
          <w:rFonts w:cs="Arial"/>
          <w:szCs w:val="22"/>
        </w:rPr>
      </w:pPr>
      <w:bookmarkStart w:id="194" w:name="S09a03"/>
      <w:r w:rsidRPr="00541B8B">
        <w:rPr>
          <w:rFonts w:cs="Arial"/>
          <w:szCs w:val="22"/>
        </w:rPr>
        <w:lastRenderedPageBreak/>
        <w:t>3</w:t>
      </w:r>
      <w:bookmarkEnd w:id="194"/>
      <w:r w:rsidRPr="00541B8B">
        <w:rPr>
          <w:rFonts w:cs="Arial"/>
          <w:szCs w:val="22"/>
        </w:rPr>
        <w:t xml:space="preserve"> – </w:t>
      </w:r>
      <w:hyperlink w:anchor="premessa09"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decreto-legge, all'articolo 3, comma 2, e all'articolo 9, comma 4, demanda ad un decreto del Ministro dell'economia e delle finanze la possibilità di intervenire sulle disposizioni recate dai medesimi articoli (rispettivamente al comma 1 e ai commi 1, 2 e 3) al fine di: raddoppiare da 18 a 36 mesi il periodo durante il quale lo Stato può concedere garanzie sulle passività emesse nell'ambito di operazioni di cartolarizzazione dei crediti e di “variare i criteri di calcolo, la misura delle commissioni del presente articolo e la fonte di dati di cui al comma 3, lettera a), in conformità delle decisioni della Commissione europea”. Si demanda così a decreti ministeriali la possibilità di innovare completamente la disciplina della concessione della garanzia di Stato, intervenendo anche sulla complessa metodologia di calcolo del corrispettivo annuo da corrispondere a fronte della garanzia stessa, oggetto anche di equazioni complesse esposte nell'allegato 2, ed </w:t>
      </w:r>
      <w:r w:rsidRPr="00541B8B">
        <w:rPr>
          <w:rFonts w:cs="Arial"/>
          <w:b/>
          <w:szCs w:val="22"/>
        </w:rPr>
        <w:t>attribuendo così ad una fonte subordinata il compito di modificare disposizioni di rango legislativo</w:t>
      </w:r>
      <w:r w:rsidRPr="00541B8B">
        <w:rPr>
          <w:rFonts w:cs="Arial"/>
          <w:szCs w:val="22"/>
        </w:rPr>
        <w:t>, secondo una procedura difforme rispetto a quella prevista dall'</w:t>
      </w:r>
      <w:r w:rsidRPr="00541B8B">
        <w:rPr>
          <w:rFonts w:cs="Arial"/>
          <w:b/>
          <w:szCs w:val="22"/>
        </w:rPr>
        <w:t>articolo 17, comma 2, della legge n. 400 del 1988</w:t>
      </w:r>
      <w:r w:rsidRPr="00541B8B">
        <w:rPr>
          <w:rFonts w:cs="Arial"/>
          <w:szCs w:val="22"/>
        </w:rPr>
        <w:t>, che non offre quindi le medesime garanzie individuate da tale procedura» (</w:t>
      </w:r>
      <w:hyperlink w:anchor="S09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95" w:name="S09a04"/>
      <w:r w:rsidRPr="00541B8B">
        <w:rPr>
          <w:rFonts w:cs="Arial"/>
          <w:szCs w:val="22"/>
        </w:rPr>
        <w:t>4</w:t>
      </w:r>
      <w:bookmarkEnd w:id="195"/>
      <w:r w:rsidRPr="00541B8B">
        <w:rPr>
          <w:rFonts w:cs="Arial"/>
          <w:szCs w:val="22"/>
        </w:rPr>
        <w:t xml:space="preserve"> – </w:t>
      </w:r>
      <w:hyperlink w:anchor="premessa09"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all'articolo 13, comma 2, il decreto-legge demanda inoltre ad un </w:t>
      </w:r>
      <w:r w:rsidRPr="00541B8B">
        <w:rPr>
          <w:b/>
        </w:rPr>
        <w:t>decreto di natura non regolamentare</w:t>
      </w:r>
      <w:r w:rsidRPr="00541B8B">
        <w:t xml:space="preserve"> del Ministro dell'economia e delle finanze la definizione delle disposizioni di attuazione del capo II del decreto, relativo alla garanzia dello Stato sulle passività emesse nell'ambito di operazioni di cartolarizzazione. A tale proposito, come più volte segnalato dal Comitato, si ricorda che la </w:t>
      </w:r>
      <w:r w:rsidRPr="00541B8B">
        <w:rPr>
          <w:b/>
        </w:rPr>
        <w:t>Corte costituzionale</w:t>
      </w:r>
      <w:r w:rsidRPr="00541B8B">
        <w:t xml:space="preserve">, nella </w:t>
      </w:r>
      <w:r w:rsidRPr="00541B8B">
        <w:rPr>
          <w:b/>
        </w:rPr>
        <w:t>sentenza n. 116 del 2006</w:t>
      </w:r>
      <w:r w:rsidRPr="00541B8B">
        <w:t xml:space="preserve">, con riferimento ad un decreto ministeriale del quale si esplicitava la natura non regolamentare, lo qualificava come </w:t>
      </w:r>
      <w:r w:rsidRPr="00541B8B">
        <w:rPr>
          <w:i/>
          <w:iCs/>
        </w:rPr>
        <w:t>“un atto statale dalla indefinibile natura giuridica”</w:t>
      </w:r>
      <w:r w:rsidRPr="00541B8B">
        <w:t xml:space="preserve"> e che, più recentemente, l'Adunanza Plenaria del </w:t>
      </w:r>
      <w:r w:rsidRPr="00541B8B">
        <w:rPr>
          <w:b/>
        </w:rPr>
        <w:t>Consiglio di Stato</w:t>
      </w:r>
      <w:r w:rsidRPr="00541B8B">
        <w:t xml:space="preserve">, con </w:t>
      </w:r>
      <w:r w:rsidRPr="00541B8B">
        <w:rPr>
          <w:b/>
        </w:rPr>
        <w:t>sentenza 4 maggio 2012, n. 9</w:t>
      </w:r>
      <w:r w:rsidRPr="00541B8B">
        <w:t xml:space="preserve">, sulla natura giuridica dell'articolo 4 del decreto ministeriale 6 febbraio 2006, ha osservato che: </w:t>
      </w:r>
      <w:r w:rsidRPr="00541B8B">
        <w:rPr>
          <w:i/>
          <w:iCs/>
        </w:rPr>
        <w:t xml:space="preserve">“deve rilevarsi che, nonostante la crescente diffusione di quel fenomeno efficacemente descritto in termini di ’fuga dal </w:t>
      </w:r>
      <w:proofErr w:type="spellStart"/>
      <w:r w:rsidRPr="00541B8B">
        <w:rPr>
          <w:i/>
          <w:iCs/>
        </w:rPr>
        <w:t>regolamento‘</w:t>
      </w:r>
      <w:proofErr w:type="spellEnd"/>
      <w:r w:rsidRPr="00541B8B">
        <w:rPr>
          <w:i/>
          <w:iCs/>
        </w:rPr>
        <w:t xml:space="preserve"> (che si manifesta, talvolta anche in base ad esplicite indicazioni legislative, tramite l'adozione di atti normativi secondari che si autoqualificano in termini non regolamentari) deve, in linea di principio, escludersi che il potere normativo dei Ministri e, più in generale, del Governo possa esercitarsi medianti atti ’atipici‘, di natura non regolamentare”</w:t>
      </w:r>
      <w:r w:rsidRPr="00541B8B">
        <w:rPr>
          <w:rFonts w:cs="Arial"/>
          <w:szCs w:val="22"/>
        </w:rPr>
        <w:t>»; (</w:t>
      </w:r>
      <w:hyperlink w:anchor="S09c02"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96" w:name="S09a05"/>
      <w:r w:rsidRPr="00541B8B">
        <w:rPr>
          <w:rFonts w:cs="Arial"/>
          <w:szCs w:val="22"/>
        </w:rPr>
        <w:t>5</w:t>
      </w:r>
      <w:bookmarkEnd w:id="196"/>
      <w:r w:rsidRPr="00541B8B">
        <w:rPr>
          <w:rFonts w:cs="Arial"/>
          <w:szCs w:val="22"/>
        </w:rPr>
        <w:t xml:space="preserve"> – </w:t>
      </w:r>
      <w:hyperlink w:anchor="premessa09"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all'articolo 2, comma 1, il decreto-legge dispone inoltre che, in sede di prima applicazione delle novelle introdotte nel decreto legislativo n. 385 del 1993 dall'articolo 1, comma 5 (articoli 37-</w:t>
      </w:r>
      <w:r w:rsidRPr="00541B8B">
        <w:rPr>
          <w:i/>
          <w:iCs/>
        </w:rPr>
        <w:t>bis</w:t>
      </w:r>
      <w:r w:rsidRPr="00541B8B">
        <w:t xml:space="preserve"> e 37-</w:t>
      </w:r>
      <w:r w:rsidRPr="00541B8B">
        <w:rPr>
          <w:i/>
          <w:iCs/>
        </w:rPr>
        <w:t>ter</w:t>
      </w:r>
      <w:r w:rsidRPr="00541B8B">
        <w:t xml:space="preserve">), la comunicazione </w:t>
      </w:r>
      <w:r w:rsidRPr="00541B8B">
        <w:lastRenderedPageBreak/>
        <w:t>prevista dal nuovo articolo 37-</w:t>
      </w:r>
      <w:r w:rsidRPr="00541B8B">
        <w:rPr>
          <w:i/>
          <w:iCs/>
        </w:rPr>
        <w:t>ter</w:t>
      </w:r>
      <w:r w:rsidRPr="00541B8B">
        <w:t xml:space="preserve"> “è inviata alla Banca d'Italia entro 18 mesi dall'entrata in vigore delle disposizioni emanate ai sensi dell'articolo 37-</w:t>
      </w:r>
      <w:r w:rsidRPr="00541B8B">
        <w:rPr>
          <w:i/>
          <w:iCs/>
        </w:rPr>
        <w:t>bis</w:t>
      </w:r>
      <w:r w:rsidRPr="00541B8B">
        <w:t>, comma 7”: si tratta di un decreto del Ministro dell'economia e delle finanze, sentita la Banca d'Italia, per la cui adozione non è tuttavia previsto alcun termine</w:t>
      </w:r>
      <w:r w:rsidRPr="00541B8B">
        <w:rPr>
          <w:rFonts w:cs="Arial"/>
          <w:szCs w:val="22"/>
        </w:rPr>
        <w:t>»; (</w:t>
      </w:r>
      <w:hyperlink w:anchor="S09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197" w:name="S09a06"/>
      <w:r w:rsidRPr="00541B8B">
        <w:rPr>
          <w:rFonts w:cs="Arial"/>
          <w:szCs w:val="22"/>
        </w:rPr>
        <w:t>6</w:t>
      </w:r>
      <w:bookmarkEnd w:id="197"/>
      <w:r w:rsidRPr="00541B8B">
        <w:rPr>
          <w:rFonts w:cs="Arial"/>
          <w:szCs w:val="22"/>
        </w:rPr>
        <w:t xml:space="preserve"> – </w:t>
      </w:r>
      <w:hyperlink w:anchor="premessa09"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il disegno di legge non è corredato della relazione sull'analisi tecnico-normativa (ATN) ed è sprovvisto della relazione sull'analisi di impatto della regolamentazione (AIR)</w:t>
      </w:r>
      <w:r w:rsidRPr="00541B8B">
        <w:rPr>
          <w:rFonts w:cs="Arial"/>
          <w:szCs w:val="22"/>
        </w:rPr>
        <w:t>».</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198" w:name="S09C"/>
      <w:r w:rsidRPr="00541B8B">
        <w:rPr>
          <w:rFonts w:cs="Arial"/>
          <w:b/>
          <w:szCs w:val="22"/>
        </w:rPr>
        <w:t>Condizioni</w:t>
      </w:r>
      <w:r w:rsidRPr="00541B8B">
        <w:rPr>
          <w:rFonts w:cs="Arial"/>
          <w:szCs w:val="22"/>
        </w:rPr>
        <w:t>:</w:t>
      </w:r>
      <w:bookmarkEnd w:id="198"/>
      <w:r w:rsidRPr="00541B8B">
        <w:rPr>
          <w:rFonts w:cs="Arial"/>
          <w:szCs w:val="22"/>
        </w:rPr>
        <w:t xml:space="preserve"> </w:t>
      </w:r>
    </w:p>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color w:val="0000FF"/>
          <w:szCs w:val="22"/>
          <w:u w:val="single"/>
        </w:rPr>
      </w:pPr>
      <w:r w:rsidRPr="00541B8B">
        <w:t xml:space="preserve">1) </w:t>
      </w:r>
      <w:bookmarkStart w:id="199" w:name="S09c01"/>
      <w:r w:rsidRPr="00541B8B">
        <w:t xml:space="preserve">per quanto </w:t>
      </w:r>
      <w:bookmarkEnd w:id="199"/>
      <w:r w:rsidRPr="00541B8B">
        <w:t>detto in premessa, si provveda alla riformulazione delle disposizioni contenute all'articolo 3, comma 2, e all'articolo 9, comma 4, al fine di renderle conformi al sistema delle fonti del diritto;</w:t>
      </w:r>
      <w:hyperlink w:anchor="premessa09" w:history="1">
        <w:r w:rsidRPr="00541B8B">
          <w:rPr>
            <w:rFonts w:cs="Arial"/>
            <w:color w:val="0000FF"/>
            <w:szCs w:val="22"/>
            <w:u w:val="single"/>
          </w:rPr>
          <w:t xml:space="preserve"> [torna su]</w:t>
        </w:r>
      </w:hyperlink>
      <w:r w:rsidRPr="00541B8B">
        <w:rPr>
          <w:rFonts w:cs="Arial"/>
          <w:color w:val="0000FF"/>
          <w:szCs w:val="22"/>
          <w:u w:val="single"/>
        </w:rPr>
        <w:t xml:space="preserve"> </w:t>
      </w:r>
    </w:p>
    <w:p w:rsidR="00541B8B" w:rsidRPr="00541B8B" w:rsidRDefault="00541B8B" w:rsidP="00541B8B">
      <w:pPr>
        <w:keepNext/>
        <w:spacing w:before="60" w:after="60"/>
        <w:ind w:left="567" w:hanging="283"/>
        <w:contextualSpacing/>
        <w:rPr>
          <w:rFonts w:cs="Arial"/>
          <w:szCs w:val="22"/>
        </w:rPr>
      </w:pPr>
      <w:bookmarkStart w:id="200" w:name="S09c02"/>
      <w:r w:rsidRPr="00541B8B">
        <w:rPr>
          <w:rFonts w:cs="Arial"/>
          <w:szCs w:val="22"/>
        </w:rPr>
        <w:t>2) all'articolo 13</w:t>
      </w:r>
      <w:bookmarkEnd w:id="200"/>
      <w:r w:rsidRPr="00541B8B">
        <w:rPr>
          <w:rFonts w:cs="Arial"/>
          <w:szCs w:val="22"/>
        </w:rPr>
        <w:t>, comma 2, che demanda compiti attuativi a un decreto ministeriale del quale viene specificata la natura non regolamentare, sia riformulata la disposizione nel senso di prevedere che la disciplina attuativa sia introdotta da un regolamento adottato ai sensi dell'articolo 17, comma 3, della legge n. 400 del 1988.</w:t>
      </w:r>
      <w:r w:rsidRPr="00541B8B">
        <w:t xml:space="preserve"> </w:t>
      </w:r>
      <w:hyperlink w:anchor="premessa09" w:history="1">
        <w:r w:rsidRPr="00541B8B">
          <w:rPr>
            <w:rFonts w:cs="Arial"/>
            <w:color w:val="0000FF"/>
            <w:szCs w:val="22"/>
            <w:u w:val="single"/>
          </w:rPr>
          <w:t xml:space="preserve"> [torna su]</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201" w:name="S09O"/>
      <w:r w:rsidRPr="00541B8B">
        <w:rPr>
          <w:rFonts w:cs="Arial"/>
          <w:b/>
          <w:szCs w:val="22"/>
        </w:rPr>
        <w:t>Osservazioni</w:t>
      </w:r>
      <w:r w:rsidRPr="00541B8B">
        <w:rPr>
          <w:rFonts w:cs="Arial"/>
          <w:szCs w:val="22"/>
        </w:rPr>
        <w:t xml:space="preserve">: </w:t>
      </w:r>
      <w:bookmarkEnd w:id="201"/>
    </w:p>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color w:val="0000FF"/>
          <w:szCs w:val="22"/>
          <w:u w:val="single"/>
        </w:rPr>
      </w:pPr>
      <w:r w:rsidRPr="00541B8B">
        <w:t xml:space="preserve">1) </w:t>
      </w:r>
      <w:bookmarkStart w:id="202" w:name="S09o01"/>
      <w:r w:rsidRPr="00541B8B">
        <w:t xml:space="preserve">per quanto detto </w:t>
      </w:r>
      <w:bookmarkEnd w:id="202"/>
      <w:r w:rsidRPr="00541B8B">
        <w:t>in premessa ed anche al fine della rispondenza al requisito, previsto dall'articolo 15, comma 3, della legge n. 400 del 1988, della “immediata applicabilità” delle misure contenute nel decreto-legge – che, per costante indirizzo del Comitato per la legislazione, va valutata anche con riguardo ad eventuali effetti intermedi ed alla tempistica degli adempimenti previsti – si dovrebbe indicare il termine per l'adozione del decreto ministeriale previsto dall'articolo 1, comma 5, capoverso articolo 37-</w:t>
      </w:r>
      <w:r w:rsidRPr="00541B8B">
        <w:rPr>
          <w:i/>
        </w:rPr>
        <w:t>bis</w:t>
      </w:r>
      <w:r w:rsidRPr="00541B8B">
        <w:t>, comma 7, dalla cui adozione decorre a sua volta, in sede di prima applicazione, il termine di diciotto mesi per l'invio alla Banca d'Italia della comunicazione di cui all'articolo 37-</w:t>
      </w:r>
      <w:r w:rsidRPr="00541B8B">
        <w:rPr>
          <w:i/>
        </w:rPr>
        <w:t>ter</w:t>
      </w:r>
      <w:r w:rsidRPr="00541B8B">
        <w:t>, comma 1, funzionale alla costituzione del gruppo bancario cooperativo;</w:t>
      </w:r>
      <w:hyperlink w:anchor="premessa09" w:history="1">
        <w:r w:rsidRPr="00541B8B">
          <w:rPr>
            <w:rFonts w:cs="Arial"/>
            <w:color w:val="0000FF"/>
            <w:szCs w:val="22"/>
            <w:u w:val="single"/>
          </w:rPr>
          <w:t xml:space="preserve"> [torna su]</w:t>
        </w:r>
      </w:hyperlink>
      <w:r w:rsidRPr="00541B8B">
        <w:rPr>
          <w:rFonts w:cs="Arial"/>
          <w:color w:val="0000FF"/>
          <w:szCs w:val="22"/>
          <w:u w:val="single"/>
        </w:rPr>
        <w:t xml:space="preserve"> </w:t>
      </w:r>
    </w:p>
    <w:p w:rsidR="00541B8B" w:rsidRPr="00541B8B" w:rsidRDefault="00541B8B" w:rsidP="00541B8B">
      <w:pPr>
        <w:keepNext/>
        <w:spacing w:before="60" w:after="60"/>
        <w:ind w:left="567" w:hanging="283"/>
        <w:contextualSpacing/>
        <w:rPr>
          <w:rFonts w:cs="Arial"/>
          <w:color w:val="0000FF"/>
          <w:szCs w:val="22"/>
          <w:u w:val="single"/>
        </w:rPr>
      </w:pPr>
      <w:bookmarkStart w:id="203" w:name="S09o02"/>
      <w:r w:rsidRPr="00541B8B">
        <w:rPr>
          <w:rFonts w:cs="Arial"/>
          <w:szCs w:val="22"/>
        </w:rPr>
        <w:t>2) all'articolo 2</w:t>
      </w:r>
      <w:bookmarkEnd w:id="203"/>
      <w:r w:rsidRPr="00541B8B">
        <w:rPr>
          <w:rFonts w:cs="Arial"/>
          <w:szCs w:val="22"/>
        </w:rPr>
        <w:t xml:space="preserve">, comma 5, che prevede l'obbligo per le banche di credito cooperativo autorizzate alla data di entrata in vigore del decreto-legge di adeguarsi a quanto previsto dall'articolo 34, comma 1, del decreto legislativo n. 385 del 1993, si dovrebbe precisare che il riferimento è </w:t>
      </w:r>
      <w:r w:rsidRPr="00541B8B">
        <w:rPr>
          <w:rFonts w:cs="Arial"/>
          <w:szCs w:val="22"/>
        </w:rPr>
        <w:lastRenderedPageBreak/>
        <w:t>all'articolo 34 come risultante all'esito delle modifiche introdotte dall'articolo 1, comma 2, del presente decreto-legge;</w:t>
      </w:r>
      <w:hyperlink w:anchor="premessa09" w:history="1">
        <w:r w:rsidRPr="00541B8B">
          <w:rPr>
            <w:rFonts w:cs="Arial"/>
            <w:color w:val="0000FF"/>
            <w:szCs w:val="22"/>
            <w:u w:val="single"/>
          </w:rPr>
          <w:t xml:space="preserve"> [torna su]</w:t>
        </w:r>
      </w:hyperlink>
    </w:p>
    <w:p w:rsidR="00541B8B" w:rsidRPr="00541B8B" w:rsidRDefault="00541B8B" w:rsidP="00541B8B">
      <w:pPr>
        <w:keepNext/>
        <w:spacing w:before="60" w:after="60"/>
        <w:ind w:left="426" w:firstLine="0"/>
        <w:contextualSpacing/>
        <w:rPr>
          <w:rFonts w:cs="Arial"/>
          <w:color w:val="0000FF"/>
          <w:szCs w:val="22"/>
          <w:u w:val="single"/>
        </w:rPr>
      </w:pPr>
    </w:p>
    <w:p w:rsidR="00541B8B" w:rsidRPr="00541B8B" w:rsidRDefault="00541B8B" w:rsidP="00541B8B">
      <w:pPr>
        <w:keepNext/>
        <w:spacing w:before="60" w:after="60"/>
        <w:ind w:firstLine="0"/>
        <w:contextualSpacing/>
        <w:rPr>
          <w:rFonts w:cs="Arial"/>
          <w:i/>
          <w:szCs w:val="22"/>
        </w:rPr>
      </w:pPr>
      <w:r w:rsidRPr="00541B8B">
        <w:rPr>
          <w:rFonts w:cs="Arial"/>
          <w:i/>
          <w:szCs w:val="22"/>
        </w:rPr>
        <w:t xml:space="preserve">sotto il profilo della chiarezza e della proprietà della formulazione </w:t>
      </w:r>
    </w:p>
    <w:p w:rsidR="00541B8B" w:rsidRPr="00541B8B" w:rsidRDefault="00541B8B" w:rsidP="00541B8B">
      <w:pPr>
        <w:keepNext/>
        <w:spacing w:before="60" w:after="60"/>
        <w:ind w:left="567" w:hanging="283"/>
        <w:contextualSpacing/>
        <w:rPr>
          <w:rFonts w:cs="Arial"/>
          <w:color w:val="0000FF"/>
          <w:szCs w:val="22"/>
          <w:u w:val="single"/>
        </w:rPr>
      </w:pPr>
      <w:r w:rsidRPr="00541B8B">
        <w:rPr>
          <w:rFonts w:cs="Arial"/>
          <w:szCs w:val="22"/>
        </w:rPr>
        <w:t xml:space="preserve">3) </w:t>
      </w:r>
      <w:bookmarkStart w:id="204" w:name="S09o03"/>
      <w:r w:rsidRPr="00541B8B">
        <w:rPr>
          <w:rFonts w:cs="Arial"/>
          <w:szCs w:val="22"/>
        </w:rPr>
        <w:t>all'articolo 3</w:t>
      </w:r>
      <w:bookmarkEnd w:id="204"/>
      <w:r w:rsidRPr="00541B8B">
        <w:rPr>
          <w:rFonts w:cs="Arial"/>
          <w:szCs w:val="22"/>
        </w:rPr>
        <w:t>, comma 3, primo periodo, si dovrebbero sopprimere le parole: “e nella decisione della Commissione europea di cui al comma 1”, visto che quest'ultimo comma non contiene riferimenti a decisioni europee (presenti invece nello stesso comma 3 e nel comma 2);</w:t>
      </w:r>
      <w:hyperlink w:anchor="premessa09" w:history="1">
        <w:r w:rsidRPr="00541B8B">
          <w:rPr>
            <w:rFonts w:cs="Arial"/>
            <w:color w:val="0000FF"/>
            <w:szCs w:val="22"/>
            <w:u w:val="single"/>
          </w:rPr>
          <w:t xml:space="preserve"> [torna su]</w:t>
        </w:r>
      </w:hyperlink>
      <w:r w:rsidRPr="00541B8B">
        <w:rPr>
          <w:rFonts w:cs="Arial"/>
          <w:color w:val="0000FF"/>
          <w:szCs w:val="22"/>
          <w:u w:val="single"/>
        </w:rPr>
        <w:t xml:space="preserve"> </w:t>
      </w:r>
    </w:p>
    <w:p w:rsidR="00541B8B" w:rsidRPr="00541B8B" w:rsidRDefault="00541B8B" w:rsidP="00541B8B">
      <w:pPr>
        <w:keepNext/>
        <w:spacing w:before="60" w:after="60"/>
        <w:ind w:left="567" w:hanging="283"/>
        <w:contextualSpacing/>
        <w:rPr>
          <w:rFonts w:cs="Arial"/>
          <w:color w:val="0000FF"/>
          <w:szCs w:val="22"/>
          <w:u w:val="single"/>
        </w:rPr>
      </w:pPr>
      <w:bookmarkStart w:id="205" w:name="S09o04"/>
      <w:r w:rsidRPr="00541B8B">
        <w:rPr>
          <w:rFonts w:cs="Arial"/>
          <w:szCs w:val="22"/>
        </w:rPr>
        <w:t>4) all'articolo 11</w:t>
      </w:r>
      <w:bookmarkEnd w:id="205"/>
      <w:r w:rsidRPr="00541B8B">
        <w:rPr>
          <w:rFonts w:cs="Arial"/>
          <w:szCs w:val="22"/>
        </w:rPr>
        <w:t>, comma 3, che contiene un riferimento alla “contabilità speciale di cui all'articolo 10”, si dovrebbe correggere l'errore ivi contenuto, in quanto si tratta della contabilità speciale di cui all'articolo 12.</w:t>
      </w:r>
      <w:hyperlink w:anchor="premessa09" w:history="1">
        <w:r w:rsidRPr="00541B8B">
          <w:rPr>
            <w:rFonts w:cs="Arial"/>
            <w:color w:val="0000FF"/>
            <w:szCs w:val="22"/>
            <w:u w:val="single"/>
          </w:rPr>
          <w:t xml:space="preserve"> [torna su]</w:t>
        </w:r>
      </w:hyperlink>
      <w:r w:rsidRPr="00541B8B">
        <w:rPr>
          <w:rFonts w:cs="Arial"/>
          <w:color w:val="0000FF"/>
          <w:szCs w:val="22"/>
          <w:u w:val="single"/>
        </w:rPr>
        <w:t xml:space="preserve"> </w:t>
      </w:r>
    </w:p>
    <w:p w:rsidR="00541B8B" w:rsidRPr="00541B8B" w:rsidRDefault="00541B8B" w:rsidP="00541B8B">
      <w:pPr>
        <w:keepNext/>
        <w:tabs>
          <w:tab w:val="num" w:pos="0"/>
          <w:tab w:val="num" w:pos="567"/>
        </w:tabs>
        <w:spacing w:before="60" w:after="60"/>
        <w:ind w:left="567" w:hanging="283"/>
        <w:contextualSpacing/>
        <w:rPr>
          <w:rFonts w:cs="Arial"/>
          <w:szCs w:val="22"/>
        </w:rPr>
      </w:pPr>
    </w:p>
    <w:p w:rsidR="00541B8B" w:rsidRPr="00541B8B" w:rsidRDefault="00541B8B" w:rsidP="00541B8B">
      <w:pPr>
        <w:keepNext/>
        <w:tabs>
          <w:tab w:val="num" w:pos="0"/>
          <w:tab w:val="num" w:pos="567"/>
        </w:tabs>
        <w:spacing w:before="60" w:after="60"/>
        <w:ind w:left="567" w:hanging="283"/>
        <w:contextualSpacing/>
        <w:rPr>
          <w:rFonts w:cs="Arial"/>
          <w:szCs w:val="22"/>
        </w:rPr>
      </w:pPr>
    </w:p>
    <w:p w:rsidR="00541B8B" w:rsidRPr="00541B8B" w:rsidRDefault="00541B8B" w:rsidP="00541B8B">
      <w:pPr>
        <w:keepNext/>
        <w:tabs>
          <w:tab w:val="num" w:pos="0"/>
          <w:tab w:val="num" w:pos="567"/>
        </w:tabs>
        <w:spacing w:before="60" w:after="60"/>
        <w:ind w:left="567" w:hanging="283"/>
        <w:contextualSpacing/>
        <w:rPr>
          <w:rFonts w:cs="Arial"/>
          <w:szCs w:val="22"/>
        </w:rPr>
        <w:sectPr w:rsidR="00541B8B" w:rsidRPr="00541B8B" w:rsidSect="00D20CCA">
          <w:headerReference w:type="default" r:id="rId363"/>
          <w:footerReference w:type="even" r:id="rId364"/>
          <w:footerReference w:type="default" r:id="rId365"/>
          <w:pgSz w:w="11906" w:h="16838" w:code="9"/>
          <w:pgMar w:top="1985" w:right="1985" w:bottom="1985" w:left="1985" w:header="1134" w:footer="1134" w:gutter="0"/>
          <w:cols w:space="720"/>
          <w:formProt w:val="0"/>
        </w:sectPr>
      </w:pPr>
    </w:p>
    <w:tbl>
      <w:tblPr>
        <w:tblStyle w:val="Grigliatabella"/>
        <w:tblW w:w="5000" w:type="pct"/>
        <w:tblLook w:val="01E0" w:firstRow="1" w:lastRow="1" w:firstColumn="1" w:lastColumn="1" w:noHBand="0" w:noVBand="0"/>
      </w:tblPr>
      <w:tblGrid>
        <w:gridCol w:w="1146"/>
        <w:gridCol w:w="1384"/>
        <w:gridCol w:w="1883"/>
        <w:gridCol w:w="3274"/>
        <w:gridCol w:w="1599"/>
      </w:tblGrid>
      <w:tr w:rsidR="00541B8B" w:rsidRPr="00541B8B" w:rsidTr="00D20CCA">
        <w:trPr>
          <w:cantSplit/>
          <w:trHeight w:val="567"/>
        </w:trPr>
        <w:tc>
          <w:tcPr>
            <w:tcW w:w="61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lastRenderedPageBreak/>
              <w:t>N. SCHEDA</w:t>
            </w:r>
          </w:p>
        </w:tc>
        <w:tc>
          <w:tcPr>
            <w:tcW w:w="74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14"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3"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2"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617"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0010</w:t>
            </w:r>
          </w:p>
        </w:tc>
        <w:tc>
          <w:tcPr>
            <w:tcW w:w="745"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2039 NT</w:t>
            </w:r>
          </w:p>
        </w:tc>
        <w:tc>
          <w:tcPr>
            <w:tcW w:w="1014" w:type="pct"/>
          </w:tcPr>
          <w:p w:rsidR="00541B8B" w:rsidRPr="00541B8B" w:rsidRDefault="00DC78AD" w:rsidP="00541B8B">
            <w:pPr>
              <w:spacing w:before="100" w:beforeAutospacing="1" w:after="100" w:afterAutospacing="1"/>
              <w:ind w:firstLine="0"/>
              <w:contextualSpacing/>
              <w:jc w:val="center"/>
              <w:rPr>
                <w:rFonts w:cs="Arial"/>
                <w:szCs w:val="22"/>
              </w:rPr>
            </w:pPr>
            <w:hyperlink r:id="rId366" w:history="1">
              <w:r w:rsidR="00541B8B" w:rsidRPr="00541B8B">
                <w:rPr>
                  <w:rFonts w:cs="Arial"/>
                  <w:color w:val="0000FF"/>
                  <w:szCs w:val="22"/>
                  <w:u w:val="single"/>
                </w:rPr>
                <w:t>ddl Gov</w:t>
              </w:r>
            </w:hyperlink>
          </w:p>
        </w:tc>
        <w:tc>
          <w:tcPr>
            <w:tcW w:w="1763"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Delega consumo del suolo</w:t>
            </w:r>
          </w:p>
        </w:tc>
        <w:tc>
          <w:tcPr>
            <w:tcW w:w="862" w:type="pct"/>
          </w:tcPr>
          <w:p w:rsidR="00541B8B" w:rsidRPr="00541B8B" w:rsidRDefault="00DC78AD" w:rsidP="00541B8B">
            <w:pPr>
              <w:spacing w:before="100" w:beforeAutospacing="1" w:after="100" w:afterAutospacing="1"/>
              <w:ind w:firstLine="0"/>
              <w:contextualSpacing/>
              <w:jc w:val="center"/>
              <w:rPr>
                <w:rFonts w:cs="Arial"/>
                <w:szCs w:val="22"/>
              </w:rPr>
            </w:pPr>
            <w:hyperlink r:id="rId367" w:anchor="data.20160224.com48.bollettino.sede00020.tit00010" w:history="1">
              <w:r w:rsidR="00541B8B" w:rsidRPr="00541B8B">
                <w:rPr>
                  <w:rFonts w:cs="Arial"/>
                  <w:color w:val="0000FF"/>
                  <w:szCs w:val="22"/>
                  <w:u w:val="single"/>
                </w:rPr>
                <w:t>24/02/2016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206" w:name="premessa10"/>
            <w:r w:rsidRPr="00541B8B">
              <w:rPr>
                <w:rFonts w:cs="Arial"/>
                <w:b/>
                <w:color w:val="0000FF"/>
                <w:sz w:val="24"/>
                <w:szCs w:val="24"/>
              </w:rPr>
              <w:t>Premessa</w:t>
            </w:r>
            <w:bookmarkEnd w:id="206"/>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4 Condizioni, 6 Osservazioni</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0a01" w:history="1">
              <w:r w:rsidR="00541B8B" w:rsidRPr="00541B8B">
                <w:rPr>
                  <w:rFonts w:cs="Arial"/>
                  <w:color w:val="0000FF"/>
                  <w:szCs w:val="22"/>
                  <w:u w:val="single"/>
                </w:rPr>
                <w:t>1</w:t>
              </w:r>
            </w:hyperlink>
            <w:r w:rsidR="00541B8B" w:rsidRPr="00541B8B">
              <w:rPr>
                <w:rFonts w:cs="Arial"/>
                <w:szCs w:val="22"/>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Contenuto omogeneo e corrispondente al titolo</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0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Stratificazione normativa.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0a03" w:history="1">
              <w:r w:rsidR="00541B8B" w:rsidRPr="00541B8B">
                <w:rPr>
                  <w:rFonts w:cs="Arial"/>
                  <w:color w:val="0000FF"/>
                  <w:szCs w:val="22"/>
                  <w:u w:val="single"/>
                </w:rPr>
                <w:t>3</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Introduzione di una definizione di “suolo” non coordinata con quella, diversa, già presente nella normativa vigente.</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0a04" w:history="1">
              <w:r w:rsidR="00541B8B" w:rsidRPr="00541B8B">
                <w:rPr>
                  <w:rFonts w:cs="Arial"/>
                  <w:color w:val="0000FF"/>
                  <w:szCs w:val="22"/>
                  <w:u w:val="single"/>
                </w:rPr>
                <w:t>4</w:t>
              </w:r>
            </w:hyperlink>
            <w:r w:rsidR="00541B8B" w:rsidRPr="00541B8B">
              <w:rPr>
                <w:rFonts w:cs="Arial"/>
                <w:szCs w:val="22"/>
              </w:rPr>
              <w:t xml:space="preserve"> – Coerente utilizzo delle fonti normative: atti atipici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Complessa procedura che prevede l'adozione di numerosi atti attuativi del Governo, di deliberazioni della Conferenza unificata e di disposizioni regionali, disciplinando l'esercizio del potere sostitutivo dello Stato nel caso di inerzia a provvedere della Conferenza unificata o degli enti territoriali, con il ricorso a strumenti atipici ai quali viene assegnata una funzione di natura normativa, quali le direttive del Ministro di settore.</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Richiamo all’articolo 17, comma 3, della legge n. 400/1988. Richiamo alla sentenza n. 9/2012 del Consiglio di Stato.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3</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0a05" w:history="1">
              <w:r w:rsidR="00541B8B" w:rsidRPr="00541B8B">
                <w:rPr>
                  <w:rFonts w:cs="Arial"/>
                  <w:color w:val="0000FF"/>
                  <w:szCs w:val="22"/>
                  <w:u w:val="single"/>
                </w:rPr>
                <w:t>5</w:t>
              </w:r>
            </w:hyperlink>
            <w:r w:rsidR="00541B8B" w:rsidRPr="00541B8B">
              <w:rPr>
                <w:rFonts w:cs="Arial"/>
                <w:szCs w:val="22"/>
              </w:rPr>
              <w:t xml:space="preserve"> – Coerente utilizzo delle fonti normative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Procedure per l’esercizio del potere sostitutivo in difformità rispetto a quelle previste dall'articolo 8, comma 1, della legge n. 131 del 2003, in attuazione all'articolo 120, secondo comma, della Costituzione.</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2</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0a06" w:history="1">
              <w:r w:rsidR="00541B8B" w:rsidRPr="00541B8B">
                <w:rPr>
                  <w:rFonts w:cs="Arial"/>
                  <w:color w:val="0000FF"/>
                  <w:szCs w:val="22"/>
                  <w:u w:val="single"/>
                </w:rPr>
                <w:t>6</w:t>
              </w:r>
            </w:hyperlink>
            <w:r w:rsidR="00541B8B" w:rsidRPr="00541B8B">
              <w:rPr>
                <w:rFonts w:cs="Arial"/>
                <w:szCs w:val="22"/>
              </w:rPr>
              <w:t xml:space="preserve"> – 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Principi e criteri direttivi che coincidono o si sovrappongono con l’oggetto della delega.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Osservazione 2 </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0a07" w:history="1">
              <w:r w:rsidR="00541B8B" w:rsidRPr="00541B8B">
                <w:rPr>
                  <w:rFonts w:cs="Arial"/>
                  <w:color w:val="0000FF"/>
                  <w:szCs w:val="22"/>
                  <w:u w:val="single"/>
                </w:rPr>
                <w:t>7</w:t>
              </w:r>
            </w:hyperlink>
            <w:r w:rsidR="00541B8B" w:rsidRPr="00541B8B">
              <w:rPr>
                <w:rFonts w:cs="Arial"/>
                <w:szCs w:val="22"/>
              </w:rPr>
              <w:t xml:space="preserve"> – Disposizioni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Disposizione da riformulare in termini di principio e criterio direttivo della delega.</w:t>
            </w:r>
          </w:p>
          <w:p w:rsidR="00541B8B" w:rsidRPr="00541B8B" w:rsidRDefault="00541B8B" w:rsidP="00541B8B">
            <w:pPr>
              <w:spacing w:before="100" w:beforeAutospacing="1" w:after="100" w:afterAutospacing="1"/>
              <w:ind w:firstLine="0"/>
              <w:contextualSpacing/>
              <w:rPr>
                <w:rFonts w:cs="Arial"/>
                <w:szCs w:val="22"/>
              </w:rPr>
            </w:pP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0a08" w:history="1">
              <w:r w:rsidR="00541B8B" w:rsidRPr="00541B8B">
                <w:rPr>
                  <w:rFonts w:cs="Arial"/>
                  <w:color w:val="0000FF"/>
                  <w:szCs w:val="22"/>
                  <w:u w:val="single"/>
                </w:rPr>
                <w:t>8</w:t>
              </w:r>
            </w:hyperlink>
            <w:r w:rsidR="00541B8B" w:rsidRPr="00541B8B">
              <w:rPr>
                <w:rFonts w:cs="Arial"/>
                <w:szCs w:val="22"/>
              </w:rPr>
              <w:t xml:space="preserve"> – 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Cs w:val="22"/>
              </w:rPr>
            </w:pPr>
            <w:r w:rsidRPr="00541B8B">
              <w:rPr>
                <w:rFonts w:cs="Arial"/>
                <w:szCs w:val="22"/>
              </w:rPr>
              <w:t xml:space="preserve">Scorrimento del termine per l’esercizio della delega (“tecnica dello scorrimento”). </w:t>
            </w:r>
          </w:p>
          <w:p w:rsidR="00541B8B" w:rsidRPr="00541B8B" w:rsidRDefault="00541B8B" w:rsidP="00541B8B">
            <w:pPr>
              <w:spacing w:before="100" w:beforeAutospacing="1" w:after="100" w:afterAutospacing="1"/>
              <w:ind w:firstLine="0"/>
              <w:contextualSpacing/>
              <w:jc w:val="left"/>
              <w:rPr>
                <w:rFonts w:cs="Arial"/>
                <w:szCs w:val="22"/>
              </w:rPr>
            </w:pPr>
            <w:r w:rsidRPr="00541B8B">
              <w:rPr>
                <w:rFonts w:cs="Arial"/>
                <w:szCs w:val="22"/>
              </w:rPr>
              <w:t>Condizione 4</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0a09" w:history="1">
              <w:r w:rsidR="00541B8B" w:rsidRPr="00541B8B">
                <w:rPr>
                  <w:rFonts w:cs="Arial"/>
                  <w:color w:val="0000FF"/>
                  <w:szCs w:val="22"/>
                  <w:u w:val="single"/>
                </w:rPr>
                <w:t>9</w:t>
              </w:r>
            </w:hyperlink>
            <w:r w:rsidR="00541B8B" w:rsidRPr="00541B8B">
              <w:rPr>
                <w:rFonts w:cs="Arial"/>
                <w:szCs w:val="22"/>
              </w:rPr>
              <w:t xml:space="preserve"> – Formulazione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Uso di espressione appartenente alla legislazione regionale ma non a quella statale.</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0a10" w:history="1">
              <w:r w:rsidR="00541B8B" w:rsidRPr="00541B8B">
                <w:rPr>
                  <w:rFonts w:cs="Arial"/>
                  <w:color w:val="0000FF"/>
                  <w:szCs w:val="22"/>
                  <w:u w:val="single"/>
                </w:rPr>
                <w:t>10</w:t>
              </w:r>
            </w:hyperlink>
            <w:r w:rsidR="00541B8B" w:rsidRPr="00541B8B">
              <w:rPr>
                <w:rFonts w:cs="Arial"/>
                <w:szCs w:val="22"/>
              </w:rPr>
              <w:t xml:space="preserve"> – Coordinamento interno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6</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10a11" w:history="1">
              <w:r w:rsidR="00541B8B" w:rsidRPr="00541B8B">
                <w:rPr>
                  <w:color w:val="0000FF"/>
                  <w:szCs w:val="22"/>
                  <w:u w:val="single"/>
                </w:rPr>
                <w:t>11</w:t>
              </w:r>
            </w:hyperlink>
            <w:r w:rsidR="00541B8B" w:rsidRPr="00541B8B">
              <w:rPr>
                <w:szCs w:val="22"/>
              </w:rPr>
              <w:t xml:space="preserve"> – Coordinamento interno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4</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pPr>
            <w:r w:rsidRPr="00F56AFB">
              <w:rPr>
                <w:color w:val="0000FF"/>
                <w:szCs w:val="22"/>
                <w:u w:val="single"/>
              </w:rPr>
              <w:t>12</w:t>
            </w:r>
            <w:r w:rsidRPr="00541B8B">
              <w:t xml:space="preserve"> - </w:t>
            </w:r>
            <w:r w:rsidRPr="00541B8B">
              <w:rPr>
                <w:rFonts w:cs="Arial"/>
              </w:rPr>
              <w:t>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Presenti (non rilevato nel parere.</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 non presenti in Premessa</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szCs w:val="22"/>
              </w:rPr>
              <w:t>Formulazione del testo</w:t>
            </w:r>
          </w:p>
        </w:tc>
        <w:tc>
          <w:tcPr>
            <w:tcW w:w="244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0o03" w:history="1">
              <w:r w:rsidR="00541B8B" w:rsidRPr="00541B8B">
                <w:rPr>
                  <w:rFonts w:cs="Arial"/>
                  <w:color w:val="0000FF"/>
                  <w:szCs w:val="22"/>
                  <w:u w:val="single"/>
                </w:rPr>
                <w:t>Osservazione 3</w:t>
              </w:r>
            </w:hyperlink>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szCs w:val="22"/>
              </w:rPr>
              <w:t>Rubrica</w:t>
            </w:r>
          </w:p>
        </w:tc>
        <w:tc>
          <w:tcPr>
            <w:tcW w:w="244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pPr>
            <w:hyperlink w:anchor="S10o05" w:history="1">
              <w:r w:rsidR="00541B8B" w:rsidRPr="00541B8B">
                <w:rPr>
                  <w:color w:val="0000FF"/>
                  <w:u w:val="single"/>
                </w:rPr>
                <w:t>Osservazione 5</w:t>
              </w:r>
            </w:hyperlink>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0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0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Articolo 120, secondo comma, della Costituzione; articolo 17, comma 3, legge n. 400/1988; articolo 8 legge n. 131/2003; sentenza n. 9/2012 del Consiglio di Stato.</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07" w:name="S10a01"/>
      <w:r w:rsidRPr="00541B8B">
        <w:rPr>
          <w:rFonts w:cs="Arial"/>
          <w:szCs w:val="22"/>
        </w:rPr>
        <w:t>1</w:t>
      </w:r>
      <w:bookmarkEnd w:id="207"/>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disegno di legge all'esame reca un </w:t>
      </w:r>
      <w:r w:rsidRPr="00541B8B">
        <w:rPr>
          <w:rFonts w:cs="Arial"/>
          <w:b/>
          <w:szCs w:val="22"/>
        </w:rPr>
        <w:t>contenuto omogeneo e corrispondente al titolo</w:t>
      </w:r>
      <w:r w:rsidRPr="00541B8B">
        <w:rPr>
          <w:rFonts w:cs="Arial"/>
          <w:szCs w:val="22"/>
        </w:rPr>
        <w:t xml:space="preserve"> in quanto contiene un complesso di disposizioni volte a promuovere l'attività agricola, il paesaggio e l'ambiente mediante il contenimento del consumo del suolo, il riuso e la rigenerazione urbana»;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08" w:name="S10a02"/>
      <w:r w:rsidRPr="00541B8B">
        <w:rPr>
          <w:rFonts w:cs="Arial"/>
          <w:szCs w:val="22"/>
        </w:rPr>
        <w:t>2</w:t>
      </w:r>
      <w:bookmarkEnd w:id="208"/>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pur recando un complesso di misure che, nell'ambito delle politiche per il territorio, presentano aspetti assai innovativi, interviene su un ambito materiale, quello della valorizzazione e della tutela del suolo, che presenta numerosi punti di contatto con altri settori disciplinari che hanno formato oggetto, anche in tempi recenti, di interventi legislativi e con i quali dovrebbero essere assicurati gli opportuni coordinamenti; in particolare, le disposizioni contenute all'articolo 3 del testo all'esame </w:t>
      </w:r>
      <w:r w:rsidRPr="00541B8B">
        <w:rPr>
          <w:rFonts w:cs="Arial"/>
          <w:b/>
          <w:szCs w:val="22"/>
        </w:rPr>
        <w:t>si sovrappongono</w:t>
      </w:r>
      <w:r w:rsidRPr="00541B8B">
        <w:rPr>
          <w:rFonts w:cs="Arial"/>
          <w:szCs w:val="22"/>
        </w:rPr>
        <w:t xml:space="preserve"> parzialmente a quelle contenute all'articolo 6, commi 2 e 4, della legge n. 10 del 2013 sugli spazi verdi urbani, che recano misure finalizzate al risparmio del suolo ed alla salvaguardia delle aree comunali non urbanizzate; analogamente, l'articolo 5, nel conferire una delega al Governo per l'adozione di decreti legislativi volti alla rigenerazione delle aree urbane </w:t>
      </w:r>
      <w:r w:rsidRPr="00541B8B">
        <w:rPr>
          <w:rFonts w:cs="Arial"/>
          <w:szCs w:val="22"/>
        </w:rPr>
        <w:lastRenderedPageBreak/>
        <w:t>degradate, interviene su un settore che ha formato, anche in tempi recenti, oggetto di numerosi interventi normativi (ad esempio, ad opera dei commi 431-434 dell'articolo 1 della legge n. 190 del 2014 e dell'articolo 5, commi da 9 a 14, del decreto-legge n. 70 del 2011)» (</w:t>
      </w:r>
      <w:hyperlink w:anchor="S10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09" w:name="S10a03"/>
      <w:r w:rsidRPr="00541B8B">
        <w:rPr>
          <w:rFonts w:cs="Arial"/>
          <w:szCs w:val="22"/>
        </w:rPr>
        <w:t>3</w:t>
      </w:r>
      <w:bookmarkEnd w:id="209"/>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«questioni di </w:t>
      </w:r>
      <w:r w:rsidRPr="00541B8B">
        <w:rPr>
          <w:rFonts w:cs="Arial"/>
          <w:b/>
          <w:szCs w:val="22"/>
        </w:rPr>
        <w:t>coordinamento normativo</w:t>
      </w:r>
      <w:r w:rsidRPr="00541B8B">
        <w:rPr>
          <w:rFonts w:cs="Arial"/>
          <w:szCs w:val="22"/>
        </w:rPr>
        <w:t xml:space="preserve"> si pongono poi in relazione all'articolo 2, comma 2, che reintroduce, nell'ambito dell'articolo 54 del decreto legislativo n. 152 del 2006, la lettera </w:t>
      </w:r>
      <w:r w:rsidRPr="00541B8B">
        <w:rPr>
          <w:rFonts w:cs="Arial"/>
          <w:i/>
          <w:iCs/>
          <w:szCs w:val="22"/>
        </w:rPr>
        <w:t>a</w:t>
      </w:r>
      <w:r w:rsidRPr="00541B8B">
        <w:rPr>
          <w:rFonts w:cs="Arial"/>
          <w:szCs w:val="22"/>
        </w:rPr>
        <w:t xml:space="preserve">), volta a dare una definizione di “suolo”. In proposito, si segnala che tale lettera è stata abrogata dall'articolo 34 del decreto legislativo n. 46 del 2014, che ha introdotto, nell'ambito dell'articolo 5, comma 1, del medesimo decreto legislativo, la lettera </w:t>
      </w:r>
      <w:r w:rsidRPr="00541B8B">
        <w:rPr>
          <w:rFonts w:cs="Arial"/>
          <w:i/>
          <w:iCs/>
          <w:szCs w:val="22"/>
        </w:rPr>
        <w:t>v-quater</w:t>
      </w:r>
      <w:r w:rsidRPr="00541B8B">
        <w:rPr>
          <w:rFonts w:cs="Arial"/>
          <w:szCs w:val="22"/>
        </w:rPr>
        <w:t xml:space="preserve">, recante una diversa definizione di “suolo” e che, pertanto, la disposizione in esame affianca a quella vigente (la citata lettera </w:t>
      </w:r>
      <w:r w:rsidRPr="00541B8B">
        <w:rPr>
          <w:rFonts w:cs="Arial"/>
          <w:i/>
          <w:iCs/>
          <w:szCs w:val="22"/>
        </w:rPr>
        <w:t>v-quater)</w:t>
      </w:r>
      <w:r w:rsidRPr="00541B8B">
        <w:rPr>
          <w:rFonts w:cs="Arial"/>
          <w:szCs w:val="22"/>
        </w:rPr>
        <w:t>) una diversa definizione di “suolo”, senza gli opportuni coordinamenti» (</w:t>
      </w:r>
      <w:hyperlink w:anchor="S10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10" w:name="S10a04"/>
      <w:r w:rsidRPr="00541B8B">
        <w:rPr>
          <w:rFonts w:cs="Arial"/>
          <w:szCs w:val="22"/>
        </w:rPr>
        <w:t>4</w:t>
      </w:r>
      <w:bookmarkEnd w:id="210"/>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allo scopo di conseguire l'obiettivo della progressiva riduzione del consumo del suolo a livello nazionale e di ripartire a livello regionale i quantitativi di consumo del suolo disponibili, delinea una </w:t>
      </w:r>
      <w:r w:rsidRPr="00541B8B">
        <w:rPr>
          <w:rFonts w:cs="Arial"/>
          <w:b/>
          <w:szCs w:val="22"/>
        </w:rPr>
        <w:t>complessa procedura</w:t>
      </w:r>
      <w:r w:rsidRPr="00541B8B">
        <w:rPr>
          <w:rFonts w:cs="Arial"/>
          <w:szCs w:val="22"/>
        </w:rPr>
        <w:t xml:space="preserve"> che prevede l'adozione di </w:t>
      </w:r>
      <w:r w:rsidRPr="00541B8B">
        <w:rPr>
          <w:rFonts w:cs="Arial"/>
          <w:b/>
          <w:szCs w:val="22"/>
        </w:rPr>
        <w:t>numerosi atti attuativi</w:t>
      </w:r>
      <w:r w:rsidRPr="00541B8B">
        <w:rPr>
          <w:rFonts w:cs="Arial"/>
          <w:szCs w:val="22"/>
        </w:rPr>
        <w:t xml:space="preserve"> dell'Esecutivo nazionale, di deliberazioni della Conferenza unificata e di disposizioni regionali attuative, disciplinando l'esercizio del potere sostitutivo dello Stato nel caso di inerzia a provvedere della Conferenza unificata o degli enti territoriali; tale procedura contempla, tra l'altro, il ricorso a strumenti atipici ai quali viene assegnata una funzione di natura normativa; in particolare, il testo prevede l'adozione di direttive del Ministro di settore alle quali si assegna il compito di definire, tra l'altro, le modalità e criteri per l'attuazione della legge (articolo 3, comma 7). In relazione al ricorso a tali strumenti (dei quali, peraltro, non è neppure obbligatoria la pubblicazione in </w:t>
      </w:r>
      <w:r w:rsidRPr="00541B8B">
        <w:rPr>
          <w:rFonts w:cs="Arial"/>
          <w:i/>
          <w:iCs/>
          <w:szCs w:val="22"/>
        </w:rPr>
        <w:t>Gazzetta Ufficiale</w:t>
      </w:r>
      <w:r w:rsidRPr="00541B8B">
        <w:rPr>
          <w:rFonts w:cs="Arial"/>
          <w:szCs w:val="22"/>
        </w:rPr>
        <w:t xml:space="preserve">) in luogo di regolamenti adottati ai sensi dell'articolo 17, comma 3, della legge n. 400 del 1988, come più volte segnalato dal Comitato, si ricorda che l'Adunanza Plenaria del Consiglio di Stato, con sentenza 4 maggio 2012, n. 9, sulla natura giuridica dell'articolo 4 del decreto ministeriale 6 febbraio 2006, ha osservato che: </w:t>
      </w:r>
      <w:r w:rsidRPr="00541B8B">
        <w:rPr>
          <w:rFonts w:cs="Arial"/>
          <w:i/>
          <w:iCs/>
          <w:szCs w:val="22"/>
        </w:rPr>
        <w:t xml:space="preserve">“deve rilevarsi che, nonostante la crescente diffusione di quel fenomeno efficacemente descritto in termini di ’fuga dal </w:t>
      </w:r>
      <w:proofErr w:type="spellStart"/>
      <w:r w:rsidRPr="00541B8B">
        <w:rPr>
          <w:rFonts w:cs="Arial"/>
          <w:i/>
          <w:iCs/>
          <w:szCs w:val="22"/>
        </w:rPr>
        <w:t>regolamento‘</w:t>
      </w:r>
      <w:proofErr w:type="spellEnd"/>
      <w:r w:rsidRPr="00541B8B">
        <w:rPr>
          <w:rFonts w:cs="Arial"/>
          <w:i/>
          <w:iCs/>
          <w:szCs w:val="22"/>
        </w:rPr>
        <w:t xml:space="preserve"> (che si manifesta, talvolta anche in base ad esplicite indicazioni legislative, tramite l'adozione di atti normativi secondari che si autoqualificano in termini non regolamentari) deve, in linea di principio, escludersi che il potere normativo dei Ministri e, più in generale, del Governo possa esercitarsi medianti atti ’atipici‘, di natura non regolamentare</w:t>
      </w:r>
      <w:r w:rsidRPr="00541B8B">
        <w:rPr>
          <w:rFonts w:cs="Arial"/>
          <w:szCs w:val="22"/>
        </w:rPr>
        <w:t>”» (</w:t>
      </w:r>
      <w:hyperlink w:anchor="S10c03"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11" w:name="S10a05"/>
      <w:r w:rsidRPr="00541B8B">
        <w:rPr>
          <w:rFonts w:cs="Arial"/>
          <w:szCs w:val="22"/>
        </w:rPr>
        <w:t>5</w:t>
      </w:r>
      <w:bookmarkEnd w:id="211"/>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«la procedura contempla inoltre quattro casi di esercizio del </w:t>
      </w:r>
      <w:r w:rsidRPr="00541B8B">
        <w:rPr>
          <w:rFonts w:cs="Arial"/>
          <w:b/>
          <w:szCs w:val="22"/>
        </w:rPr>
        <w:t>potere sostitutivo del Governo</w:t>
      </w:r>
      <w:r w:rsidRPr="00541B8B">
        <w:rPr>
          <w:rFonts w:cs="Arial"/>
          <w:szCs w:val="22"/>
        </w:rPr>
        <w:t xml:space="preserve"> in caso di inerzia degli enti territoriali e in caso di mancata adozione di deliberazioni della Conferenza unificata. Alcune delle suddette procedure risultano delineate in difformità rispetto a quelle previste dall'</w:t>
      </w:r>
      <w:r w:rsidRPr="00541B8B">
        <w:rPr>
          <w:rFonts w:cs="Arial"/>
          <w:b/>
          <w:szCs w:val="22"/>
        </w:rPr>
        <w:t>articolo 8, comma 1, della legge n. 131 del 2003</w:t>
      </w:r>
      <w:r w:rsidRPr="00541B8B">
        <w:rPr>
          <w:rFonts w:cs="Arial"/>
          <w:szCs w:val="22"/>
        </w:rPr>
        <w:t>, in attuazione all'</w:t>
      </w:r>
      <w:r w:rsidRPr="00541B8B">
        <w:rPr>
          <w:rFonts w:cs="Arial"/>
          <w:b/>
          <w:szCs w:val="22"/>
        </w:rPr>
        <w:t>articolo 120, secondo comma, della Costituzione</w:t>
      </w:r>
      <w:r w:rsidRPr="00541B8B">
        <w:rPr>
          <w:rFonts w:cs="Arial"/>
          <w:szCs w:val="22"/>
        </w:rPr>
        <w:t xml:space="preserve">; in particolare: </w:t>
      </w:r>
    </w:p>
    <w:p w:rsidR="00541B8B" w:rsidRPr="00541B8B" w:rsidRDefault="00541B8B" w:rsidP="00541B8B">
      <w:pPr>
        <w:spacing w:before="60" w:after="120"/>
        <w:contextualSpacing/>
        <w:rPr>
          <w:rFonts w:cs="Arial"/>
          <w:szCs w:val="22"/>
        </w:rPr>
      </w:pPr>
      <w:r w:rsidRPr="00541B8B">
        <w:rPr>
          <w:rFonts w:cs="Arial"/>
          <w:szCs w:val="22"/>
        </w:rPr>
        <w:t xml:space="preserve">l'articolo 3, comma 2, prevede un'ipotesi di potere sostitutivo del Governo da esercitarsi con decreto del Presidente del Consiglio dei ministri, in caso di mancata adozione, nel </w:t>
      </w:r>
      <w:r w:rsidRPr="00541B8B">
        <w:rPr>
          <w:rFonts w:cs="Arial"/>
          <w:szCs w:val="22"/>
        </w:rPr>
        <w:lastRenderedPageBreak/>
        <w:t xml:space="preserve">termine di 180 giorni, della deliberazione della Conferenza unificata volta a stabilire criteri e modalità per la definizione della riduzione progressiva del consumo del suolo a livello nazionale; </w:t>
      </w:r>
    </w:p>
    <w:p w:rsidR="00541B8B" w:rsidRPr="00541B8B" w:rsidRDefault="00541B8B" w:rsidP="00541B8B">
      <w:pPr>
        <w:spacing w:before="60" w:after="120"/>
        <w:contextualSpacing/>
        <w:rPr>
          <w:rFonts w:cs="Arial"/>
          <w:szCs w:val="22"/>
        </w:rPr>
      </w:pPr>
      <w:r w:rsidRPr="00541B8B">
        <w:rPr>
          <w:rFonts w:cs="Arial"/>
          <w:szCs w:val="22"/>
        </w:rPr>
        <w:t xml:space="preserve">l'articolo 3, comma 6, introduce un'ipotesi di potere sostitutivo del Governo, anche in tal caso da esercitarsi con decreto del Presidente del Consiglio dei ministri, in caso di mancata adozione nel termine previsto della deliberazione della Conferenza unificata che stabilisce la ripartizione tra le regioni della riduzione del consumo del suolo; </w:t>
      </w:r>
    </w:p>
    <w:p w:rsidR="00541B8B" w:rsidRPr="00541B8B" w:rsidRDefault="00541B8B" w:rsidP="00541B8B">
      <w:pPr>
        <w:spacing w:before="60" w:after="120"/>
        <w:contextualSpacing/>
        <w:rPr>
          <w:rFonts w:cs="Arial"/>
          <w:szCs w:val="22"/>
        </w:rPr>
      </w:pPr>
      <w:r w:rsidRPr="00541B8B">
        <w:rPr>
          <w:rFonts w:cs="Arial"/>
          <w:szCs w:val="22"/>
        </w:rPr>
        <w:t xml:space="preserve">l'articolo 3, comma 9, introduce un'ipotesi di potere sostitutivo, anche in questo caso da esercitarsi con decreto del Presidente del Consiglio dei ministri, previa deliberazione del Consiglio dei ministri, su proposta del Ministro di settore, sentiti l'ISPRA e il Consiglio per la ricerca in agricoltura e per l'analisi dell'economia agraria – destinatari di una preventiva diffida – con il parere della Conferenza unificata, in caso di mancata adozione, da parte degli enti interessati, delle determinazioni volte alla riduzione di consumo del suolo; </w:t>
      </w:r>
    </w:p>
    <w:p w:rsidR="00541B8B" w:rsidRPr="00541B8B" w:rsidRDefault="00541B8B" w:rsidP="00541B8B">
      <w:pPr>
        <w:spacing w:before="60" w:after="120"/>
        <w:contextualSpacing/>
        <w:rPr>
          <w:rFonts w:cs="Arial"/>
          <w:szCs w:val="22"/>
        </w:rPr>
      </w:pPr>
      <w:r w:rsidRPr="00541B8B">
        <w:rPr>
          <w:rFonts w:cs="Arial"/>
          <w:szCs w:val="22"/>
        </w:rPr>
        <w:t>infine, l'articolo 4, comma 4, introduce un'ulteriore ipotesi di potere sostitutivo, anche in questo caso da esercitarsi con decreto del Presidente del Consiglio dei ministri, previa intesa in sede di Conferenza unificata, in caso di mancata adozione, da parte delle regioni, di disposizioni volte ad incentivare i comuni ad adottare iniziative di rigenerazione urbana» (</w:t>
      </w:r>
      <w:hyperlink w:anchor="S10c02"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12" w:name="S10a06"/>
      <w:r w:rsidRPr="00541B8B">
        <w:rPr>
          <w:rFonts w:cs="Arial"/>
          <w:szCs w:val="22"/>
        </w:rPr>
        <w:t>6</w:t>
      </w:r>
      <w:bookmarkEnd w:id="212"/>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«in relazione alla formulazione del già richiamato articolo 5, che delega il Governo ad adottare uno o più decreti legislativi finalizzati a semplificare le procedure per gli interventi di rigenerazione delle aree urbanizzate degradate da un punto di vista urbanistico, socio-economico e ambientale, si segnala che i </w:t>
      </w:r>
      <w:r w:rsidRPr="00541B8B">
        <w:rPr>
          <w:rFonts w:cs="Arial"/>
          <w:b/>
          <w:szCs w:val="22"/>
        </w:rPr>
        <w:t>principi e i criteri direttivi</w:t>
      </w:r>
      <w:r w:rsidRPr="00541B8B">
        <w:rPr>
          <w:rFonts w:cs="Arial"/>
          <w:szCs w:val="22"/>
        </w:rPr>
        <w:t xml:space="preserve"> ivi contenuti appaiono presentare elementi di </w:t>
      </w:r>
      <w:r w:rsidRPr="00541B8B">
        <w:rPr>
          <w:rFonts w:cs="Arial"/>
          <w:b/>
          <w:szCs w:val="22"/>
        </w:rPr>
        <w:t>sovrapposizione con l'oggetto della delega</w:t>
      </w:r>
      <w:r w:rsidRPr="00541B8B">
        <w:rPr>
          <w:rFonts w:cs="Arial"/>
          <w:szCs w:val="22"/>
        </w:rPr>
        <w:t>, con la conseguenza che, nelle suddette fattispecie, risulta oltremodo dilatato l'orizzonte della scelta discrezionale del Governo. In particolare, la lettera</w:t>
      </w:r>
      <w:r w:rsidRPr="00541B8B">
        <w:rPr>
          <w:rFonts w:cs="Arial"/>
          <w:i/>
          <w:iCs/>
          <w:szCs w:val="22"/>
        </w:rPr>
        <w:t xml:space="preserve"> a</w:t>
      </w:r>
      <w:r w:rsidRPr="00541B8B">
        <w:rPr>
          <w:rFonts w:cs="Arial"/>
          <w:szCs w:val="22"/>
        </w:rPr>
        <w:t xml:space="preserve">) si limita a prevedere che debbano essere garantite forme di intervento volte alla rigenerazione delle aree urbanizzate degradate attraverso progetti organici relativi a edifici e spazi pubblici e privati, basati su una serie di principi (riuso del suolo, riqualificazione ecc.), mentre la lettera </w:t>
      </w:r>
      <w:r w:rsidRPr="00541B8B">
        <w:rPr>
          <w:rFonts w:cs="Arial"/>
          <w:i/>
          <w:iCs/>
          <w:szCs w:val="22"/>
        </w:rPr>
        <w:t>b</w:t>
      </w:r>
      <w:r w:rsidRPr="00541B8B">
        <w:rPr>
          <w:rFonts w:cs="Arial"/>
          <w:szCs w:val="22"/>
        </w:rPr>
        <w:t xml:space="preserve">) si limita a richiedere che l'esecuzione di tali progetti avvenga nel rispetto di elevati </w:t>
      </w:r>
      <w:r w:rsidRPr="00541B8B">
        <w:rPr>
          <w:rFonts w:cs="Arial"/>
          <w:i/>
          <w:iCs/>
          <w:szCs w:val="22"/>
        </w:rPr>
        <w:t>standard</w:t>
      </w:r>
      <w:r w:rsidRPr="00541B8B">
        <w:rPr>
          <w:rFonts w:cs="Arial"/>
          <w:szCs w:val="22"/>
        </w:rPr>
        <w:t xml:space="preserve"> di qualità» (</w:t>
      </w:r>
      <w:hyperlink w:anchor="S10o02"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13" w:name="S10a07"/>
      <w:r w:rsidRPr="00541B8B">
        <w:rPr>
          <w:rFonts w:cs="Arial"/>
          <w:szCs w:val="22"/>
        </w:rPr>
        <w:t>7</w:t>
      </w:r>
      <w:bookmarkEnd w:id="213"/>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«sempre sul piano della </w:t>
      </w:r>
      <w:r w:rsidRPr="00541B8B">
        <w:rPr>
          <w:rFonts w:cs="Arial"/>
          <w:b/>
          <w:szCs w:val="22"/>
        </w:rPr>
        <w:t>formulazione delle norme di delega</w:t>
      </w:r>
      <w:r w:rsidRPr="00541B8B">
        <w:rPr>
          <w:rFonts w:cs="Arial"/>
          <w:szCs w:val="22"/>
        </w:rPr>
        <w:t>, il comma 4 dell'articolo 5, che specifica le modalità di applicazione degli interventi di rigenerazione delle aree urbane ai centri storici ed alle aree ed agli immobili ivi indicati, dovrebbe essere riformulato in termini di principio e di criterio direttivo della delega»;</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14" w:name="S10a08"/>
      <w:r w:rsidRPr="00541B8B">
        <w:rPr>
          <w:rFonts w:cs="Arial"/>
          <w:szCs w:val="22"/>
        </w:rPr>
        <w:t>8</w:t>
      </w:r>
      <w:bookmarkEnd w:id="214"/>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«con riferimento inoltre al computo dei </w:t>
      </w:r>
      <w:r w:rsidRPr="00541B8B">
        <w:rPr>
          <w:rFonts w:cs="Arial"/>
          <w:b/>
          <w:szCs w:val="22"/>
        </w:rPr>
        <w:t>termini per l'esercizio della delega</w:t>
      </w:r>
      <w:r w:rsidRPr="00541B8B">
        <w:rPr>
          <w:rFonts w:cs="Arial"/>
          <w:szCs w:val="22"/>
        </w:rPr>
        <w:t xml:space="preserve">, fissati, dal comma 1, in nove mesi, il comma 2 stabilisce che, qualora il termine per l'espressione del parere parlamentare scada nei trenta giorni che precedono la scadenza dei termini di delega o successivamente, tali termini siano prorogati per un periodo di novanta giorni, sulla base di un meccanismo, la cosiddetta </w:t>
      </w:r>
      <w:r w:rsidRPr="00541B8B">
        <w:rPr>
          <w:rFonts w:cs="Arial"/>
          <w:b/>
          <w:szCs w:val="22"/>
        </w:rPr>
        <w:t>“tecnica dello scorrimento”</w:t>
      </w:r>
      <w:r w:rsidRPr="00541B8B">
        <w:rPr>
          <w:rFonts w:cs="Arial"/>
          <w:szCs w:val="22"/>
        </w:rPr>
        <w:t xml:space="preserve">, che non permette di individuare il termine per l'esercizio della delega in modo univoco; a tale proposito, si segnala che, secondo una costante linea di indirizzo, il Comitato per la </w:t>
      </w:r>
      <w:r w:rsidRPr="00541B8B">
        <w:rPr>
          <w:rFonts w:cs="Arial"/>
          <w:szCs w:val="22"/>
        </w:rPr>
        <w:lastRenderedPageBreak/>
        <w:t>legislazione nei propri pareri, ha sempre segnalato che «appare opportuno individuare univocamente i termini per l'esercizio della delega principale e di quelle integrative e correttive, rinunziando alla “tecnica dello scorrimento” e che, in numerose recenti circostanze, a seguito dell'espressione di rilievi in tal senso, sono stati approvati emendamenti volti a prevedere, in luogo dello scorrimento del termine di delega, termini certi entro i quali il Governo deve trasmettere alle Camere gli schemi dei decreti legislativi, pena l'inefficacia della delega» (</w:t>
      </w:r>
      <w:hyperlink w:anchor="S10c04"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15" w:name="S10a09"/>
      <w:r w:rsidRPr="00541B8B">
        <w:rPr>
          <w:rFonts w:cs="Arial"/>
          <w:szCs w:val="22"/>
        </w:rPr>
        <w:t>9</w:t>
      </w:r>
      <w:bookmarkEnd w:id="215"/>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«sul piano della corretta </w:t>
      </w:r>
      <w:r w:rsidRPr="00541B8B">
        <w:rPr>
          <w:rFonts w:cs="Arial"/>
          <w:b/>
          <w:szCs w:val="22"/>
        </w:rPr>
        <w:t>formulazione del testo</w:t>
      </w:r>
      <w:r w:rsidRPr="00541B8B">
        <w:rPr>
          <w:rFonts w:cs="Arial"/>
          <w:szCs w:val="22"/>
        </w:rPr>
        <w:t xml:space="preserve">, all'articolo 6, comma 7, è presente il riferimento al “progetto unitario convenzionato” che deve accompagnare il progetto di compendio agricolo </w:t>
      </w:r>
      <w:proofErr w:type="spellStart"/>
      <w:r w:rsidRPr="00541B8B">
        <w:rPr>
          <w:rFonts w:cs="Arial"/>
          <w:szCs w:val="22"/>
        </w:rPr>
        <w:t>neorurale</w:t>
      </w:r>
      <w:proofErr w:type="spellEnd"/>
      <w:r w:rsidRPr="00541B8B">
        <w:rPr>
          <w:rFonts w:cs="Arial"/>
          <w:szCs w:val="22"/>
        </w:rPr>
        <w:t>, ancorché si tratta di un istituto presente e definito nella legislazione regionale (articolo 121 della legge della Regione Toscana 10 novembre 2014, n. 65) ma non disciplinato al livello statale»;</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16" w:name="S10a10"/>
      <w:r w:rsidRPr="00541B8B">
        <w:rPr>
          <w:rFonts w:cs="Arial"/>
          <w:szCs w:val="22"/>
        </w:rPr>
        <w:t>10</w:t>
      </w:r>
      <w:bookmarkEnd w:id="216"/>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«sul piano del </w:t>
      </w:r>
      <w:r w:rsidRPr="00541B8B">
        <w:rPr>
          <w:rFonts w:cs="Arial"/>
          <w:b/>
          <w:szCs w:val="22"/>
        </w:rPr>
        <w:t>coordinamento interno al testo</w:t>
      </w:r>
      <w:r w:rsidRPr="00541B8B">
        <w:rPr>
          <w:rFonts w:cs="Arial"/>
          <w:szCs w:val="22"/>
        </w:rPr>
        <w:t xml:space="preserve">, all'articolo 6, il comma 5, lettera </w:t>
      </w:r>
      <w:r w:rsidRPr="00541B8B">
        <w:rPr>
          <w:rFonts w:cs="Arial"/>
          <w:i/>
          <w:iCs/>
          <w:szCs w:val="22"/>
        </w:rPr>
        <w:t>i)</w:t>
      </w:r>
      <w:r w:rsidRPr="00541B8B">
        <w:rPr>
          <w:rFonts w:cs="Arial"/>
          <w:szCs w:val="22"/>
        </w:rPr>
        <w:t xml:space="preserve">, contempla, tra le destinazioni d'uso che possono essere previste all'interno del compendio agricolo </w:t>
      </w:r>
      <w:proofErr w:type="spellStart"/>
      <w:r w:rsidRPr="00541B8B">
        <w:rPr>
          <w:rFonts w:cs="Arial"/>
          <w:szCs w:val="22"/>
        </w:rPr>
        <w:t>neorurale</w:t>
      </w:r>
      <w:proofErr w:type="spellEnd"/>
      <w:r w:rsidRPr="00541B8B">
        <w:rPr>
          <w:rFonts w:cs="Arial"/>
          <w:szCs w:val="22"/>
        </w:rPr>
        <w:t xml:space="preserve">, in aggiunta a quella agricola, l’“artigianato artistico”, mentre, il successivo comma 6, alla lettera </w:t>
      </w:r>
      <w:r w:rsidRPr="00541B8B">
        <w:rPr>
          <w:rFonts w:cs="Arial"/>
          <w:i/>
          <w:iCs/>
          <w:szCs w:val="22"/>
        </w:rPr>
        <w:t>b</w:t>
      </w:r>
      <w:r w:rsidRPr="00541B8B">
        <w:rPr>
          <w:rFonts w:cs="Arial"/>
          <w:szCs w:val="22"/>
        </w:rPr>
        <w:t>), esclude la destinazione d'uso “artigianale”»;</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17" w:name="S10a11"/>
      <w:r w:rsidRPr="00541B8B">
        <w:rPr>
          <w:rFonts w:cs="Arial"/>
          <w:szCs w:val="22"/>
        </w:rPr>
        <w:t>11</w:t>
      </w:r>
      <w:bookmarkEnd w:id="217"/>
      <w:r w:rsidRPr="00541B8B">
        <w:rPr>
          <w:rFonts w:cs="Arial"/>
          <w:szCs w:val="22"/>
        </w:rPr>
        <w:t xml:space="preserve"> - </w:t>
      </w:r>
      <w:hyperlink w:anchor="premessa1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«sempre sul piano del </w:t>
      </w:r>
      <w:r w:rsidRPr="00541B8B">
        <w:rPr>
          <w:rFonts w:cs="Arial"/>
          <w:b/>
          <w:szCs w:val="22"/>
        </w:rPr>
        <w:t>coordinamento interno</w:t>
      </w:r>
      <w:r w:rsidRPr="00541B8B">
        <w:rPr>
          <w:rFonts w:cs="Arial"/>
          <w:szCs w:val="22"/>
        </w:rPr>
        <w:t>, l'articolo 4, comma 6, dispone che, decorsi i termini previsti nei precedenti commi (complessivamente 1 anno e nove mesi), nel territorio dei comuni inadempienti all'individuazione negli strumenti di pianificazione degli ambiti urbanistici da sottoporre prioritariamente a interventi di ristrutturazione urbanistica e di rinnovo edilizio, “è vietata la realizzazione di interventi edificatori privati, sia residenziali sia di servizi sia di attività produttive, comportanti, anche solo parzialmente, consumo di suolo”; il successivo articolo 11, comma 1, reca invece una disposizione transitoria in base alla quale “A decorrere dalla data di entrata in vigore della presente legge e fino all'adozione dei provvedimenti di cui all'articolo 3, comma 8 [volti alla riduzione del consumo di suolo], e comunque non oltre il termine di tre anni, non è consentito il consumo di suolo tranne che” nei casi ivi specificamente individuati».</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218" w:name="S10C"/>
      <w:r w:rsidRPr="00541B8B">
        <w:rPr>
          <w:rFonts w:cs="Arial"/>
          <w:b/>
          <w:szCs w:val="22"/>
        </w:rPr>
        <w:t>Condizioni:</w:t>
      </w:r>
    </w:p>
    <w:bookmarkEnd w:id="218"/>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bookmarkStart w:id="219" w:name="S10c01"/>
      <w:r w:rsidRPr="00541B8B">
        <w:rPr>
          <w:rFonts w:cs="Arial"/>
          <w:szCs w:val="22"/>
        </w:rPr>
        <w:t>1) all'articolo 5</w:t>
      </w:r>
      <w:bookmarkEnd w:id="219"/>
      <w:r w:rsidRPr="00541B8B">
        <w:rPr>
          <w:rFonts w:cs="Arial"/>
          <w:szCs w:val="22"/>
        </w:rPr>
        <w:t>, che conferisce una delega al Governo per l'adozione di decreti legislativi volti alla rigenerazione delle aree urbane degradate, intervenendo su un settore che ha formato, anche in tempi recenti, oggetto di numerosi interventi normativi, si preveda espressamente che nell'esercizio della delega il Governo debba assicurare il coordinamento con la normativa vigente;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20" w:name="S10c02"/>
      <w:r w:rsidRPr="00541B8B">
        <w:rPr>
          <w:rFonts w:cs="Arial"/>
          <w:szCs w:val="22"/>
        </w:rPr>
        <w:t>2) per</w:t>
      </w:r>
      <w:bookmarkEnd w:id="220"/>
      <w:r w:rsidRPr="00541B8B">
        <w:rPr>
          <w:rFonts w:cs="Arial"/>
          <w:szCs w:val="22"/>
        </w:rPr>
        <w:t xml:space="preserve"> quanto detto in premessa, si riformulino le disposizioni contenute all'articolo 3, commi 2 e 6, e all'articolo 4, comma 4, al fine di disciplinare l'esercizio del potere sostitutivo del Governo alla luce della procedura di attuazione dell'articolo 120 della Costituzione come delineata dall'articolo 8 della legge n.</w:t>
      </w:r>
      <w:r w:rsidRPr="00541B8B">
        <w:t> </w:t>
      </w:r>
      <w:r w:rsidRPr="00541B8B">
        <w:rPr>
          <w:rFonts w:cs="Arial"/>
          <w:szCs w:val="22"/>
        </w:rPr>
        <w:t xml:space="preserve">131 del 2003; per le </w:t>
      </w:r>
      <w:r w:rsidRPr="00541B8B">
        <w:rPr>
          <w:rFonts w:cs="Arial"/>
          <w:szCs w:val="22"/>
        </w:rPr>
        <w:lastRenderedPageBreak/>
        <w:t>medesime ragioni, al comma 9 dell'articolo 3, si espunga la previsione in base alla quale il potere sostitutivo viene esercitato con decreto del Presidente del Consiglio dei ministri;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21" w:name="S10c03"/>
      <w:r w:rsidRPr="00541B8B">
        <w:rPr>
          <w:rFonts w:cs="Arial"/>
          <w:szCs w:val="22"/>
        </w:rPr>
        <w:t>3) per</w:t>
      </w:r>
      <w:bookmarkEnd w:id="221"/>
      <w:r w:rsidRPr="00541B8B">
        <w:rPr>
          <w:rFonts w:cs="Arial"/>
          <w:szCs w:val="22"/>
        </w:rPr>
        <w:t xml:space="preserve"> quanto detto in premessa, all'articolo 3, comma 7, che demanda una funzione di tipo normativo a “direttive interministeriali”, sia riformulata la disposizione nel senso di prevedere che la disciplina attuativa sia contenuta in un regolamento adottato con decreto interministeriale ai sensi dell'articolo 17, comma 3, della legge n.</w:t>
      </w:r>
      <w:r w:rsidRPr="00541B8B">
        <w:t> </w:t>
      </w:r>
      <w:r w:rsidRPr="00541B8B">
        <w:rPr>
          <w:rFonts w:cs="Arial"/>
          <w:szCs w:val="22"/>
        </w:rPr>
        <w:t>400 del 1988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firstLine="0"/>
        <w:contextualSpacing/>
        <w:rPr>
          <w:rFonts w:cs="Arial"/>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bookmarkStart w:id="222" w:name="S10c04"/>
      <w:r w:rsidRPr="00541B8B">
        <w:rPr>
          <w:rFonts w:cs="Arial"/>
          <w:szCs w:val="22"/>
        </w:rPr>
        <w:t>4) per</w:t>
      </w:r>
      <w:bookmarkEnd w:id="222"/>
      <w:r w:rsidRPr="00541B8B">
        <w:rPr>
          <w:rFonts w:cs="Arial"/>
          <w:szCs w:val="22"/>
        </w:rPr>
        <w:t xml:space="preserve"> quanto detto in premessa, all'articolo 5, comma 2, si sopprima l'ultimo periodo, che prevede il ricorso alla “tecnica dello scorrimento” del termine per l'esercizio della delega, individuando in modo univoco il termine ultimo per l'esercizio della stessa;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223" w:name="S10O"/>
      <w:r w:rsidRPr="00541B8B">
        <w:rPr>
          <w:rFonts w:cs="Arial"/>
          <w:b/>
          <w:szCs w:val="22"/>
        </w:rPr>
        <w:t>Osservazioni:</w:t>
      </w:r>
    </w:p>
    <w:bookmarkEnd w:id="223"/>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r w:rsidRPr="00541B8B">
        <w:rPr>
          <w:rFonts w:cs="Arial"/>
          <w:szCs w:val="22"/>
        </w:rPr>
        <w:t xml:space="preserve">1) </w:t>
      </w:r>
      <w:bookmarkStart w:id="224" w:name="S10o01"/>
      <w:r w:rsidRPr="00541B8B">
        <w:rPr>
          <w:rFonts w:cs="Arial"/>
          <w:szCs w:val="22"/>
        </w:rPr>
        <w:t>per</w:t>
      </w:r>
      <w:bookmarkEnd w:id="224"/>
      <w:r w:rsidRPr="00541B8B">
        <w:rPr>
          <w:rFonts w:cs="Arial"/>
          <w:szCs w:val="22"/>
        </w:rPr>
        <w:t xml:space="preserve"> quanto detto in premessa, si dovrebbe riformulare la disposizione contenuta all'articolo 2, comma 2, in termini di novella alla lettera </w:t>
      </w:r>
      <w:r w:rsidRPr="00541B8B">
        <w:rPr>
          <w:rFonts w:cs="Arial"/>
          <w:i/>
          <w:iCs/>
          <w:szCs w:val="22"/>
        </w:rPr>
        <w:t>v-quater)</w:t>
      </w:r>
      <w:r w:rsidRPr="00541B8B">
        <w:rPr>
          <w:rFonts w:cs="Arial"/>
          <w:szCs w:val="22"/>
        </w:rPr>
        <w:t xml:space="preserve"> dell'articolo 5, comma 1, del decreto legislativo n. 152 del 2006;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25" w:name="S10o02"/>
      <w:r w:rsidRPr="00541B8B">
        <w:rPr>
          <w:rFonts w:cs="Arial"/>
          <w:szCs w:val="22"/>
        </w:rPr>
        <w:t>2) all'a</w:t>
      </w:r>
      <w:bookmarkEnd w:id="225"/>
      <w:r w:rsidRPr="00541B8B">
        <w:rPr>
          <w:rFonts w:cs="Arial"/>
          <w:szCs w:val="22"/>
        </w:rPr>
        <w:t xml:space="preserve">rticolo 5, comma 1, al fine di circoscrivere adeguatamente la discrezionalità del legislatore delegato, si dovrebbero specificare i principi e i criteri direttivi contenuti alle lettere </w:t>
      </w:r>
      <w:r w:rsidRPr="00541B8B">
        <w:rPr>
          <w:rFonts w:cs="Arial"/>
          <w:i/>
          <w:iCs/>
          <w:szCs w:val="22"/>
        </w:rPr>
        <w:t>a)</w:t>
      </w:r>
      <w:r w:rsidRPr="00541B8B">
        <w:rPr>
          <w:rFonts w:cs="Arial"/>
          <w:szCs w:val="22"/>
        </w:rPr>
        <w:t xml:space="preserve"> e </w:t>
      </w:r>
      <w:r w:rsidRPr="00541B8B">
        <w:rPr>
          <w:rFonts w:cs="Arial"/>
          <w:i/>
          <w:iCs/>
          <w:szCs w:val="22"/>
        </w:rPr>
        <w:t>b)</w:t>
      </w:r>
      <w:r w:rsidRPr="00541B8B">
        <w:rPr>
          <w:rFonts w:cs="Arial"/>
          <w:szCs w:val="22"/>
        </w:rPr>
        <w:t xml:space="preserve"> che non presentano una chiara distinzione con l'oggetto della delega, a tal fine anche procedendo alla riformulazione del comma 4 in termini di principio e di criterio direttivo;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26" w:name="S10o03"/>
      <w:r w:rsidRPr="00541B8B">
        <w:rPr>
          <w:rFonts w:cs="Arial"/>
          <w:szCs w:val="22"/>
        </w:rPr>
        <w:t>3) all'a</w:t>
      </w:r>
      <w:bookmarkEnd w:id="226"/>
      <w:r w:rsidRPr="00541B8B">
        <w:rPr>
          <w:rFonts w:cs="Arial"/>
          <w:szCs w:val="22"/>
        </w:rPr>
        <w:t>rticolo 5, comma 3, per evitare ripetizioni e problemi di costruzione sintattica, si dovrebbe riformulare la novella all'articolo 16, comma 10, del testo unico sull'edilizia di cui al decreto del Presidente della Repubblica n. 380 del 2001 ivi contenuta, come integralmente sostitutiva del secondo periodo;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firstLine="0"/>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left="567" w:hanging="283"/>
        <w:contextualSpacing/>
        <w:rPr>
          <w:rFonts w:cs="Arial"/>
          <w:szCs w:val="22"/>
        </w:rPr>
      </w:pPr>
      <w:bookmarkStart w:id="227" w:name="S10o04"/>
      <w:r w:rsidRPr="00541B8B">
        <w:rPr>
          <w:rFonts w:cs="Arial"/>
          <w:szCs w:val="22"/>
        </w:rPr>
        <w:t>4) per</w:t>
      </w:r>
      <w:bookmarkEnd w:id="227"/>
      <w:r w:rsidRPr="00541B8B">
        <w:rPr>
          <w:rFonts w:cs="Arial"/>
          <w:szCs w:val="22"/>
        </w:rPr>
        <w:t xml:space="preserve"> quanto detto in premessa, si dovrebbero coordinare dal punto di vista sia sostanziale sia temporale i divieti disposti dall'articolo 4, comma 6, e dall'articolo 11, comma 1;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28" w:name="S10o05"/>
      <w:r w:rsidRPr="00541B8B">
        <w:rPr>
          <w:rFonts w:cs="Arial"/>
          <w:szCs w:val="22"/>
        </w:rPr>
        <w:t>5) si d</w:t>
      </w:r>
      <w:bookmarkEnd w:id="228"/>
      <w:r w:rsidRPr="00541B8B">
        <w:rPr>
          <w:rFonts w:cs="Arial"/>
          <w:szCs w:val="22"/>
        </w:rPr>
        <w:t>ovrebbe integrare la rubrica dell'articolo 5 con il riferimento alla delega nello stesso contenuta;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29" w:name="S10o06"/>
      <w:r w:rsidRPr="00541B8B">
        <w:rPr>
          <w:rFonts w:cs="Arial"/>
          <w:szCs w:val="22"/>
        </w:rPr>
        <w:t>6) per q</w:t>
      </w:r>
      <w:bookmarkEnd w:id="229"/>
      <w:r w:rsidRPr="00541B8B">
        <w:rPr>
          <w:rFonts w:cs="Arial"/>
          <w:szCs w:val="22"/>
        </w:rPr>
        <w:t xml:space="preserve">uanto detto in premessa, all'articolo 6, si dovrebbe valutare la congruità del combinato disposto delle previsioni contenute al comma 5, lettera </w:t>
      </w:r>
      <w:r w:rsidRPr="00541B8B">
        <w:rPr>
          <w:rFonts w:cs="Arial"/>
          <w:i/>
          <w:iCs/>
          <w:szCs w:val="22"/>
        </w:rPr>
        <w:t>i)</w:t>
      </w:r>
      <w:r w:rsidRPr="00541B8B">
        <w:rPr>
          <w:rFonts w:cs="Arial"/>
          <w:szCs w:val="22"/>
        </w:rPr>
        <w:t xml:space="preserve">, che include tra le possibili destinazioni d'uso dei compendi agricoli </w:t>
      </w:r>
      <w:proofErr w:type="spellStart"/>
      <w:r w:rsidRPr="00541B8B">
        <w:rPr>
          <w:rFonts w:cs="Arial"/>
          <w:szCs w:val="22"/>
        </w:rPr>
        <w:t>neorurali</w:t>
      </w:r>
      <w:proofErr w:type="spellEnd"/>
      <w:r w:rsidRPr="00541B8B">
        <w:rPr>
          <w:rFonts w:cs="Arial"/>
          <w:szCs w:val="22"/>
        </w:rPr>
        <w:t xml:space="preserve">, l'artigianato artistico, e al comma 6, lettera </w:t>
      </w:r>
      <w:r w:rsidRPr="00541B8B">
        <w:rPr>
          <w:rFonts w:cs="Arial"/>
          <w:i/>
          <w:iCs/>
          <w:szCs w:val="22"/>
        </w:rPr>
        <w:t>b)</w:t>
      </w:r>
      <w:r w:rsidRPr="00541B8B">
        <w:rPr>
          <w:rFonts w:cs="Arial"/>
          <w:szCs w:val="22"/>
        </w:rPr>
        <w:t>, che esclude invece la destinazione d'uso produttiva artigianale, alla luce dell'assenza di una definizione legislativa di “artigianato artistico”. [</w:t>
      </w:r>
      <w:hyperlink w:anchor="premessa1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left="720" w:firstLine="0"/>
        <w:contextualSpacing/>
        <w:rPr>
          <w:rFonts w:cs="Arial"/>
          <w:szCs w:val="22"/>
        </w:rPr>
        <w:sectPr w:rsidR="00541B8B" w:rsidRPr="00541B8B" w:rsidSect="00D20CCA">
          <w:headerReference w:type="even" r:id="rId368"/>
          <w:headerReference w:type="default" r:id="rId369"/>
          <w:footerReference w:type="even" r:id="rId370"/>
          <w:footerReference w:type="default" r:id="rId371"/>
          <w:headerReference w:type="first" r:id="rId372"/>
          <w:footerReference w:type="first" r:id="rId373"/>
          <w:pgSz w:w="11906" w:h="16838" w:code="9"/>
          <w:pgMar w:top="1418" w:right="1418" w:bottom="1134" w:left="1418" w:header="567" w:footer="567" w:gutter="0"/>
          <w:cols w:space="708"/>
          <w:docGrid w:linePitch="360"/>
        </w:sectPr>
      </w:pPr>
    </w:p>
    <w:tbl>
      <w:tblPr>
        <w:tblStyle w:val="Grigliatabella"/>
        <w:tblW w:w="5000" w:type="pct"/>
        <w:tblLook w:val="01E0" w:firstRow="1" w:lastRow="1" w:firstColumn="1" w:lastColumn="1" w:noHBand="0" w:noVBand="0"/>
      </w:tblPr>
      <w:tblGrid>
        <w:gridCol w:w="1230"/>
        <w:gridCol w:w="1157"/>
        <w:gridCol w:w="1598"/>
        <w:gridCol w:w="2818"/>
        <w:gridCol w:w="1349"/>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lastRenderedPageBreak/>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rPr>
            </w:pPr>
            <w:r w:rsidRPr="00541B8B">
              <w:rPr>
                <w:rFonts w:cs="Arial"/>
                <w:b/>
              </w:rPr>
              <w:t>0011</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3540</w:t>
            </w:r>
          </w:p>
        </w:tc>
        <w:tc>
          <w:tcPr>
            <w:tcW w:w="1020" w:type="pct"/>
          </w:tcPr>
          <w:p w:rsidR="00541B8B" w:rsidRPr="00541B8B" w:rsidRDefault="00DC78AD" w:rsidP="00541B8B">
            <w:pPr>
              <w:spacing w:before="100" w:beforeAutospacing="1" w:after="100" w:afterAutospacing="1"/>
              <w:ind w:firstLine="0"/>
              <w:contextualSpacing/>
              <w:jc w:val="center"/>
              <w:rPr>
                <w:rFonts w:cs="Arial"/>
                <w:sz w:val="24"/>
              </w:rPr>
            </w:pPr>
            <w:hyperlink r:id="rId374" w:history="1">
              <w:r w:rsidR="00541B8B" w:rsidRPr="00541B8B">
                <w:rPr>
                  <w:rFonts w:cs="Arial"/>
                  <w:color w:val="0000FF"/>
                  <w:u w:val="single"/>
                </w:rPr>
                <w:t>ddl Governo</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Legge di delegazione europea 2015</w:t>
            </w:r>
          </w:p>
        </w:tc>
        <w:tc>
          <w:tcPr>
            <w:tcW w:w="867" w:type="pct"/>
          </w:tcPr>
          <w:p w:rsidR="00541B8B" w:rsidRPr="00541B8B" w:rsidRDefault="00DC78AD" w:rsidP="00541B8B">
            <w:pPr>
              <w:spacing w:before="100" w:beforeAutospacing="1" w:after="100" w:afterAutospacing="1"/>
              <w:ind w:firstLine="0"/>
              <w:contextualSpacing/>
              <w:jc w:val="center"/>
              <w:rPr>
                <w:rFonts w:cs="Arial"/>
                <w:sz w:val="24"/>
                <w:highlight w:val="yellow"/>
              </w:rPr>
            </w:pPr>
            <w:hyperlink r:id="rId375" w:anchor="data.20160303.com48.bollettino.sede00010.tit00010" w:history="1">
              <w:r w:rsidR="00541B8B" w:rsidRPr="00541B8B">
                <w:rPr>
                  <w:color w:val="0000FF"/>
                  <w:u w:val="single"/>
                </w:rPr>
                <w:t>03/03/2016</w:t>
              </w:r>
            </w:hyperlink>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076"/>
        <w:gridCol w:w="4076"/>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16-</w:t>
            </w:r>
            <w:r w:rsidRPr="00541B8B">
              <w:rPr>
                <w:rFonts w:cs="Arial"/>
                <w:b/>
                <w:bCs/>
                <w:i/>
                <w:sz w:val="24"/>
              </w:rPr>
              <w:t>BIS</w:t>
            </w:r>
            <w:r w:rsidRPr="00541B8B">
              <w:rPr>
                <w:rFonts w:cs="Arial"/>
                <w:b/>
                <w:bCs/>
                <w:sz w:val="24"/>
              </w:rPr>
              <w:t>, COMMA 6-</w:t>
            </w:r>
            <w:r w:rsidRPr="00541B8B">
              <w:rPr>
                <w:rFonts w:cs="Arial"/>
                <w:b/>
                <w:bCs/>
                <w:i/>
                <w:sz w:val="24"/>
              </w:rPr>
              <w:t>BIS</w:t>
            </w:r>
            <w:r w:rsidRPr="00541B8B">
              <w:rPr>
                <w:rFonts w:cs="Arial"/>
                <w:b/>
                <w:bCs/>
                <w:sz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230" w:name="premessa11"/>
            <w:r w:rsidRPr="00541B8B">
              <w:rPr>
                <w:rFonts w:cs="Arial"/>
                <w:b/>
                <w:color w:val="0000FF"/>
                <w:sz w:val="24"/>
                <w:szCs w:val="24"/>
              </w:rPr>
              <w:t>Premessa</w:t>
            </w:r>
            <w:bookmarkEnd w:id="230"/>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4 Condizioni, 1 Osservazione</w:t>
            </w:r>
          </w:p>
        </w:tc>
      </w:tr>
      <w:tr w:rsidR="00541B8B" w:rsidRPr="00541B8B" w:rsidTr="00D20CCA">
        <w:trPr>
          <w:trHeight w:val="69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rPr>
            </w:pPr>
            <w:hyperlink w:anchor="S11a01" w:history="1">
              <w:r w:rsidR="00541B8B" w:rsidRPr="00541B8B">
                <w:rPr>
                  <w:color w:val="0000FF"/>
                  <w:u w:val="single"/>
                </w:rPr>
                <w:t>1</w:t>
              </w:r>
            </w:hyperlink>
            <w:r w:rsidR="00541B8B" w:rsidRPr="00541B8B">
              <w:rPr>
                <w:rFonts w:cs="Arial"/>
              </w:rPr>
              <w:t xml:space="preserve"> – Contenuto disomogeneo con finalità univoca (non rilevato nel parere)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Il contenuto corrisponde al modello delineato dalla legge n. 234/2012 e fisiologicamente interviene su diversi settori normativi.</w:t>
            </w:r>
          </w:p>
        </w:tc>
      </w:tr>
      <w:tr w:rsidR="00541B8B" w:rsidRPr="00541B8B" w:rsidTr="00D20CCA">
        <w:trPr>
          <w:trHeight w:val="697"/>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rPr>
            </w:pPr>
            <w:hyperlink w:anchor="S11a02" w:history="1">
              <w:r w:rsidR="00541B8B" w:rsidRPr="00541B8B">
                <w:rPr>
                  <w:color w:val="0000FF"/>
                  <w:u w:val="single"/>
                </w:rPr>
                <w:t>2</w:t>
              </w:r>
            </w:hyperlink>
            <w:r w:rsidR="00541B8B" w:rsidRPr="00541B8B">
              <w:rPr>
                <w:rFonts w:cs="Arial"/>
              </w:rPr>
              <w:t xml:space="preserve"> – 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60" w:after="120"/>
              <w:ind w:firstLine="0"/>
              <w:contextualSpacing/>
              <w:rPr>
                <w:rFonts w:cs="Arial"/>
              </w:rPr>
            </w:pPr>
            <w:r w:rsidRPr="00541B8B">
              <w:rPr>
                <w:rFonts w:cs="Arial"/>
              </w:rPr>
              <w:t>Principi e criteri direttivi formulati con espressioni che fanno riferimento a mere eventualità o ad opzioni alternative selezionabili dal Governo delegato. Richiamo alle sentenze n. 68/1991 e n. 340/2007 della Corte costituzionale.</w:t>
            </w:r>
          </w:p>
          <w:p w:rsidR="00541B8B" w:rsidRPr="00541B8B" w:rsidRDefault="00541B8B" w:rsidP="00541B8B">
            <w:pPr>
              <w:spacing w:before="100" w:beforeAutospacing="1" w:after="100" w:afterAutospacing="1"/>
              <w:ind w:firstLine="0"/>
              <w:contextualSpacing/>
              <w:rPr>
                <w:rFonts w:cs="Arial"/>
              </w:rPr>
            </w:pPr>
            <w:r w:rsidRPr="00541B8B">
              <w:rPr>
                <w:rFonts w:cs="Arial"/>
              </w:rPr>
              <w:t>Condizione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pPr>
            <w:hyperlink w:anchor="S11a03" w:history="1">
              <w:r w:rsidR="00541B8B" w:rsidRPr="00541B8B">
                <w:rPr>
                  <w:color w:val="0000FF"/>
                  <w:u w:val="single"/>
                </w:rPr>
                <w:t>3</w:t>
              </w:r>
            </w:hyperlink>
            <w:r w:rsidR="00541B8B" w:rsidRPr="00541B8B">
              <w:rPr>
                <w:rFonts w:cs="Arial"/>
              </w:rPr>
              <w:t xml:space="preserve"> – 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Assenza di principi e criteri direttivi specifici: ci si limita ad indicare l’oggetto della delega stessa.</w:t>
            </w:r>
          </w:p>
          <w:p w:rsidR="00541B8B" w:rsidRPr="00541B8B" w:rsidRDefault="00541B8B" w:rsidP="00541B8B">
            <w:pPr>
              <w:spacing w:before="100" w:beforeAutospacing="1" w:after="100" w:afterAutospacing="1"/>
              <w:ind w:firstLine="0"/>
              <w:contextualSpacing/>
              <w:rPr>
                <w:rFonts w:cs="Arial"/>
              </w:rPr>
            </w:pPr>
            <w:r w:rsidRPr="00541B8B">
              <w:rPr>
                <w:rFonts w:cs="Arial"/>
              </w:rPr>
              <w:t>Condizione 2</w:t>
            </w:r>
          </w:p>
        </w:tc>
      </w:tr>
      <w:tr w:rsidR="00541B8B" w:rsidRPr="00541B8B" w:rsidTr="00D20CCA">
        <w:trPr>
          <w:trHeight w:val="944"/>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pPr>
            <w:hyperlink w:anchor="S11a03bis" w:history="1">
              <w:r w:rsidR="00541B8B" w:rsidRPr="00541B8B">
                <w:rPr>
                  <w:color w:val="0000FF"/>
                  <w:u w:val="single"/>
                </w:rPr>
                <w:t>3-</w:t>
              </w:r>
              <w:r w:rsidR="00541B8B" w:rsidRPr="00541B8B">
                <w:rPr>
                  <w:i/>
                  <w:color w:val="0000FF"/>
                  <w:u w:val="single"/>
                </w:rPr>
                <w:t>bis</w:t>
              </w:r>
            </w:hyperlink>
            <w:r w:rsidR="00541B8B" w:rsidRPr="00541B8B">
              <w:t xml:space="preserve"> – Coordinamento con la normativa vigente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La relazione illustrativa indica i profili della normativa nazionale da innovare, modificare e semplificare; risultano già adottati taluni decreti legislativi - in particolare, il decreto legislativo 12 gennaio 2007, n. 11, - volti ad apprestare adeguata tutela penale alle disposizioni dei regolamenti richiamati nelle lettere </w:t>
            </w:r>
            <w:r w:rsidRPr="00541B8B">
              <w:rPr>
                <w:rFonts w:cs="Arial"/>
                <w:i/>
              </w:rPr>
              <w:t>a</w:t>
            </w:r>
            <w:r w:rsidRPr="00541B8B">
              <w:rPr>
                <w:rFonts w:cs="Arial"/>
              </w:rPr>
              <w:t xml:space="preserve">) e </w:t>
            </w:r>
            <w:r w:rsidRPr="00541B8B">
              <w:rPr>
                <w:rFonts w:cs="Arial"/>
                <w:i/>
              </w:rPr>
              <w:t>b</w:t>
            </w:r>
            <w:r w:rsidRPr="00541B8B">
              <w:rPr>
                <w:rFonts w:cs="Arial"/>
              </w:rPr>
              <w:t>.</w:t>
            </w:r>
          </w:p>
          <w:p w:rsidR="00541B8B" w:rsidRPr="00541B8B" w:rsidRDefault="00541B8B" w:rsidP="00541B8B">
            <w:pPr>
              <w:spacing w:before="100" w:beforeAutospacing="1" w:after="100" w:afterAutospacing="1"/>
              <w:ind w:firstLine="0"/>
              <w:contextualSpacing/>
              <w:rPr>
                <w:rFonts w:cs="Arial"/>
              </w:rPr>
            </w:pPr>
            <w:r w:rsidRPr="00541B8B">
              <w:rPr>
                <w:rFonts w:cs="Arial"/>
              </w:rPr>
              <w:t>Condizione 2</w:t>
            </w:r>
          </w:p>
        </w:tc>
      </w:tr>
      <w:tr w:rsidR="00541B8B" w:rsidRPr="00541B8B" w:rsidTr="00D20CCA">
        <w:trPr>
          <w:trHeight w:val="944"/>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pPr>
            <w:hyperlink w:anchor="S11a04" w:history="1">
              <w:r w:rsidR="00541B8B" w:rsidRPr="00541B8B">
                <w:rPr>
                  <w:color w:val="0000FF"/>
                  <w:u w:val="single"/>
                </w:rPr>
                <w:t>4</w:t>
              </w:r>
            </w:hyperlink>
            <w:r w:rsidR="00541B8B" w:rsidRPr="00541B8B">
              <w:t xml:space="preserve"> – </w:t>
            </w:r>
            <w:r w:rsidR="00541B8B" w:rsidRPr="00541B8B">
              <w:rPr>
                <w:rFonts w:cs="Arial"/>
              </w:rPr>
              <w:t>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Alcuni principi e criteri direttivi si riferiscono all’esercizio di una delega legislativa già conferita al Governo, per il recepimento di una direttiva il cui schema è già stato trasmesso alle </w:t>
            </w:r>
            <w:r w:rsidRPr="00541B8B">
              <w:rPr>
                <w:rFonts w:cs="Arial"/>
              </w:rPr>
              <w:lastRenderedPageBreak/>
              <w:t>Camere per l’espressione del relativo parere.</w:t>
            </w:r>
          </w:p>
          <w:p w:rsidR="00541B8B" w:rsidRPr="00541B8B" w:rsidRDefault="00541B8B" w:rsidP="00541B8B">
            <w:pPr>
              <w:spacing w:before="100" w:beforeAutospacing="1" w:after="100" w:afterAutospacing="1"/>
              <w:ind w:firstLine="0"/>
              <w:contextualSpacing/>
              <w:rPr>
                <w:rFonts w:cs="Arial"/>
              </w:rPr>
            </w:pPr>
            <w:r w:rsidRPr="00541B8B">
              <w:rPr>
                <w:rFonts w:cs="Arial"/>
              </w:rPr>
              <w:t>Condizione 3</w:t>
            </w:r>
          </w:p>
        </w:tc>
      </w:tr>
      <w:tr w:rsidR="00541B8B" w:rsidRPr="00541B8B" w:rsidTr="00D20CCA">
        <w:trPr>
          <w:trHeight w:val="944"/>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pPr>
            <w:hyperlink w:anchor="S11a05" w:history="1">
              <w:r w:rsidR="00541B8B" w:rsidRPr="00541B8B">
                <w:rPr>
                  <w:color w:val="0000FF"/>
                  <w:u w:val="single"/>
                </w:rPr>
                <w:t>5</w:t>
              </w:r>
            </w:hyperlink>
            <w:r w:rsidR="00541B8B" w:rsidRPr="00541B8B">
              <w:t xml:space="preserve"> – Riferimenti normativi generici o imprecisi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Osservazione 1</w:t>
            </w:r>
          </w:p>
        </w:tc>
      </w:tr>
      <w:tr w:rsidR="00541B8B" w:rsidRPr="00541B8B" w:rsidTr="00D20CCA">
        <w:trPr>
          <w:trHeight w:val="1568"/>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pPr>
            <w:hyperlink w:anchor="S11a06" w:history="1">
              <w:r w:rsidR="00541B8B" w:rsidRPr="00541B8B">
                <w:rPr>
                  <w:color w:val="0000FF"/>
                  <w:u w:val="single"/>
                </w:rPr>
                <w:t>6</w:t>
              </w:r>
            </w:hyperlink>
            <w:r w:rsidR="00541B8B" w:rsidRPr="00541B8B">
              <w:rPr>
                <w:rFonts w:cs="Arial"/>
              </w:rPr>
              <w:t xml:space="preserve"> – </w:t>
            </w:r>
            <w:r w:rsidR="00541B8B" w:rsidRPr="00541B8B">
              <w:t>Coordinamento interno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 xml:space="preserve">Molti articoli si chiudono con clausola di invarianza finanziaria, che </w:t>
            </w:r>
            <w:proofErr w:type="spellStart"/>
            <w:r w:rsidRPr="00541B8B">
              <w:rPr>
                <w:rFonts w:cs="Arial"/>
              </w:rPr>
              <w:t>sembre-rebbe</w:t>
            </w:r>
            <w:proofErr w:type="spellEnd"/>
            <w:r w:rsidRPr="00541B8B">
              <w:rPr>
                <w:rFonts w:cs="Arial"/>
              </w:rPr>
              <w:t xml:space="preserve"> opportuno concentrare in un’unica disposizione.</w:t>
            </w:r>
          </w:p>
          <w:p w:rsidR="00541B8B" w:rsidRPr="00541B8B" w:rsidRDefault="00541B8B" w:rsidP="00541B8B">
            <w:pPr>
              <w:spacing w:before="100" w:beforeAutospacing="1" w:after="100" w:afterAutospacing="1"/>
              <w:ind w:firstLine="0"/>
              <w:contextualSpacing/>
              <w:rPr>
                <w:rFonts w:cs="Arial"/>
              </w:rPr>
            </w:pPr>
            <w:r w:rsidRPr="00541B8B">
              <w:rPr>
                <w:rFonts w:cs="Arial"/>
              </w:rPr>
              <w:t>Condizione 4</w:t>
            </w:r>
          </w:p>
        </w:tc>
      </w:tr>
      <w:tr w:rsidR="00541B8B" w:rsidRPr="00541B8B" w:rsidTr="00D20CCA">
        <w:trPr>
          <w:trHeight w:val="106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rPr>
            </w:pPr>
            <w:hyperlink w:anchor="S11a07" w:history="1">
              <w:r w:rsidR="00541B8B" w:rsidRPr="00541B8B">
                <w:rPr>
                  <w:rFonts w:cs="Arial"/>
                  <w:color w:val="0000FF"/>
                  <w:u w:val="single"/>
                </w:rPr>
                <w:t>7</w:t>
              </w:r>
            </w:hyperlink>
            <w:r w:rsidR="00541B8B" w:rsidRPr="00541B8B">
              <w:rPr>
                <w:rFonts w:cs="Arial"/>
                <w:color w:val="0000FF"/>
                <w:u w:val="single"/>
              </w:rPr>
              <w:t xml:space="preserve"> </w:t>
            </w:r>
            <w:r w:rsidR="00541B8B" w:rsidRPr="00541B8B">
              <w:t>–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rPr>
            </w:pPr>
            <w:r w:rsidRPr="00541B8B">
              <w:rPr>
                <w:rFonts w:cs="Arial"/>
              </w:rPr>
              <w:t>Presenti.</w:t>
            </w:r>
          </w:p>
        </w:tc>
      </w:tr>
    </w:tbl>
    <w:p w:rsidR="00541B8B" w:rsidRPr="00541B8B" w:rsidRDefault="00541B8B" w:rsidP="00541B8B">
      <w:pPr>
        <w:spacing w:before="60" w:after="60"/>
        <w:contextualSpacing/>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4076"/>
        <w:gridCol w:w="4076"/>
      </w:tblGrid>
      <w:tr w:rsidR="00541B8B" w:rsidRPr="00541B8B" w:rsidTr="00D20CCA">
        <w:tc>
          <w:tcPr>
            <w:tcW w:w="5000" w:type="pct"/>
            <w:gridSpan w:val="2"/>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b/>
                <w:color w:val="0000FF"/>
              </w:rPr>
              <w:t>Rilievi</w:t>
            </w: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rPr>
                <w:rFonts w:cs="Arial"/>
              </w:rPr>
            </w:pPr>
            <w:hyperlink w:anchor="S11C" w:history="1">
              <w:r w:rsidR="00541B8B" w:rsidRPr="00541B8B">
                <w:rPr>
                  <w:color w:val="0000FF"/>
                  <w:u w:val="single"/>
                </w:rPr>
                <w:t>C</w:t>
              </w:r>
            </w:hyperlink>
            <w:r w:rsidR="00541B8B" w:rsidRPr="00541B8B">
              <w:rPr>
                <w:rFonts w:cs="Arial"/>
              </w:rPr>
              <w:t xml:space="preserve"> - Condizioni</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423"/>
        </w:trPr>
        <w:tc>
          <w:tcPr>
            <w:tcW w:w="2500" w:type="pct"/>
            <w:tcBorders>
              <w:top w:val="nil"/>
              <w:left w:val="nil"/>
              <w:bottom w:val="nil"/>
              <w:right w:val="nil"/>
            </w:tcBorders>
          </w:tcPr>
          <w:p w:rsidR="00541B8B" w:rsidRPr="00541B8B" w:rsidRDefault="00DC78AD" w:rsidP="00541B8B">
            <w:pPr>
              <w:keepNext/>
              <w:spacing w:before="100" w:beforeAutospacing="1" w:after="100" w:afterAutospacing="1"/>
              <w:ind w:firstLine="0"/>
              <w:contextualSpacing/>
              <w:jc w:val="left"/>
              <w:rPr>
                <w:rFonts w:cs="Arial"/>
              </w:rPr>
            </w:pPr>
            <w:hyperlink w:anchor="S11O" w:history="1">
              <w:r w:rsidR="00541B8B" w:rsidRPr="00541B8B">
                <w:rPr>
                  <w:rFonts w:cs="Arial"/>
                  <w:color w:val="0000FF"/>
                  <w:u w:val="single"/>
                </w:rPr>
                <w:t>O</w:t>
              </w:r>
            </w:hyperlink>
            <w:r w:rsidR="00541B8B" w:rsidRPr="00541B8B">
              <w:rPr>
                <w:rFonts w:cs="Arial"/>
              </w:rPr>
              <w:t xml:space="preserve"> - Osservazioni</w:t>
            </w:r>
          </w:p>
        </w:tc>
        <w:tc>
          <w:tcPr>
            <w:tcW w:w="2500" w:type="pct"/>
            <w:tcBorders>
              <w:top w:val="nil"/>
              <w:left w:val="nil"/>
              <w:bottom w:val="nil"/>
              <w:right w:val="nil"/>
            </w:tcBorders>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pPr>
    </w:p>
    <w:p w:rsidR="00541B8B" w:rsidRPr="00541B8B" w:rsidRDefault="00541B8B" w:rsidP="00541B8B">
      <w:pPr>
        <w:spacing w:before="60" w:after="60"/>
        <w:ind w:firstLine="0"/>
        <w:contextualSpacing/>
      </w:pPr>
    </w:p>
    <w:tbl>
      <w:tblPr>
        <w:tblStyle w:val="Grigliatabella"/>
        <w:tblW w:w="5000" w:type="pct"/>
        <w:tblLook w:val="01E0" w:firstRow="1" w:lastRow="1" w:firstColumn="1" w:lastColumn="1" w:noHBand="0" w:noVBand="0"/>
      </w:tblPr>
      <w:tblGrid>
        <w:gridCol w:w="8152"/>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sz w:val="24"/>
              </w:rPr>
            </w:pPr>
            <w:r w:rsidRPr="00541B8B">
              <w:rPr>
                <w:rFonts w:cs="Arial"/>
                <w:i/>
                <w:sz w:val="24"/>
              </w:rPr>
              <w:t>Sentenze della Corte costituzionale:</w:t>
            </w:r>
            <w:r w:rsidRPr="00541B8B">
              <w:rPr>
                <w:rFonts w:cs="Arial"/>
                <w:sz w:val="24"/>
              </w:rPr>
              <w:t xml:space="preserve"> </w:t>
            </w:r>
            <w:r w:rsidRPr="00541B8B">
              <w:rPr>
                <w:rFonts w:cs="Arial"/>
              </w:rPr>
              <w:t>n. 68/1991 e n. 340/2007</w:t>
            </w:r>
            <w:r w:rsidRPr="00541B8B">
              <w:rPr>
                <w:rFonts w:cs="Arial"/>
                <w:i/>
              </w:rPr>
              <w:t>.</w:t>
            </w:r>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60" w:after="60"/>
        <w:contextualSpacing/>
        <w:rPr>
          <w:rFonts w:cs="Arial"/>
          <w:szCs w:val="22"/>
        </w:rPr>
      </w:pPr>
      <w:bookmarkStart w:id="231" w:name="S11a01"/>
      <w:r w:rsidRPr="00541B8B">
        <w:rPr>
          <w:rFonts w:cs="Arial"/>
          <w:szCs w:val="22"/>
        </w:rPr>
        <w:t>1</w:t>
      </w:r>
      <w:bookmarkEnd w:id="231"/>
      <w:r w:rsidRPr="00541B8B">
        <w:rPr>
          <w:rFonts w:cs="Arial"/>
          <w:szCs w:val="22"/>
        </w:rPr>
        <w:t xml:space="preserve"> – </w:t>
      </w:r>
      <w:hyperlink w:anchor="premessa11"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disegno di legge, che si compone di 14 articoli e di 2 allegati, reca un contenuto corrispondente al modello delineato dalla legge n. 234 del 2012 e contiene le deleghe al Governo per il recepimento delle direttive europee e l'attuazione di altri atti dell'Unione europea, rispondendo all'esigenza di adempiere all'obbligo di adeguare l'ordinamento interno alla normativa europea non direttamente applicabile, mediante uno strumento che fisiologicamente </w:t>
      </w:r>
      <w:r w:rsidRPr="00541B8B">
        <w:rPr>
          <w:rFonts w:cs="Arial"/>
          <w:b/>
          <w:szCs w:val="22"/>
        </w:rPr>
        <w:t>interviene su diversi settori normativi</w:t>
      </w:r>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contextualSpacing/>
        <w:rPr>
          <w:rFonts w:cs="Arial"/>
          <w:szCs w:val="22"/>
        </w:rPr>
      </w:pPr>
      <w:bookmarkStart w:id="232" w:name="S11a02"/>
      <w:r w:rsidRPr="00541B8B">
        <w:rPr>
          <w:rFonts w:cs="Arial"/>
          <w:szCs w:val="22"/>
        </w:rPr>
        <w:t>2</w:t>
      </w:r>
      <w:bookmarkEnd w:id="232"/>
      <w:r w:rsidRPr="00541B8B">
        <w:rPr>
          <w:rFonts w:cs="Arial"/>
          <w:szCs w:val="22"/>
        </w:rPr>
        <w:t xml:space="preserve"> – </w:t>
      </w:r>
      <w:hyperlink w:anchor="premessa1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«taluni </w:t>
      </w:r>
      <w:r w:rsidRPr="00541B8B">
        <w:rPr>
          <w:rFonts w:cs="Arial"/>
          <w:b/>
          <w:szCs w:val="22"/>
        </w:rPr>
        <w:t>principi e criteri direttivi</w:t>
      </w:r>
      <w:r w:rsidRPr="00541B8B">
        <w:rPr>
          <w:rFonts w:cs="Arial"/>
          <w:szCs w:val="22"/>
        </w:rPr>
        <w:t xml:space="preserve"> sono formulati con espressioni che fanno riferimento a </w:t>
      </w:r>
      <w:r w:rsidRPr="00541B8B">
        <w:rPr>
          <w:rFonts w:cs="Arial"/>
          <w:b/>
          <w:szCs w:val="22"/>
        </w:rPr>
        <w:t>mere eventualità ossia a opzioni alternative selezionabili dal Governo delegato</w:t>
      </w:r>
      <w:r w:rsidRPr="00541B8B">
        <w:rPr>
          <w:rFonts w:cs="Arial"/>
          <w:szCs w:val="22"/>
        </w:rPr>
        <w:t xml:space="preserve">; in particolare, l’articolo 13, comma 1, nell’enucleare i </w:t>
      </w:r>
      <w:r w:rsidRPr="00541B8B">
        <w:rPr>
          <w:rFonts w:cs="Arial"/>
          <w:iCs/>
          <w:szCs w:val="22"/>
        </w:rPr>
        <w:t>princìpi e criteri direttivi per l'attuazione della direttiva 2014/92/UE, sulla comparabilità delle spese relative al conto di pagamento, sul trasferimento del conto di pagamento e sull'accesso al conto di pagamento</w:t>
      </w:r>
      <w:r w:rsidRPr="00541B8B">
        <w:rPr>
          <w:rFonts w:cs="Arial"/>
          <w:szCs w:val="22"/>
        </w:rPr>
        <w:t xml:space="preserve">: alla </w:t>
      </w:r>
      <w:r w:rsidRPr="00541B8B">
        <w:rPr>
          <w:rFonts w:cs="Arial"/>
          <w:szCs w:val="22"/>
        </w:rPr>
        <w:lastRenderedPageBreak/>
        <w:t xml:space="preserve">lettera </w:t>
      </w:r>
      <w:r w:rsidRPr="00541B8B">
        <w:rPr>
          <w:rFonts w:cs="Arial"/>
          <w:i/>
          <w:szCs w:val="22"/>
        </w:rPr>
        <w:t>h</w:t>
      </w:r>
      <w:r w:rsidRPr="00541B8B">
        <w:rPr>
          <w:rFonts w:cs="Arial"/>
          <w:szCs w:val="22"/>
        </w:rPr>
        <w:t xml:space="preserve">), numero 1), </w:t>
      </w:r>
      <w:r w:rsidRPr="00541B8B">
        <w:rPr>
          <w:rFonts w:cs="Arial"/>
          <w:iCs/>
          <w:szCs w:val="22"/>
        </w:rPr>
        <w:t>affida al Governo il compito di “</w:t>
      </w:r>
      <w:r w:rsidRPr="00541B8B">
        <w:rPr>
          <w:rFonts w:cs="Arial"/>
          <w:i/>
          <w:iCs/>
          <w:szCs w:val="22"/>
        </w:rPr>
        <w:t>valutare</w:t>
      </w:r>
      <w:r w:rsidRPr="00541B8B">
        <w:rPr>
          <w:rFonts w:cs="Arial"/>
          <w:iCs/>
          <w:szCs w:val="22"/>
        </w:rPr>
        <w:t xml:space="preserve"> l'estensione della disciplina recata dagli articoli 2 e 2-</w:t>
      </w:r>
      <w:r w:rsidRPr="00541B8B">
        <w:rPr>
          <w:rFonts w:cs="Arial"/>
          <w:i/>
          <w:iCs/>
          <w:szCs w:val="22"/>
        </w:rPr>
        <w:t>bis</w:t>
      </w:r>
      <w:r w:rsidRPr="00541B8B">
        <w:rPr>
          <w:rFonts w:cs="Arial"/>
          <w:iCs/>
          <w:szCs w:val="22"/>
        </w:rPr>
        <w:t xml:space="preserve"> del decreto-legge 24 gennaio 2015, n. 3, (…) anche” a casi ulteriori rispetto a quelli ivi contemplati</w:t>
      </w:r>
      <w:r w:rsidRPr="00541B8B">
        <w:rPr>
          <w:rFonts w:cs="Arial"/>
          <w:szCs w:val="22"/>
        </w:rPr>
        <w:t xml:space="preserve">; alla lettera </w:t>
      </w:r>
      <w:r w:rsidRPr="00541B8B">
        <w:rPr>
          <w:rFonts w:cs="Arial"/>
          <w:i/>
          <w:szCs w:val="22"/>
        </w:rPr>
        <w:t>h)</w:t>
      </w:r>
      <w:r w:rsidRPr="00541B8B">
        <w:rPr>
          <w:rFonts w:cs="Arial"/>
          <w:szCs w:val="22"/>
        </w:rPr>
        <w:t>, numero 4), delega il Governo a “</w:t>
      </w:r>
      <w:r w:rsidRPr="00541B8B">
        <w:rPr>
          <w:rFonts w:cs="Arial"/>
          <w:i/>
          <w:szCs w:val="22"/>
        </w:rPr>
        <w:t>valutare</w:t>
      </w:r>
      <w:r w:rsidRPr="00541B8B">
        <w:rPr>
          <w:rFonts w:cs="Arial"/>
          <w:szCs w:val="22"/>
        </w:rPr>
        <w:t xml:space="preserve"> se introdurre meccanismi di trasferimento alternativi (…)”; alla lettera </w:t>
      </w:r>
      <w:r w:rsidRPr="00541B8B">
        <w:rPr>
          <w:rFonts w:cs="Arial"/>
          <w:i/>
          <w:szCs w:val="22"/>
        </w:rPr>
        <w:t>i</w:t>
      </w:r>
      <w:r w:rsidRPr="00541B8B">
        <w:rPr>
          <w:rFonts w:cs="Arial"/>
          <w:szCs w:val="22"/>
        </w:rPr>
        <w:t xml:space="preserve">), numero 5), delega il Governo a “prevedere, </w:t>
      </w:r>
      <w:r w:rsidRPr="00541B8B">
        <w:rPr>
          <w:rFonts w:cs="Arial"/>
          <w:i/>
          <w:szCs w:val="22"/>
        </w:rPr>
        <w:t>ove opportuno</w:t>
      </w:r>
      <w:r w:rsidRPr="00541B8B">
        <w:rPr>
          <w:rFonts w:cs="Arial"/>
          <w:szCs w:val="22"/>
        </w:rPr>
        <w:t xml:space="preserve">, un numero minimo di operazioni comprese nel canone annuo (…)”. In altri casi, l’eventualità si riferisce all’attribuzione di funzioni e di potestà normative: in particolare, l’articolo 10, comma 1, lettera </w:t>
      </w:r>
      <w:r w:rsidRPr="00541B8B">
        <w:rPr>
          <w:rFonts w:cs="Arial"/>
          <w:i/>
          <w:szCs w:val="22"/>
        </w:rPr>
        <w:t>d</w:t>
      </w:r>
      <w:r w:rsidRPr="00541B8B">
        <w:rPr>
          <w:rFonts w:cs="Arial"/>
          <w:szCs w:val="22"/>
        </w:rPr>
        <w:t xml:space="preserve">), delega il Governo a “attribuire, </w:t>
      </w:r>
      <w:r w:rsidRPr="00541B8B">
        <w:rPr>
          <w:rFonts w:cs="Arial"/>
          <w:i/>
          <w:szCs w:val="22"/>
        </w:rPr>
        <w:t>ove del caso</w:t>
      </w:r>
      <w:r w:rsidRPr="00541B8B">
        <w:rPr>
          <w:rFonts w:cs="Arial"/>
          <w:szCs w:val="22"/>
        </w:rPr>
        <w:t xml:space="preserve">, alle autorità designate ai sensi delle lettere </w:t>
      </w:r>
      <w:r w:rsidRPr="00541B8B">
        <w:rPr>
          <w:rFonts w:cs="Arial"/>
          <w:i/>
          <w:iCs/>
          <w:szCs w:val="22"/>
        </w:rPr>
        <w:t>b)</w:t>
      </w:r>
      <w:r w:rsidRPr="00541B8B">
        <w:rPr>
          <w:rFonts w:cs="Arial"/>
          <w:szCs w:val="22"/>
        </w:rPr>
        <w:t xml:space="preserve"> e </w:t>
      </w:r>
      <w:r w:rsidRPr="00541B8B">
        <w:rPr>
          <w:rFonts w:cs="Arial"/>
          <w:i/>
          <w:iCs/>
          <w:szCs w:val="22"/>
        </w:rPr>
        <w:t>c)</w:t>
      </w:r>
      <w:r w:rsidRPr="00541B8B">
        <w:rPr>
          <w:rFonts w:cs="Arial"/>
          <w:szCs w:val="22"/>
        </w:rPr>
        <w:t xml:space="preserve"> i poteri di vigilanza e di indagine previsti dal regolamento (UE) n. 751/2015 e, </w:t>
      </w:r>
      <w:r w:rsidRPr="00541B8B">
        <w:rPr>
          <w:rFonts w:cs="Arial"/>
          <w:i/>
          <w:szCs w:val="22"/>
        </w:rPr>
        <w:t>ove opportuno</w:t>
      </w:r>
      <w:r w:rsidRPr="00541B8B">
        <w:rPr>
          <w:rFonts w:cs="Arial"/>
          <w:szCs w:val="22"/>
        </w:rPr>
        <w:t xml:space="preserve">, il potere di adottare disposizioni di disciplina secondaria funzionali a (…)” una serie di obiettivi; l’articolo 11, comma 2, lettera </w:t>
      </w:r>
      <w:r w:rsidRPr="00541B8B">
        <w:rPr>
          <w:rFonts w:cs="Arial"/>
          <w:i/>
          <w:szCs w:val="22"/>
        </w:rPr>
        <w:t>a</w:t>
      </w:r>
      <w:r w:rsidRPr="00541B8B">
        <w:rPr>
          <w:rFonts w:cs="Arial"/>
          <w:szCs w:val="22"/>
        </w:rPr>
        <w:t>) delega il Governo ad</w:t>
      </w:r>
      <w:r w:rsidRPr="00541B8B">
        <w:rPr>
          <w:rFonts w:cs="Arial"/>
          <w:b/>
          <w:szCs w:val="22"/>
        </w:rPr>
        <w:t xml:space="preserve"> </w:t>
      </w:r>
      <w:r w:rsidRPr="00541B8B">
        <w:rPr>
          <w:rFonts w:cs="Arial"/>
          <w:szCs w:val="22"/>
        </w:rPr>
        <w:t xml:space="preserve">“apportare al testo unico delle disposizioni in materia di intermediazione finanziaria, di cui al decreto legislativo 24 febbraio 1998, n. 58, le modificazioni necessarie all'applicazione del regolamento (UE) n. 2015/760, prevedendo, </w:t>
      </w:r>
      <w:r w:rsidRPr="00541B8B">
        <w:rPr>
          <w:rFonts w:cs="Arial"/>
          <w:i/>
          <w:szCs w:val="22"/>
        </w:rPr>
        <w:t>ove opportuno</w:t>
      </w:r>
      <w:r w:rsidRPr="00541B8B">
        <w:rPr>
          <w:rFonts w:cs="Arial"/>
          <w:szCs w:val="22"/>
        </w:rPr>
        <w:t>, il ricorso alla disciplina secondaria e attribuendo le competenze e i poteri di vigilanza e di indagine previsti nel regolamento alla Banca d'Italia e alla CONSOB (…)”; l’articolo 12, comma 1, alinea, nell’introdurre i principi e criteri direttivi per l'esercizio della delega per l'attuazione della direttiva 2014/17/UE, già prevista dall'articolo 1, comma 1, e dall'allegato B della legge 9 luglio 2015, n. 114, attribuisce al Governo la facoltà di prevedere “</w:t>
      </w:r>
      <w:r w:rsidRPr="00541B8B">
        <w:rPr>
          <w:rFonts w:cs="Arial"/>
          <w:i/>
          <w:szCs w:val="22"/>
        </w:rPr>
        <w:t>ove opportuno</w:t>
      </w:r>
      <w:r w:rsidRPr="00541B8B">
        <w:rPr>
          <w:rFonts w:cs="Arial"/>
          <w:szCs w:val="22"/>
        </w:rPr>
        <w:t xml:space="preserve">, il ricorso alla disciplina secondaria della Banca d'Italia senza necessità di previa deliberazione del Comitato interministeriale per il credito e il risparmio (CICR) e considerando le linee guida emanate dall'Autorità bancaria europea e i regolamenti adottati, ai sensi dell'articolo 17, comma 3, della legge 23 agosto 1988, n. 400, dal Ministro dell'economia e delle finanze”; infine, l’articolo 14, comma 2, lettera </w:t>
      </w:r>
      <w:r w:rsidRPr="00541B8B">
        <w:rPr>
          <w:rFonts w:cs="Arial"/>
          <w:i/>
          <w:szCs w:val="22"/>
        </w:rPr>
        <w:t>n</w:t>
      </w:r>
      <w:r w:rsidRPr="00541B8B">
        <w:rPr>
          <w:rFonts w:cs="Arial"/>
          <w:szCs w:val="22"/>
        </w:rPr>
        <w:t>), delega il Governo a prevedere, “</w:t>
      </w:r>
      <w:r w:rsidRPr="00541B8B">
        <w:rPr>
          <w:rFonts w:cs="Arial"/>
          <w:i/>
          <w:szCs w:val="22"/>
        </w:rPr>
        <w:t>ove opportuno</w:t>
      </w:r>
      <w:r w:rsidRPr="00541B8B">
        <w:rPr>
          <w:rFonts w:cs="Arial"/>
          <w:szCs w:val="22"/>
        </w:rPr>
        <w:t xml:space="preserve">, il ricorso alla normativa secondaria”. In relazione a tutte le anzidette fattispecie, si segnala che, in un </w:t>
      </w:r>
      <w:proofErr w:type="spellStart"/>
      <w:r w:rsidRPr="00541B8B">
        <w:rPr>
          <w:rFonts w:cs="Arial"/>
          <w:i/>
          <w:szCs w:val="22"/>
        </w:rPr>
        <w:t>obiter</w:t>
      </w:r>
      <w:proofErr w:type="spellEnd"/>
      <w:r w:rsidRPr="00541B8B">
        <w:rPr>
          <w:rFonts w:cs="Arial"/>
          <w:i/>
          <w:szCs w:val="22"/>
        </w:rPr>
        <w:t xml:space="preserve"> </w:t>
      </w:r>
      <w:proofErr w:type="spellStart"/>
      <w:r w:rsidRPr="00541B8B">
        <w:rPr>
          <w:rFonts w:cs="Arial"/>
          <w:i/>
          <w:szCs w:val="22"/>
        </w:rPr>
        <w:t>dictum</w:t>
      </w:r>
      <w:proofErr w:type="spellEnd"/>
      <w:r w:rsidRPr="00541B8B">
        <w:rPr>
          <w:rFonts w:cs="Arial"/>
          <w:szCs w:val="22"/>
        </w:rPr>
        <w:t>, la Corte costituzionale ha rilevato che: “</w:t>
      </w:r>
      <w:r w:rsidRPr="00541B8B">
        <w:rPr>
          <w:rFonts w:cs="Arial"/>
          <w:i/>
          <w:szCs w:val="22"/>
        </w:rPr>
        <w:t>il libero apprezzamento del legislatore delegato non può mai assurgere a principio od a criterio direttivo, in quanto agli antipodi di una legislazione vincolata, quale è, per definizione, la legislazione su delega</w:t>
      </w:r>
      <w:r w:rsidRPr="00541B8B">
        <w:rPr>
          <w:rFonts w:cs="Arial"/>
          <w:szCs w:val="22"/>
        </w:rPr>
        <w:t>” (sentenze n. 68 del 1991 e n. 340 del 2007)» (</w:t>
      </w:r>
      <w:hyperlink w:anchor="S11c01"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contextualSpacing/>
        <w:rPr>
          <w:rFonts w:cs="Arial"/>
          <w:szCs w:val="22"/>
        </w:rPr>
      </w:pPr>
      <w:bookmarkStart w:id="233" w:name="S11a03"/>
      <w:r w:rsidRPr="00541B8B">
        <w:rPr>
          <w:rFonts w:cs="Arial"/>
          <w:szCs w:val="22"/>
        </w:rPr>
        <w:t>3</w:t>
      </w:r>
      <w:bookmarkEnd w:id="233"/>
      <w:r w:rsidRPr="00541B8B">
        <w:rPr>
          <w:rFonts w:cs="Arial"/>
          <w:szCs w:val="22"/>
        </w:rPr>
        <w:t xml:space="preserve"> – </w:t>
      </w:r>
      <w:hyperlink w:anchor="premessa1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«sempre con riferimento alla </w:t>
      </w:r>
      <w:r w:rsidRPr="00541B8B">
        <w:rPr>
          <w:rFonts w:cs="Arial"/>
          <w:b/>
          <w:szCs w:val="22"/>
        </w:rPr>
        <w:t>formulazione delle norme di delega</w:t>
      </w:r>
      <w:r w:rsidRPr="00541B8B">
        <w:rPr>
          <w:rFonts w:cs="Arial"/>
          <w:szCs w:val="22"/>
        </w:rPr>
        <w:t xml:space="preserve">, l’articolo 6, comma 2, nell’enucleare i principi e criteri direttivi per l’adeguamento della normativa nazionale alle disposizioni dell’Unione europea e agli accordi internazionali in materia di prodotti e di tecnologie a duplice uso, di sanzioni in materia di embarghi commerciali, di commercio di strumenti di tortura, nonché per ogni tipologia di operazione di esportazione di materiali proliferanti, alle lettere </w:t>
      </w:r>
      <w:r w:rsidRPr="00541B8B">
        <w:rPr>
          <w:rFonts w:cs="Arial"/>
          <w:i/>
          <w:szCs w:val="22"/>
        </w:rPr>
        <w:t>a</w:t>
      </w:r>
      <w:r w:rsidRPr="00541B8B">
        <w:rPr>
          <w:rFonts w:cs="Arial"/>
          <w:szCs w:val="22"/>
        </w:rPr>
        <w:t xml:space="preserve">) e </w:t>
      </w:r>
      <w:r w:rsidRPr="00541B8B">
        <w:rPr>
          <w:rFonts w:cs="Arial"/>
          <w:i/>
          <w:szCs w:val="22"/>
        </w:rPr>
        <w:t>b</w:t>
      </w:r>
      <w:r w:rsidRPr="00541B8B">
        <w:rPr>
          <w:rFonts w:cs="Arial"/>
          <w:szCs w:val="22"/>
        </w:rPr>
        <w:t xml:space="preserve">) </w:t>
      </w:r>
      <w:r w:rsidRPr="00541B8B">
        <w:rPr>
          <w:rFonts w:cs="Arial"/>
          <w:b/>
          <w:szCs w:val="22"/>
        </w:rPr>
        <w:t>si limita ad indicare l’oggetto del decreto legislativo</w:t>
      </w:r>
      <w:r w:rsidRPr="00541B8B">
        <w:rPr>
          <w:rFonts w:cs="Arial"/>
          <w:szCs w:val="22"/>
        </w:rPr>
        <w:t xml:space="preserve">, </w:t>
      </w:r>
      <w:r w:rsidRPr="00541B8B">
        <w:rPr>
          <w:rFonts w:cs="Arial"/>
          <w:szCs w:val="22"/>
        </w:rPr>
        <w:lastRenderedPageBreak/>
        <w:t>consistente nell’adeguamento a 5 regolamenti europei» (</w:t>
      </w:r>
      <w:hyperlink w:anchor="S11c02"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34" w:name="S11a03bis"/>
      <w:r w:rsidRPr="00541B8B">
        <w:rPr>
          <w:rFonts w:cs="Arial"/>
          <w:szCs w:val="22"/>
        </w:rPr>
        <w:t>3</w:t>
      </w:r>
      <w:r w:rsidR="00F56AFB">
        <w:rPr>
          <w:rFonts w:cs="Arial"/>
          <w:szCs w:val="22"/>
        </w:rPr>
        <w:t xml:space="preserve"> </w:t>
      </w:r>
      <w:r w:rsidRPr="00541B8B">
        <w:rPr>
          <w:rFonts w:cs="Arial"/>
          <w:szCs w:val="22"/>
        </w:rPr>
        <w:t>-</w:t>
      </w:r>
      <w:r w:rsidR="00F56AFB">
        <w:rPr>
          <w:rFonts w:cs="Arial"/>
          <w:szCs w:val="22"/>
        </w:rPr>
        <w:t xml:space="preserve"> </w:t>
      </w:r>
      <w:r w:rsidRPr="00541B8B">
        <w:rPr>
          <w:rFonts w:cs="Arial"/>
          <w:i/>
          <w:szCs w:val="22"/>
        </w:rPr>
        <w:t>bis</w:t>
      </w:r>
      <w:r w:rsidRPr="00541B8B">
        <w:rPr>
          <w:rFonts w:cs="Arial"/>
          <w:szCs w:val="22"/>
        </w:rPr>
        <w:t xml:space="preserve"> </w:t>
      </w:r>
      <w:bookmarkEnd w:id="234"/>
      <w:r w:rsidRPr="00541B8B">
        <w:rPr>
          <w:rFonts w:cs="Arial"/>
          <w:szCs w:val="22"/>
        </w:rPr>
        <w:t xml:space="preserve">– </w:t>
      </w:r>
      <w:hyperlink w:anchor="premessa1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«si segnala che la relazione illustrativa indica i diversi profili della normativa nazionale che appare necessario innovare, modificare e semplificare e che </w:t>
      </w:r>
      <w:r w:rsidRPr="00541B8B">
        <w:rPr>
          <w:rFonts w:cs="Arial"/>
          <w:b/>
          <w:szCs w:val="22"/>
        </w:rPr>
        <w:t>risultano già adottati taluni decreti legislativi</w:t>
      </w:r>
      <w:r w:rsidRPr="00541B8B">
        <w:rPr>
          <w:rFonts w:cs="Arial"/>
          <w:szCs w:val="22"/>
        </w:rPr>
        <w:t xml:space="preserve"> - in particolare, il decreto legislativo 12 gennaio 2007, n. 11, - volti ad apprestare adeguata tutela penale alle disposizioni dei regolamenti richiamati nelle lettere </w:t>
      </w:r>
      <w:r w:rsidRPr="00541B8B">
        <w:rPr>
          <w:rFonts w:cs="Arial"/>
          <w:i/>
          <w:szCs w:val="22"/>
        </w:rPr>
        <w:t>a</w:t>
      </w:r>
      <w:r w:rsidRPr="00541B8B">
        <w:rPr>
          <w:rFonts w:cs="Arial"/>
          <w:szCs w:val="22"/>
        </w:rPr>
        <w:t xml:space="preserve">) e </w:t>
      </w:r>
      <w:r w:rsidRPr="00541B8B">
        <w:rPr>
          <w:rFonts w:cs="Arial"/>
          <w:i/>
          <w:szCs w:val="22"/>
        </w:rPr>
        <w:t>b</w:t>
      </w:r>
      <w:r w:rsidRPr="00541B8B">
        <w:rPr>
          <w:rFonts w:cs="Arial"/>
          <w:szCs w:val="22"/>
        </w:rPr>
        <w:t>)» (</w:t>
      </w:r>
      <w:hyperlink w:anchor="S11c02"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35" w:name="S11a04"/>
      <w:r w:rsidRPr="00541B8B">
        <w:rPr>
          <w:rFonts w:cs="Arial"/>
          <w:szCs w:val="22"/>
        </w:rPr>
        <w:t>4</w:t>
      </w:r>
      <w:bookmarkEnd w:id="235"/>
      <w:r w:rsidRPr="00541B8B">
        <w:rPr>
          <w:rFonts w:cs="Arial"/>
          <w:szCs w:val="22"/>
        </w:rPr>
        <w:t xml:space="preserve"> – </w:t>
      </w:r>
      <w:hyperlink w:anchor="premessa1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all’articolo 12, reca principi e criteri direttivi specifici per l’esercizio </w:t>
      </w:r>
      <w:r w:rsidRPr="00541B8B">
        <w:rPr>
          <w:rFonts w:cs="Arial"/>
          <w:b/>
          <w:szCs w:val="22"/>
        </w:rPr>
        <w:t>di una delega legislativa già conferita al Governo</w:t>
      </w:r>
      <w:r w:rsidRPr="00541B8B">
        <w:rPr>
          <w:rFonts w:cs="Arial"/>
          <w:szCs w:val="22"/>
        </w:rPr>
        <w:t xml:space="preserve"> per il recepimento della direttiva 2014/17/UE sui contratti di credito ai consumatori relativi a beni immobili residenziali, per il recepimento della quale è già stato trasmesso alle Camere lo schema di decreto legislativo per l’espressione del relativo parere» (</w:t>
      </w:r>
      <w:hyperlink w:anchor="S11c03"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36" w:name="S11a05"/>
      <w:r w:rsidRPr="00541B8B">
        <w:rPr>
          <w:rFonts w:cs="Arial"/>
          <w:szCs w:val="22"/>
        </w:rPr>
        <w:t>5</w:t>
      </w:r>
      <w:bookmarkEnd w:id="236"/>
      <w:r w:rsidRPr="00541B8B">
        <w:rPr>
          <w:rFonts w:cs="Arial"/>
          <w:szCs w:val="22"/>
        </w:rPr>
        <w:t xml:space="preserve"> – </w:t>
      </w:r>
      <w:hyperlink w:anchor="premessa1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all’articolo 14, comma 2, che prevede l’osservanza dei “</w:t>
      </w:r>
      <w:r w:rsidRPr="00541B8B">
        <w:rPr>
          <w:rFonts w:cs="Arial"/>
          <w:i/>
          <w:szCs w:val="22"/>
        </w:rPr>
        <w:t>principi e criteri direttivi di cui all’articolo 1, comma 1, in quanto compatibili</w:t>
      </w:r>
      <w:r w:rsidRPr="00541B8B">
        <w:rPr>
          <w:rFonts w:cs="Arial"/>
          <w:szCs w:val="22"/>
        </w:rPr>
        <w:t xml:space="preserve">” contiene un </w:t>
      </w:r>
      <w:r w:rsidRPr="00541B8B">
        <w:rPr>
          <w:rFonts w:cs="Arial"/>
          <w:b/>
          <w:szCs w:val="22"/>
        </w:rPr>
        <w:t>rinvio normativo</w:t>
      </w:r>
      <w:r w:rsidRPr="00541B8B">
        <w:rPr>
          <w:rFonts w:cs="Arial"/>
          <w:szCs w:val="22"/>
        </w:rPr>
        <w:t xml:space="preserve"> formulato in forma imprecisa che sarebbe opportuno specificare» (</w:t>
      </w:r>
      <w:hyperlink w:anchor="S11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i/>
          <w:iCs/>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37" w:name="S11a06"/>
      <w:r w:rsidRPr="00541B8B">
        <w:rPr>
          <w:rFonts w:cs="Arial"/>
          <w:szCs w:val="22"/>
        </w:rPr>
        <w:t>6</w:t>
      </w:r>
      <w:bookmarkEnd w:id="237"/>
      <w:r w:rsidRPr="00541B8B">
        <w:rPr>
          <w:rFonts w:cs="Arial"/>
          <w:szCs w:val="22"/>
        </w:rPr>
        <w:t xml:space="preserve"> – </w:t>
      </w:r>
      <w:hyperlink w:anchor="premessa1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«in ciascuno degli articoli 3, 5, 6, 7, 8, 9, 10, 11, 12 e 13, il disegno di legge reca una disposizione di tenore sostanzialmente analogo contenente una clausola di invarianza finanziaria, mentre negli articoli 4 e 14, rispettivamente ai commi 5 e 3, reca clausole più complesse e articolate: per il futuro sembrerebbe opportuno concentrare tutte le suddette disposizioni contenenti clausole di invarianza finanziaria in un’unica disposizione, coordinata con la previsione generale in ordine alla copertura finanziaria del provvedimento, contenuta all’articolo 1, comma 3» (</w:t>
      </w:r>
      <w:hyperlink w:anchor="S11c04"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38" w:name="S11a07"/>
      <w:r w:rsidRPr="00541B8B">
        <w:rPr>
          <w:rFonts w:cs="Arial"/>
          <w:szCs w:val="22"/>
        </w:rPr>
        <w:t>7</w:t>
      </w:r>
      <w:bookmarkEnd w:id="238"/>
      <w:r w:rsidRPr="00541B8B">
        <w:rPr>
          <w:rFonts w:cs="Arial"/>
          <w:szCs w:val="22"/>
        </w:rPr>
        <w:t xml:space="preserve"> – </w:t>
      </w:r>
      <w:hyperlink w:anchor="premessa1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risulta corredato sia dell’analisi tecnico-normativa (</w:t>
      </w:r>
      <w:r w:rsidRPr="00541B8B">
        <w:rPr>
          <w:rFonts w:cs="Arial"/>
          <w:b/>
          <w:szCs w:val="22"/>
        </w:rPr>
        <w:t>ATN</w:t>
      </w:r>
      <w:r w:rsidRPr="00541B8B">
        <w:rPr>
          <w:rFonts w:cs="Arial"/>
          <w:szCs w:val="22"/>
        </w:rPr>
        <w:t>) sia dell’analisi di impatto della regolamentazione (</w:t>
      </w:r>
      <w:r w:rsidRPr="00541B8B">
        <w:rPr>
          <w:rFonts w:cs="Arial"/>
          <w:b/>
          <w:szCs w:val="22"/>
        </w:rPr>
        <w:t>AIR</w:t>
      </w:r>
      <w:r w:rsidRPr="00541B8B">
        <w:rPr>
          <w:rFonts w:cs="Arial"/>
          <w:szCs w:val="22"/>
        </w:rPr>
        <w:t xml:space="preserve">) »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239" w:name="S11C"/>
      <w:r w:rsidRPr="00541B8B">
        <w:rPr>
          <w:rFonts w:cs="Arial"/>
          <w:b/>
          <w:szCs w:val="22"/>
        </w:rPr>
        <w:lastRenderedPageBreak/>
        <w:t>Condizioni</w:t>
      </w:r>
      <w:bookmarkEnd w:id="239"/>
      <w:r w:rsidRPr="00541B8B">
        <w:rPr>
          <w:rFonts w:cs="Arial"/>
          <w:szCs w:val="22"/>
        </w:rPr>
        <w:t xml:space="preserve">: </w:t>
      </w:r>
      <w:r w:rsidRPr="00541B8B">
        <w:rPr>
          <w:rFonts w:cs="Arial"/>
          <w:szCs w:val="22"/>
        </w:rPr>
        <w:br/>
      </w:r>
      <w:r w:rsidRPr="00541B8B">
        <w:rPr>
          <w:rFonts w:cs="Arial"/>
          <w:i/>
          <w:szCs w:val="22"/>
        </w:rPr>
        <w:t>sotto il profilo dell’efficacia del testo per la semplificazione e il riordinamento della legislazione vigente:</w:t>
      </w:r>
    </w:p>
    <w:p w:rsidR="00541B8B" w:rsidRPr="00541B8B" w:rsidRDefault="00541B8B" w:rsidP="00541B8B">
      <w:pPr>
        <w:spacing w:before="60" w:after="60"/>
        <w:ind w:left="567" w:hanging="283"/>
        <w:contextualSpacing/>
        <w:rPr>
          <w:rFonts w:cs="Arial"/>
          <w:color w:val="0000FF"/>
          <w:szCs w:val="22"/>
          <w:u w:val="single"/>
        </w:rPr>
      </w:pPr>
      <w:r w:rsidRPr="00541B8B">
        <w:rPr>
          <w:rFonts w:cs="Arial"/>
          <w:szCs w:val="22"/>
        </w:rPr>
        <w:t xml:space="preserve">1) </w:t>
      </w:r>
      <w:bookmarkStart w:id="240" w:name="S11c01"/>
      <w:r w:rsidRPr="00541B8B">
        <w:rPr>
          <w:rFonts w:cs="Arial"/>
          <w:szCs w:val="22"/>
        </w:rPr>
        <w:t>per</w:t>
      </w:r>
      <w:bookmarkEnd w:id="240"/>
      <w:r w:rsidRPr="00541B8B">
        <w:rPr>
          <w:rFonts w:cs="Arial"/>
          <w:szCs w:val="22"/>
        </w:rPr>
        <w:t xml:space="preserve"> quanto detto in premessa, agli articoli 10, comma 1, lettera </w:t>
      </w:r>
      <w:r w:rsidRPr="00541B8B">
        <w:rPr>
          <w:rFonts w:cs="Arial"/>
          <w:i/>
          <w:szCs w:val="22"/>
        </w:rPr>
        <w:t>d</w:t>
      </w:r>
      <w:r w:rsidRPr="00541B8B">
        <w:rPr>
          <w:rFonts w:cs="Arial"/>
          <w:szCs w:val="22"/>
        </w:rPr>
        <w:t xml:space="preserve">), 11, comma 2, lettera </w:t>
      </w:r>
      <w:r w:rsidRPr="00541B8B">
        <w:rPr>
          <w:rFonts w:cs="Arial"/>
          <w:i/>
          <w:szCs w:val="22"/>
        </w:rPr>
        <w:t>a</w:t>
      </w:r>
      <w:r w:rsidRPr="00541B8B">
        <w:rPr>
          <w:rFonts w:cs="Arial"/>
          <w:szCs w:val="22"/>
        </w:rPr>
        <w:t xml:space="preserve">), 12, comma 1, alinea, 13, comma 1, lettera </w:t>
      </w:r>
      <w:r w:rsidRPr="00541B8B">
        <w:rPr>
          <w:rFonts w:cs="Arial"/>
          <w:i/>
          <w:szCs w:val="22"/>
        </w:rPr>
        <w:t>h</w:t>
      </w:r>
      <w:r w:rsidRPr="00541B8B">
        <w:rPr>
          <w:rFonts w:cs="Arial"/>
          <w:szCs w:val="22"/>
        </w:rPr>
        <w:t xml:space="preserve">), numeri 1) e 4), e lettera </w:t>
      </w:r>
      <w:r w:rsidRPr="00541B8B">
        <w:rPr>
          <w:rFonts w:cs="Arial"/>
          <w:i/>
          <w:szCs w:val="22"/>
        </w:rPr>
        <w:t>i</w:t>
      </w:r>
      <w:r w:rsidRPr="00541B8B">
        <w:rPr>
          <w:rFonts w:cs="Arial"/>
          <w:szCs w:val="22"/>
        </w:rPr>
        <w:t xml:space="preserve">), numero 5), e 14, comma 2, lettera </w:t>
      </w:r>
      <w:r w:rsidRPr="00541B8B">
        <w:rPr>
          <w:rFonts w:cs="Arial"/>
          <w:i/>
          <w:szCs w:val="22"/>
        </w:rPr>
        <w:t>n</w:t>
      </w:r>
      <w:r w:rsidRPr="00541B8B">
        <w:rPr>
          <w:rFonts w:cs="Arial"/>
          <w:szCs w:val="22"/>
        </w:rPr>
        <w:t>), si specifichino i principi e criteri direttivi che fanno riferimento al libero apprezzamento del legislatore delegato; [</w:t>
      </w:r>
      <w:hyperlink w:anchor="premessa11" w:history="1">
        <w:r w:rsidRPr="00541B8B">
          <w:rPr>
            <w:rFonts w:cs="Arial"/>
            <w:color w:val="0000FF"/>
            <w:szCs w:val="22"/>
            <w:u w:val="single"/>
          </w:rPr>
          <w:t>torna su</w:t>
        </w:r>
      </w:hyperlink>
      <w:r w:rsidRPr="00541B8B">
        <w:rPr>
          <w:rFonts w:cs="Arial"/>
          <w:szCs w:val="22"/>
        </w:rPr>
        <w:t>]</w:t>
      </w:r>
      <w:r w:rsidRPr="00541B8B">
        <w:rPr>
          <w:rFonts w:cs="Arial"/>
          <w:color w:val="0000FF"/>
          <w:szCs w:val="22"/>
          <w:u w:val="single"/>
        </w:rPr>
        <w:t xml:space="preserve"> </w:t>
      </w:r>
    </w:p>
    <w:p w:rsidR="00541B8B" w:rsidRPr="00541B8B" w:rsidRDefault="00541B8B" w:rsidP="00541B8B">
      <w:pPr>
        <w:spacing w:before="60" w:after="60"/>
        <w:ind w:left="567" w:hanging="283"/>
        <w:contextualSpacing/>
        <w:rPr>
          <w:rFonts w:cs="Arial"/>
          <w:szCs w:val="22"/>
        </w:rPr>
      </w:pPr>
      <w:bookmarkStart w:id="241" w:name="S11c02"/>
      <w:r w:rsidRPr="00541B8B">
        <w:rPr>
          <w:rFonts w:cs="Arial"/>
          <w:szCs w:val="22"/>
        </w:rPr>
        <w:t xml:space="preserve">2) al fine </w:t>
      </w:r>
      <w:bookmarkEnd w:id="241"/>
      <w:r w:rsidRPr="00541B8B">
        <w:rPr>
          <w:rFonts w:cs="Arial"/>
          <w:szCs w:val="22"/>
        </w:rPr>
        <w:t xml:space="preserve">di circoscrivere adeguatamente la discrezionalità del legislatore delegato, si provveda altresì a specificare i principi e criteri direttivi contenuti all’articolo 6, comma 2, lettere </w:t>
      </w:r>
      <w:r w:rsidRPr="00541B8B">
        <w:rPr>
          <w:rFonts w:cs="Arial"/>
          <w:i/>
          <w:szCs w:val="22"/>
        </w:rPr>
        <w:t>a</w:t>
      </w:r>
      <w:r w:rsidRPr="00541B8B">
        <w:rPr>
          <w:rFonts w:cs="Arial"/>
          <w:szCs w:val="22"/>
        </w:rPr>
        <w:t xml:space="preserve">) e </w:t>
      </w:r>
      <w:r w:rsidRPr="00541B8B">
        <w:rPr>
          <w:rFonts w:cs="Arial"/>
          <w:i/>
          <w:szCs w:val="22"/>
        </w:rPr>
        <w:t>b</w:t>
      </w:r>
      <w:r w:rsidRPr="00541B8B">
        <w:rPr>
          <w:rFonts w:cs="Arial"/>
          <w:szCs w:val="22"/>
        </w:rPr>
        <w:t>), che si limitano ad indicare l’oggetto del decreto, consistente nell’adeguamento a cinque regolamenti europei, trasponendo in tali lettere il contenuto della relazione illustrativa, che indica i diversi profili della normativa nazionale che appare necessario innovare, modificare e semplificare e tenendo altresì conto che risulta già adottato un decreto legislativo (12 gennaio 2007, n. 11), volto ad apprestare adeguata tutela penale alle disposizioni dei regolamenti richiamati nelle anzidette lettere; [</w:t>
      </w:r>
      <w:hyperlink w:anchor="premessa11"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color w:val="0000FF"/>
          <w:szCs w:val="22"/>
          <w:u w:val="single"/>
        </w:rPr>
      </w:pPr>
      <w:bookmarkStart w:id="242" w:name="S11c03"/>
      <w:r w:rsidRPr="00541B8B">
        <w:rPr>
          <w:rFonts w:cs="Arial"/>
          <w:szCs w:val="22"/>
        </w:rPr>
        <w:t>3) per q</w:t>
      </w:r>
      <w:bookmarkEnd w:id="242"/>
      <w:r w:rsidRPr="00541B8B">
        <w:rPr>
          <w:rFonts w:cs="Arial"/>
          <w:szCs w:val="22"/>
        </w:rPr>
        <w:t>uanto detto in premessa si valuti la soppressione dell’articolo 12 ovvero la sua riformulazione in termini di delega legislativa integrativa o correttiva; [</w:t>
      </w:r>
      <w:hyperlink w:anchor="premessa11"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firstLine="0"/>
        <w:contextualSpacing/>
        <w:rPr>
          <w:rFonts w:cs="Arial"/>
          <w:i/>
          <w:szCs w:val="22"/>
        </w:rPr>
      </w:pPr>
      <w:r w:rsidRPr="00541B8B">
        <w:rPr>
          <w:rFonts w:cs="Arial"/>
          <w:color w:val="0000FF"/>
          <w:szCs w:val="22"/>
          <w:u w:val="single"/>
        </w:rPr>
        <w:br/>
      </w: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bookmarkStart w:id="243" w:name="S11c04"/>
      <w:r w:rsidRPr="00541B8B">
        <w:rPr>
          <w:rFonts w:cs="Arial"/>
          <w:szCs w:val="22"/>
        </w:rPr>
        <w:t xml:space="preserve">4) si assicuri </w:t>
      </w:r>
      <w:bookmarkEnd w:id="243"/>
      <w:r w:rsidRPr="00541B8B">
        <w:rPr>
          <w:rFonts w:cs="Arial"/>
          <w:szCs w:val="22"/>
        </w:rPr>
        <w:t xml:space="preserve">il coordinamento fra le varie clausole di invarianza finanziaria, evitando duplicazioni; </w:t>
      </w:r>
      <w:hyperlink w:anchor="premessa11" w:history="1">
        <w:r w:rsidRPr="00541B8B">
          <w:rPr>
            <w:rFonts w:cs="Arial"/>
            <w:color w:val="0000FF"/>
            <w:szCs w:val="22"/>
            <w:u w:val="single"/>
          </w:rPr>
          <w:t>[torna su]</w:t>
        </w:r>
      </w:hyperlink>
      <w:r w:rsidRPr="00541B8B">
        <w:rPr>
          <w:rFonts w:cs="Arial"/>
          <w:color w:val="0000FF"/>
          <w:szCs w:val="22"/>
          <w:u w:val="single"/>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244" w:name="S11O"/>
      <w:r w:rsidRPr="00541B8B">
        <w:rPr>
          <w:rFonts w:cs="Arial"/>
          <w:b/>
          <w:szCs w:val="22"/>
        </w:rPr>
        <w:t>Osservazioni</w:t>
      </w:r>
      <w:r w:rsidRPr="00541B8B">
        <w:rPr>
          <w:rFonts w:cs="Arial"/>
          <w:szCs w:val="22"/>
        </w:rPr>
        <w:t>:</w:t>
      </w:r>
      <w:bookmarkEnd w:id="244"/>
      <w:r w:rsidRPr="00541B8B">
        <w:rPr>
          <w:rFonts w:cs="Arial"/>
          <w:szCs w:val="22"/>
        </w:rPr>
        <w:t xml:space="preserve"> </w:t>
      </w:r>
      <w:r w:rsidRPr="00541B8B">
        <w:rPr>
          <w:rFonts w:cs="Arial"/>
          <w:szCs w:val="22"/>
        </w:rPr>
        <w:br/>
      </w: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bookmarkStart w:id="245" w:name="S11o01"/>
      <w:r w:rsidRPr="00541B8B">
        <w:rPr>
          <w:rFonts w:cs="Arial"/>
          <w:szCs w:val="22"/>
        </w:rPr>
        <w:t xml:space="preserve">1) in relazione alla </w:t>
      </w:r>
      <w:bookmarkEnd w:id="245"/>
      <w:r w:rsidRPr="00541B8B">
        <w:rPr>
          <w:rFonts w:cs="Arial"/>
          <w:szCs w:val="22"/>
        </w:rPr>
        <w:t>disposizione di cui all’articolo 14, comma 2, che contiene un rinvio normativo impreciso, si dovrebbe specificare la normativa oggetto del rinvio. [</w:t>
      </w:r>
      <w:hyperlink w:anchor="premessa11" w:history="1">
        <w:r w:rsidRPr="00541B8B">
          <w:rPr>
            <w:rFonts w:cs="Arial"/>
            <w:color w:val="0000FF"/>
            <w:szCs w:val="22"/>
            <w:u w:val="single"/>
          </w:rPr>
          <w:t>torna su</w:t>
        </w:r>
      </w:hyperlink>
      <w:r w:rsidRPr="00541B8B">
        <w:rPr>
          <w:rFonts w:cs="Arial"/>
          <w:szCs w:val="22"/>
        </w:rPr>
        <w:t>]</w:t>
      </w:r>
    </w:p>
    <w:p w:rsidR="00541B8B" w:rsidRPr="00541B8B" w:rsidRDefault="00541B8B" w:rsidP="00541B8B">
      <w:pPr>
        <w:spacing w:before="60" w:after="60"/>
        <w:ind w:left="567" w:firstLine="0"/>
        <w:contextualSpacing/>
        <w:rPr>
          <w:rFonts w:cs="Arial"/>
          <w:szCs w:val="22"/>
        </w:rPr>
      </w:pPr>
    </w:p>
    <w:p w:rsidR="00541B8B" w:rsidRPr="00541B8B" w:rsidRDefault="00541B8B" w:rsidP="00541B8B">
      <w:pPr>
        <w:spacing w:before="60" w:after="60"/>
        <w:ind w:left="720" w:firstLine="0"/>
        <w:contextualSpacing/>
        <w:rPr>
          <w:rFonts w:cs="Arial"/>
          <w:szCs w:val="22"/>
        </w:rPr>
        <w:sectPr w:rsidR="00541B8B" w:rsidRPr="00541B8B" w:rsidSect="00D20CCA">
          <w:headerReference w:type="default" r:id="rId376"/>
          <w:footerReference w:type="even" r:id="rId377"/>
          <w:footerReference w:type="default" r:id="rId378"/>
          <w:type w:val="oddPage"/>
          <w:pgSz w:w="11906" w:h="16838" w:code="9"/>
          <w:pgMar w:top="1985" w:right="1985" w:bottom="1985" w:left="1985" w:header="1134" w:footer="1134" w:gutter="0"/>
          <w:cols w:space="720"/>
          <w:formProt w:val="0"/>
        </w:sectPr>
      </w:pPr>
    </w:p>
    <w:tbl>
      <w:tblPr>
        <w:tblStyle w:val="Grigliatabella"/>
        <w:tblW w:w="5000" w:type="pct"/>
        <w:tblLook w:val="01E0" w:firstRow="1" w:lastRow="1" w:firstColumn="1" w:lastColumn="1" w:noHBand="0" w:noVBand="0"/>
      </w:tblPr>
      <w:tblGrid>
        <w:gridCol w:w="1146"/>
        <w:gridCol w:w="1384"/>
        <w:gridCol w:w="1883"/>
        <w:gridCol w:w="3274"/>
        <w:gridCol w:w="1599"/>
      </w:tblGrid>
      <w:tr w:rsidR="00541B8B" w:rsidRPr="00541B8B" w:rsidTr="00D20CCA">
        <w:trPr>
          <w:cantSplit/>
          <w:trHeight w:val="567"/>
        </w:trPr>
        <w:tc>
          <w:tcPr>
            <w:tcW w:w="61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lastRenderedPageBreak/>
              <w:t>N. SCHEDA</w:t>
            </w:r>
          </w:p>
        </w:tc>
        <w:tc>
          <w:tcPr>
            <w:tcW w:w="74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14"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3"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2"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617"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0012</w:t>
            </w:r>
          </w:p>
        </w:tc>
        <w:tc>
          <w:tcPr>
            <w:tcW w:w="745"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2212</w:t>
            </w:r>
          </w:p>
        </w:tc>
        <w:tc>
          <w:tcPr>
            <w:tcW w:w="1014" w:type="pct"/>
          </w:tcPr>
          <w:p w:rsidR="00541B8B" w:rsidRPr="00541B8B" w:rsidRDefault="00DC78AD" w:rsidP="00541B8B">
            <w:pPr>
              <w:spacing w:before="100" w:beforeAutospacing="1" w:after="100" w:afterAutospacing="1"/>
              <w:ind w:firstLine="0"/>
              <w:contextualSpacing/>
              <w:jc w:val="center"/>
              <w:rPr>
                <w:rFonts w:cs="Arial"/>
                <w:szCs w:val="22"/>
              </w:rPr>
            </w:pPr>
            <w:hyperlink r:id="rId379" w:history="1">
              <w:r w:rsidR="00541B8B" w:rsidRPr="00541B8B">
                <w:rPr>
                  <w:rFonts w:cs="Arial"/>
                  <w:color w:val="0000FF"/>
                  <w:szCs w:val="22"/>
                  <w:u w:val="single"/>
                </w:rPr>
                <w:t>pdl</w:t>
              </w:r>
            </w:hyperlink>
          </w:p>
        </w:tc>
        <w:tc>
          <w:tcPr>
            <w:tcW w:w="1763"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Gestione acque pubbliche e servizio idrico</w:t>
            </w:r>
          </w:p>
        </w:tc>
        <w:tc>
          <w:tcPr>
            <w:tcW w:w="862" w:type="pct"/>
          </w:tcPr>
          <w:p w:rsidR="00541B8B" w:rsidRPr="00541B8B" w:rsidRDefault="00DC78AD" w:rsidP="00541B8B">
            <w:pPr>
              <w:spacing w:before="100" w:beforeAutospacing="1" w:after="100" w:afterAutospacing="1"/>
              <w:ind w:firstLine="0"/>
              <w:contextualSpacing/>
              <w:jc w:val="center"/>
              <w:rPr>
                <w:rFonts w:cs="Arial"/>
                <w:szCs w:val="22"/>
              </w:rPr>
            </w:pPr>
            <w:hyperlink r:id="rId380" w:anchor="data.20160309.com48.bollettino.sede00010.tit00010" w:history="1">
              <w:r w:rsidR="00541B8B" w:rsidRPr="00541B8B">
                <w:rPr>
                  <w:rFonts w:cs="Arial"/>
                  <w:color w:val="0000FF"/>
                  <w:szCs w:val="22"/>
                  <w:u w:val="single"/>
                </w:rPr>
                <w:t>09/03/2016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246" w:name="premessa12"/>
            <w:r w:rsidRPr="00541B8B">
              <w:rPr>
                <w:rFonts w:cs="Arial"/>
                <w:b/>
                <w:color w:val="0000FF"/>
                <w:sz w:val="24"/>
                <w:szCs w:val="24"/>
              </w:rPr>
              <w:t>Premessa</w:t>
            </w:r>
            <w:bookmarkEnd w:id="246"/>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7 Condizioni, 3 Osservazioni</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2a01" w:history="1">
              <w:r w:rsidR="00541B8B" w:rsidRPr="00541B8B">
                <w:rPr>
                  <w:rFonts w:cs="Arial"/>
                  <w:color w:val="0000FF"/>
                  <w:szCs w:val="22"/>
                  <w:u w:val="single"/>
                </w:rPr>
                <w:t>1</w:t>
              </w:r>
            </w:hyperlink>
            <w:r w:rsidR="00541B8B" w:rsidRPr="00541B8B">
              <w:rPr>
                <w:rFonts w:cs="Arial"/>
                <w:szCs w:val="22"/>
              </w:rPr>
              <w:t xml:space="preserve"> – Contenuto omogeneo </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Contenuto omogeneo e corrispondente al titolo</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2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Stratificazione normativa e modifiche non testuali.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2a03" w:history="1">
              <w:r w:rsidR="00541B8B" w:rsidRPr="00541B8B">
                <w:rPr>
                  <w:rFonts w:cs="Arial"/>
                  <w:color w:val="0000FF"/>
                  <w:szCs w:val="22"/>
                  <w:u w:val="single"/>
                </w:rPr>
                <w:t>3</w:t>
              </w:r>
            </w:hyperlink>
            <w:r w:rsidR="00541B8B" w:rsidRPr="00541B8B">
              <w:rPr>
                <w:rFonts w:cs="Arial"/>
                <w:szCs w:val="22"/>
              </w:rPr>
              <w:t xml:space="preserve"> – Portata normativa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tabs>
                <w:tab w:val="center" w:pos="2213"/>
              </w:tabs>
              <w:spacing w:before="100" w:beforeAutospacing="1" w:after="100" w:afterAutospacing="1"/>
              <w:ind w:firstLine="0"/>
              <w:contextualSpacing/>
              <w:rPr>
                <w:rFonts w:cs="Arial"/>
                <w:szCs w:val="22"/>
              </w:rPr>
            </w:pPr>
            <w:r w:rsidRPr="00541B8B">
              <w:rPr>
                <w:rFonts w:cs="Arial"/>
                <w:szCs w:val="22"/>
              </w:rPr>
              <w:t>Il provvedimento reca disposizioni meramente ricognitive o riproduttive di altre già vigenti o con un contenuto puramente descrittivo.</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2a04" w:history="1">
              <w:r w:rsidR="00541B8B" w:rsidRPr="00541B8B">
                <w:rPr>
                  <w:rFonts w:cs="Arial"/>
                  <w:color w:val="0000FF"/>
                  <w:szCs w:val="22"/>
                  <w:u w:val="single"/>
                </w:rPr>
                <w:t>4</w:t>
              </w:r>
            </w:hyperlink>
            <w:r w:rsidR="00541B8B" w:rsidRPr="00541B8B">
              <w:rPr>
                <w:rFonts w:cs="Arial"/>
                <w:szCs w:val="22"/>
              </w:rPr>
              <w:t xml:space="preserve"> – Coerente utilizzo delle fonti normative: adempimenti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Attribuzione al Governo di compiti senza circoscriverne la discrezionalità nella relativa esecuzione o senza specificare a quali soggetti tali compiti sono conferiti o senza indicare gli strumenti normativi con i quali realizzarli; attribuzione al Governo di poteri sostitutivi in modo indefinito.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2; Condizione 3; Condizione 4; Condizione 5; Condizione 6.</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szCs w:val="22"/>
              </w:rPr>
            </w:pPr>
            <w:hyperlink w:anchor="S12a04bis" w:history="1">
              <w:r w:rsidR="00541B8B" w:rsidRPr="00541B8B">
                <w:rPr>
                  <w:color w:val="0000FF"/>
                  <w:szCs w:val="22"/>
                  <w:u w:val="single"/>
                </w:rPr>
                <w:t>4-</w:t>
              </w:r>
              <w:r w:rsidR="00541B8B" w:rsidRPr="00541B8B">
                <w:rPr>
                  <w:i/>
                  <w:color w:val="0000FF"/>
                  <w:szCs w:val="22"/>
                  <w:u w:val="single"/>
                </w:rPr>
                <w:t>bis</w:t>
              </w:r>
            </w:hyperlink>
            <w:r w:rsidR="00541B8B" w:rsidRPr="00541B8B">
              <w:rPr>
                <w:szCs w:val="22"/>
              </w:rPr>
              <w:t xml:space="preserve"> – 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Mancanza dell’indicazione dei principi e criteri direttivi della delega conferita al Governo, la quale non è menzionata nella rubrica dell’articolo.</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7</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2a05" w:history="1">
              <w:r w:rsidR="00541B8B" w:rsidRPr="00541B8B">
                <w:rPr>
                  <w:rFonts w:cs="Arial"/>
                  <w:color w:val="0000FF"/>
                  <w:szCs w:val="22"/>
                  <w:u w:val="single"/>
                </w:rPr>
                <w:t>5</w:t>
              </w:r>
            </w:hyperlink>
            <w:r w:rsidR="00541B8B" w:rsidRPr="00541B8B">
              <w:rPr>
                <w:rFonts w:cs="Arial"/>
                <w:szCs w:val="22"/>
              </w:rPr>
              <w:t xml:space="preserve"> – Formulazione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Formulazioni generiche, di non univoco significato o non direttamente applicabili.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1; Osservazione 2</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2a06" w:history="1">
              <w:r w:rsidR="00541B8B" w:rsidRPr="00541B8B">
                <w:rPr>
                  <w:rFonts w:cs="Arial"/>
                  <w:color w:val="0000FF"/>
                  <w:szCs w:val="22"/>
                  <w:u w:val="single"/>
                </w:rPr>
                <w:t>6</w:t>
              </w:r>
            </w:hyperlink>
            <w:r w:rsidR="00541B8B" w:rsidRPr="00541B8B">
              <w:rPr>
                <w:rFonts w:cs="Arial"/>
                <w:szCs w:val="22"/>
              </w:rPr>
              <w:t xml:space="preserve"> – Coordinamento interno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Osservazione 3 </w:t>
            </w:r>
          </w:p>
        </w:tc>
      </w:tr>
    </w:tbl>
    <w:p w:rsidR="00541B8B" w:rsidRPr="00541B8B" w:rsidRDefault="00541B8B" w:rsidP="00541B8B">
      <w:pPr>
        <w:spacing w:before="60" w:after="60"/>
        <w:contextualSpacing/>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lastRenderedPageBreak/>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2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2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 xml:space="preserve">Riferimenti: </w:t>
            </w:r>
            <w:r w:rsidRPr="00541B8B">
              <w:rPr>
                <w:rFonts w:cs="Arial"/>
                <w:i/>
                <w:szCs w:val="22"/>
              </w:rPr>
              <w:t>Articolo 120, secondo comma, della Costituzione.</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47" w:name="S12a01"/>
      <w:r w:rsidRPr="00541B8B">
        <w:rPr>
          <w:rFonts w:cs="Arial"/>
          <w:szCs w:val="22"/>
        </w:rPr>
        <w:t>1</w:t>
      </w:r>
      <w:bookmarkEnd w:id="247"/>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«la proposta di legge, che si compone di dodici articoli, presenta un </w:t>
      </w:r>
      <w:r w:rsidRPr="00541B8B">
        <w:rPr>
          <w:rFonts w:cs="Arial"/>
          <w:b/>
          <w:szCs w:val="22"/>
        </w:rPr>
        <w:t>contenuto omogeneo e corrispondente al titolo</w:t>
      </w:r>
      <w:r w:rsidRPr="00541B8B">
        <w:rPr>
          <w:rFonts w:cs="Arial"/>
          <w:szCs w:val="22"/>
        </w:rPr>
        <w:t xml:space="preserve"> in quanto reca un complesso di disposizioni sul governo del ciclo delle acque e sulla gestione del servizio idrico, nonché una delega al Governo per la definizione di tasse di scopo al fine di assicurarne il finanziamento»;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48" w:name="S12a02"/>
      <w:r w:rsidRPr="00541B8B">
        <w:rPr>
          <w:rFonts w:cs="Arial"/>
          <w:szCs w:val="22"/>
        </w:rPr>
        <w:t>2</w:t>
      </w:r>
      <w:bookmarkEnd w:id="248"/>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«la proposta di legge, nell’intervenire su di un settore che ha formato oggetto di una profonda </w:t>
      </w:r>
      <w:r w:rsidRPr="00541B8B">
        <w:rPr>
          <w:rFonts w:cs="Arial"/>
          <w:b/>
          <w:szCs w:val="22"/>
        </w:rPr>
        <w:t>stratificazione normativa</w:t>
      </w:r>
      <w:r w:rsidRPr="00541B8B">
        <w:rPr>
          <w:rFonts w:cs="Arial"/>
          <w:szCs w:val="22"/>
        </w:rPr>
        <w:t xml:space="preserve">, non sempre effettua gli opportuni coordinamenti con l’ordinamento vigente, al quale si sovrappone in alcuni casi ribadendo disposizioni già vigenti e, in numerosi altri casi, modificando i regimi giuridici </w:t>
      </w:r>
      <w:r w:rsidRPr="00541B8B">
        <w:rPr>
          <w:rFonts w:cs="Arial"/>
          <w:b/>
          <w:szCs w:val="22"/>
        </w:rPr>
        <w:t>senza procedere alle necessarie novelle e abrogazioni</w:t>
      </w:r>
      <w:r w:rsidRPr="00541B8B">
        <w:rPr>
          <w:rFonts w:cs="Arial"/>
          <w:szCs w:val="22"/>
        </w:rPr>
        <w:t>. In particolare:</w:t>
      </w:r>
    </w:p>
    <w:p w:rsidR="00541B8B" w:rsidRPr="00541B8B" w:rsidRDefault="00541B8B" w:rsidP="00541B8B">
      <w:pPr>
        <w:spacing w:before="60" w:after="60"/>
        <w:contextualSpacing/>
        <w:rPr>
          <w:rFonts w:cs="Arial"/>
          <w:szCs w:val="22"/>
        </w:rPr>
      </w:pPr>
      <w:r w:rsidRPr="00541B8B">
        <w:rPr>
          <w:rFonts w:cs="Arial"/>
          <w:szCs w:val="22"/>
        </w:rPr>
        <w:t xml:space="preserve">- l’articolo 2: ai commi 2, 3, 5 e 6, nel definire i criteri che devono informare la gestione delle acque, riproduce quelli enucleati all’articolo 144, commi da 2 a 4, del decreto legislativo n. 152 del 2006, recante il così detto codice ambientale, e si sovrappone a quelli contenuti all’articolo 167, comma 1, del medesimo codice; al comma 7, si sovrappone invece all’articolo 146 del richiamato codice; </w:t>
      </w:r>
    </w:p>
    <w:p w:rsidR="00541B8B" w:rsidRPr="00541B8B" w:rsidRDefault="00541B8B" w:rsidP="00541B8B">
      <w:pPr>
        <w:spacing w:before="60" w:after="60"/>
        <w:contextualSpacing/>
        <w:rPr>
          <w:rFonts w:cs="Arial"/>
          <w:szCs w:val="22"/>
        </w:rPr>
      </w:pPr>
      <w:r w:rsidRPr="00541B8B">
        <w:rPr>
          <w:rFonts w:cs="Arial"/>
          <w:szCs w:val="22"/>
        </w:rPr>
        <w:t xml:space="preserve">- la disciplina contenuta all’articolo 3, commi da 1 a 4, si sovrappone a quella in materia di </w:t>
      </w:r>
      <w:r w:rsidRPr="00541B8B">
        <w:rPr>
          <w:rFonts w:cs="Arial"/>
          <w:i/>
          <w:szCs w:val="22"/>
        </w:rPr>
        <w:t>governance</w:t>
      </w:r>
      <w:r w:rsidRPr="00541B8B">
        <w:rPr>
          <w:rFonts w:cs="Arial"/>
          <w:szCs w:val="22"/>
        </w:rPr>
        <w:t xml:space="preserve"> dei distretti idrografici contenuta nella sezione terza del così detto codice ambientale, come di recente modificata dagli articoli 51 e 58 e seguenti della legge 28 dicembre 2015, n. 221 (Disposizioni in materia ambientale per promuovere misure di green economy e per il contenimento dell'uso eccessivo di risorse naturali); </w:t>
      </w:r>
    </w:p>
    <w:p w:rsidR="00541B8B" w:rsidRPr="00541B8B" w:rsidRDefault="00541B8B" w:rsidP="00541B8B">
      <w:pPr>
        <w:spacing w:before="60" w:after="60"/>
        <w:contextualSpacing/>
        <w:rPr>
          <w:rFonts w:cs="Arial"/>
          <w:szCs w:val="22"/>
        </w:rPr>
      </w:pPr>
      <w:r w:rsidRPr="00541B8B">
        <w:rPr>
          <w:rFonts w:cs="Arial"/>
          <w:szCs w:val="22"/>
        </w:rPr>
        <w:t>- le disposizioni contenute all’articolo 4, che definisce il servizio idrico integrato quale servizio pubblico locale privo di rilevanza economica, incidono invece sull’ambito applicativo degli articoli 112 e 113 del decreto legislativo n. 267 del 2000 e sull’articolo 149-</w:t>
      </w:r>
      <w:r w:rsidRPr="00541B8B">
        <w:rPr>
          <w:rFonts w:cs="Arial"/>
          <w:i/>
          <w:szCs w:val="22"/>
        </w:rPr>
        <w:t>bis</w:t>
      </w:r>
      <w:r w:rsidRPr="00541B8B">
        <w:rPr>
          <w:rFonts w:cs="Arial"/>
          <w:szCs w:val="22"/>
        </w:rPr>
        <w:t xml:space="preserve"> del così detto codice ambientale che riconduce il servizio idrico locale ai servizi pubblici locali a rete di rilevanza economica;</w:t>
      </w:r>
    </w:p>
    <w:p w:rsidR="00541B8B" w:rsidRPr="00541B8B" w:rsidRDefault="00541B8B" w:rsidP="00541B8B">
      <w:pPr>
        <w:spacing w:before="60" w:after="60"/>
        <w:contextualSpacing/>
        <w:rPr>
          <w:rFonts w:cs="Arial"/>
          <w:szCs w:val="22"/>
        </w:rPr>
      </w:pPr>
      <w:r w:rsidRPr="00541B8B">
        <w:rPr>
          <w:rFonts w:cs="Arial"/>
          <w:szCs w:val="22"/>
        </w:rPr>
        <w:t>- le disposizioni contenute all’articolo 5, comma 3, intervengono invece a disciplinare il piano di tutela delle acque in assenza di ogni coordinamento con l’articolo 121 del così detto codice ambientale che già ne prevede l’adozione; il comma 5 prevede invece l’istituzione di un’Autorità nazionale di vigilanza sulle risorse idriche (di cui peraltro non vengono specificati poteri, composizione e funzioni, per le quali si opera un generico riferimento a quanto stabilito dalla legge), in assenza dei necessari coordinamenti con le disposizioni in materia di Autorità per l'energia elettrica e il gas, cui l’articolo 21, comma 19, del decreto-legge n. 201 del 2011, ha assegnato le funzioni attinenti alla regolazione e al controllo dei servizi idrici. Più in generale, quest’ultima autorità non risulta mai citata nella proposta di legge, che affida compiti analoghi a quelli ad essa spettanti al Ministero dell’ambiente: si veda, a titolo esemplificativo, l’articolo 9, sulla determinazione della tariffa del servizio idrico integrato;</w:t>
      </w:r>
    </w:p>
    <w:p w:rsidR="00541B8B" w:rsidRPr="00541B8B" w:rsidRDefault="00541B8B" w:rsidP="00541B8B">
      <w:pPr>
        <w:spacing w:before="60" w:after="60"/>
        <w:contextualSpacing/>
        <w:rPr>
          <w:rFonts w:cs="Arial"/>
          <w:szCs w:val="22"/>
        </w:rPr>
      </w:pPr>
      <w:r w:rsidRPr="00541B8B">
        <w:rPr>
          <w:rFonts w:cs="Arial"/>
          <w:szCs w:val="22"/>
        </w:rPr>
        <w:lastRenderedPageBreak/>
        <w:t xml:space="preserve">- le disposizioni contenute all’articolo 6, comma 1, modificano l’elenco dei beni appartenenti al patrimonio indisponibile dello Stato, delle regioni e degli enti locali in assenza dei necessari coordinamenti con gli articoli da 822 a 824 del codice civile; </w:t>
      </w:r>
    </w:p>
    <w:p w:rsidR="00541B8B" w:rsidRPr="00541B8B" w:rsidRDefault="00541B8B" w:rsidP="00541B8B">
      <w:pPr>
        <w:spacing w:before="60" w:after="60"/>
        <w:contextualSpacing/>
        <w:rPr>
          <w:rFonts w:cs="Arial"/>
          <w:szCs w:val="22"/>
        </w:rPr>
      </w:pPr>
      <w:r w:rsidRPr="00541B8B">
        <w:rPr>
          <w:rFonts w:cs="Arial"/>
          <w:szCs w:val="22"/>
        </w:rPr>
        <w:t>- le disposizioni contenute all’articolo 7, comma 1, che prevedono genericamente che “al finanziamento del Fondo si provvede tramite anticipazioni dalla Cassa depositi e prestiti Spa”, non risultano invece coordinate con le previsioni recate dall’articolo 17 della legge di contabilità e finanza pubblica (n. 196 del 2009), stante l’assenza dell’indicazione della spesa autorizzata;</w:t>
      </w:r>
    </w:p>
    <w:p w:rsidR="00541B8B" w:rsidRPr="00541B8B" w:rsidRDefault="00541B8B" w:rsidP="00541B8B">
      <w:pPr>
        <w:spacing w:before="60" w:after="60"/>
        <w:contextualSpacing/>
        <w:rPr>
          <w:rFonts w:cs="Arial"/>
          <w:szCs w:val="22"/>
        </w:rPr>
      </w:pPr>
      <w:r w:rsidRPr="00541B8B">
        <w:rPr>
          <w:rFonts w:cs="Arial"/>
          <w:szCs w:val="22"/>
        </w:rPr>
        <w:t>- le disposizioni contenute all’articolo 11, che prevede l’istituzione di un Fondo nazionale di solidarietà internazionale, non risultano invece coordinate con quelle contenute all’articolo 1, comma 1284, della legge n. 296 del 2006, istitutivo di un Fondo le cui funzioni risultano parzialmente coincidenti con quelle indicate all’articolo in esame;</w:t>
      </w:r>
    </w:p>
    <w:p w:rsidR="00541B8B" w:rsidRPr="00541B8B" w:rsidRDefault="00541B8B" w:rsidP="00541B8B">
      <w:pPr>
        <w:spacing w:before="60" w:after="60"/>
        <w:contextualSpacing/>
        <w:rPr>
          <w:rFonts w:cs="Arial"/>
          <w:szCs w:val="22"/>
        </w:rPr>
      </w:pPr>
      <w:r w:rsidRPr="00541B8B">
        <w:rPr>
          <w:rFonts w:cs="Arial"/>
          <w:szCs w:val="22"/>
        </w:rPr>
        <w:t>- le disposizioni contenute all’articolo 12, che non recano l’indicazione dell’ammontare degli oneri derivanti dalle disposizioni di cui all’articolo 8, commi 2 e 3, non risultano coordinate con le previsioni recate dall’articolo 17 della legge di contabilità e finanza pubblica (n. 196 del 2009), stante l’assenza dell’indicazione della spesa autorizzata; inoltre, le disposizioni contenute al comma 1, lettera b), che destinano parte dei proventi derivanti dalla lotta all’evasione alla copertura degli oneri derivanti dalla presente legge, non risultano coordinate con l’articolo 1, commi da 431 a 435 della legge n. 147 del 2013 ( che destina invece tali somme al miglioramento dei saldi di finanza pubblica ed al fondo per la riduzione della pressione fiscale), mentre le disposizioni contenute alla lettera d) intervengono in via non testuale sulla destinazione delle sanzioni irrogate per la violazione delle disposizioni vigenti in materia di tutela del patrimonio idrico, come definita all’articolo 136 del così detto codice ambientale » (</w:t>
      </w:r>
      <w:hyperlink w:anchor="S12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49" w:name="S12a03"/>
      <w:r w:rsidRPr="00541B8B">
        <w:rPr>
          <w:rFonts w:cs="Arial"/>
          <w:szCs w:val="22"/>
        </w:rPr>
        <w:t>3</w:t>
      </w:r>
      <w:bookmarkEnd w:id="249"/>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«talune disposizioni presentano inoltre un </w:t>
      </w:r>
      <w:r w:rsidRPr="00541B8B">
        <w:rPr>
          <w:rFonts w:cs="Arial"/>
          <w:b/>
          <w:szCs w:val="22"/>
        </w:rPr>
        <w:t>contenuto descrittivo o ricognitivo</w:t>
      </w:r>
      <w:r w:rsidRPr="00541B8B">
        <w:rPr>
          <w:rFonts w:cs="Arial"/>
          <w:szCs w:val="22"/>
        </w:rPr>
        <w:t xml:space="preserve">, soprattutto là dove, all’articolo 2, si soffermano sulla definizione dell’acqua. A titolo esemplificativo, il comma 1, al primo periodo, definisce l’acqua “un bene naturale e un diritto umano universale”; al secondo periodo definisce a sua volta il “diritto all’acqua potabile di qualità nonché ai servizi igienico-sanitari” come “un diritto umano essenziale al pieno godimento della vita e di tutti i diritti umani”; al terzo periodo afferma che “la responsabilità primaria dello Stato di garantire la piena realizzazione di tutti i diritti umani resta ferma anche in caso di delega della fornitura di acqua potabile o di servizi igienico-sanitari a enti di diritto pubblico”; meramente descrittive sono anche le norme contenute al comma 2, primo e quarto periodo, così come contenuto ricognitivo hanno anche le previsioni presenti all’articolo 5, commi 2 e 3, in ordine alle competenze del Ministero dell’ambiente e delle regioni »;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50" w:name="S12a04"/>
      <w:r w:rsidRPr="00541B8B">
        <w:rPr>
          <w:rFonts w:cs="Arial"/>
          <w:szCs w:val="22"/>
        </w:rPr>
        <w:t>4</w:t>
      </w:r>
      <w:bookmarkEnd w:id="250"/>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«la proposta di legge, in alcuni casi, </w:t>
      </w:r>
      <w:r w:rsidRPr="00541B8B">
        <w:rPr>
          <w:rFonts w:cs="Arial"/>
          <w:b/>
          <w:szCs w:val="22"/>
        </w:rPr>
        <w:t>conferisce compiti al Governo senza circoscriverne adeguatamente la discrezionalità nella relativa esecuzione</w:t>
      </w:r>
      <w:r w:rsidRPr="00541B8B">
        <w:rPr>
          <w:rFonts w:cs="Arial"/>
          <w:szCs w:val="22"/>
        </w:rPr>
        <w:t>, o senza adeguatamente specificare a quali soggetti i suddetti compiti sono conferiti. In particolare, all’articolo 5, il comma 1, ultimo periodo prevede l’istituzione di un Comitato interministeriale cui sono attribuite le competenze relative alla programmazione delle grandi opere infrastrutturali a livello di reti idrauliche nonché all’acqua per l’uso umano, senza che siano indicati i Ministri componenti del medesimo (</w:t>
      </w:r>
      <w:hyperlink w:anchor="S12c02" w:history="1">
        <w:r w:rsidRPr="00541B8B">
          <w:rPr>
            <w:rFonts w:cs="Arial"/>
            <w:b/>
            <w:color w:val="0000FF"/>
            <w:szCs w:val="22"/>
            <w:u w:val="single"/>
          </w:rPr>
          <w:t>conseguente condizione</w:t>
        </w:r>
      </w:hyperlink>
      <w:r w:rsidRPr="00541B8B">
        <w:rPr>
          <w:rFonts w:cs="Arial"/>
          <w:szCs w:val="22"/>
        </w:rPr>
        <w:t xml:space="preserve">); il comma 5 demanda l’istituzione di un’Autorità nazionale di vigilanza sulle risorse idriche ad un decreto </w:t>
      </w:r>
      <w:r w:rsidRPr="00541B8B">
        <w:rPr>
          <w:rFonts w:cs="Arial"/>
          <w:szCs w:val="22"/>
        </w:rPr>
        <w:lastRenderedPageBreak/>
        <w:t>del Ministro dell’ambiente e della tutela del territorio e del mare, senza specificarne poteri, composizione, funzioni, risorse finanziarie, strumentali e di personale e sede, ma limitandosi ad un generico rinvio alla legge (</w:t>
      </w:r>
      <w:hyperlink w:anchor="S12c03" w:history="1">
        <w:r w:rsidRPr="00541B8B">
          <w:rPr>
            <w:rFonts w:cs="Arial"/>
            <w:b/>
            <w:color w:val="0000FF"/>
            <w:szCs w:val="22"/>
            <w:u w:val="single"/>
          </w:rPr>
          <w:t>conseguente condizione</w:t>
        </w:r>
      </w:hyperlink>
      <w:r w:rsidRPr="00541B8B">
        <w:rPr>
          <w:rFonts w:cs="Arial"/>
          <w:szCs w:val="22"/>
        </w:rPr>
        <w:t>); il comma 6 prevede che l’Autorità si avvalga di un Osservatorio sui settori di propria competenza, in ordine al quale, analogamente, non sono fornite indicazioni in ordine alla struttura, all’organizzazione e al personale, né all’atto di istituzione; all’articolo 6, il comma 9 prevede genericamente che “in caso di mancata osservanza di quanto stabilito dal presente articolo” il Governo eserciti i poteri sostitutivi stabiliti dalla legge, senza specificare a quali organi il Governo si vada a sostituire e sulla base di quale procedura (</w:t>
      </w:r>
      <w:hyperlink w:anchor="S12c04" w:history="1">
        <w:r w:rsidRPr="00541B8B">
          <w:rPr>
            <w:rFonts w:cs="Arial"/>
            <w:b/>
            <w:color w:val="0000FF"/>
            <w:szCs w:val="22"/>
            <w:u w:val="single"/>
          </w:rPr>
          <w:t>conseguente condizione</w:t>
        </w:r>
      </w:hyperlink>
      <w:r w:rsidRPr="00541B8B">
        <w:rPr>
          <w:rFonts w:cs="Arial"/>
          <w:szCs w:val="22"/>
        </w:rPr>
        <w:t>); al comma 10 del medesimo articolo 6 prevede poi l’adozione di un decreto dei Ministri competenti, senza precisare quali essi siano (</w:t>
      </w:r>
      <w:hyperlink w:anchor="S12c05" w:history="1">
        <w:r w:rsidRPr="00541B8B">
          <w:rPr>
            <w:rFonts w:cs="Arial"/>
            <w:b/>
            <w:color w:val="0000FF"/>
            <w:szCs w:val="22"/>
            <w:u w:val="single"/>
          </w:rPr>
          <w:t>conseguente condizione</w:t>
        </w:r>
      </w:hyperlink>
      <w:r w:rsidRPr="00541B8B">
        <w:rPr>
          <w:rFonts w:cs="Arial"/>
          <w:szCs w:val="22"/>
        </w:rPr>
        <w:t>); all’articolo 10, comma 4, stabilisce che il Governo definisca la Carta nazionale del servizio idrico integrato, senza precisare con quale strumento (presumibilmente un regolamento) debba provvedervi» (</w:t>
      </w:r>
      <w:hyperlink w:anchor="S12c06"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51" w:name="S12a04bis"/>
      <w:r w:rsidRPr="00541B8B">
        <w:rPr>
          <w:rFonts w:cs="Arial"/>
          <w:szCs w:val="22"/>
        </w:rPr>
        <w:t>4-</w:t>
      </w:r>
      <w:r w:rsidRPr="00541B8B">
        <w:rPr>
          <w:rFonts w:cs="Arial"/>
          <w:i/>
          <w:szCs w:val="22"/>
        </w:rPr>
        <w:t>bis</w:t>
      </w:r>
      <w:r w:rsidRPr="00541B8B">
        <w:rPr>
          <w:rFonts w:cs="Arial"/>
          <w:szCs w:val="22"/>
        </w:rPr>
        <w:t xml:space="preserve"> </w:t>
      </w:r>
      <w:bookmarkEnd w:id="251"/>
      <w:r w:rsidRPr="00541B8B">
        <w:rPr>
          <w:rFonts w:cs="Arial"/>
          <w:szCs w:val="22"/>
        </w:rPr>
        <w:t xml:space="preserve">-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«all’articolo 12, il comma 2 conferisce una delega al Governo – non menzionata nella </w:t>
      </w:r>
      <w:r w:rsidRPr="00541B8B">
        <w:rPr>
          <w:rFonts w:cs="Arial"/>
          <w:b/>
          <w:szCs w:val="22"/>
        </w:rPr>
        <w:t>rubrica</w:t>
      </w:r>
      <w:r w:rsidRPr="00541B8B">
        <w:rPr>
          <w:rFonts w:cs="Arial"/>
          <w:szCs w:val="22"/>
        </w:rPr>
        <w:t xml:space="preserve"> dell’articolo - in relazione alla quale individua unicamente l’oggetto e il termine per il relativo esercizio, </w:t>
      </w:r>
      <w:r w:rsidRPr="00541B8B">
        <w:rPr>
          <w:rFonts w:cs="Arial"/>
          <w:b/>
          <w:szCs w:val="22"/>
        </w:rPr>
        <w:t>senza indicare espressamente principi e criteri direttivi</w:t>
      </w:r>
      <w:r w:rsidRPr="00541B8B">
        <w:rPr>
          <w:rFonts w:cs="Arial"/>
          <w:szCs w:val="22"/>
        </w:rPr>
        <w:t>, da desumersi “dalla presente legge”» (</w:t>
      </w:r>
      <w:hyperlink w:anchor="S12c07"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52" w:name="S12a05"/>
      <w:r w:rsidRPr="00541B8B">
        <w:rPr>
          <w:rFonts w:cs="Arial"/>
          <w:szCs w:val="22"/>
        </w:rPr>
        <w:t>5</w:t>
      </w:r>
      <w:bookmarkEnd w:id="252"/>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«alcune delle disposizioni contenute nel testo recano </w:t>
      </w:r>
      <w:r w:rsidRPr="00541B8B">
        <w:rPr>
          <w:rFonts w:cs="Arial"/>
          <w:b/>
          <w:szCs w:val="22"/>
        </w:rPr>
        <w:t>formulazioni generiche, di non univoco significato o non direttamente applicabili</w:t>
      </w:r>
      <w:r w:rsidRPr="00541B8B">
        <w:rPr>
          <w:rFonts w:cs="Arial"/>
          <w:szCs w:val="22"/>
        </w:rPr>
        <w:t>; in particolare, l’articolo 3, comma 9, all’alinea, prevede che “per tutti i corpi idrici deve essere garantita la conservazione o il raggiungimento di uno stato di qualità vicino a quello naturale entro l’anno 2015”: si segnala in proposito, oltre la necessità di adeguare la scadenza indicata nel testo, che l’allegato V alla direttiva 60/2000/CE, trasposto nell’allegato 1 alla parte terza del decreto legislativo n. 152 del 2006, fa riferimento allo stato elevato, buono e sufficiente delle acque (</w:t>
      </w:r>
      <w:hyperlink w:anchor="S12o01" w:history="1">
        <w:r w:rsidRPr="00541B8B">
          <w:rPr>
            <w:rFonts w:cs="Arial"/>
            <w:b/>
            <w:color w:val="0000FF"/>
            <w:szCs w:val="22"/>
            <w:u w:val="single"/>
          </w:rPr>
          <w:t>conseguente osservazione</w:t>
        </w:r>
      </w:hyperlink>
      <w:r w:rsidRPr="00541B8B">
        <w:rPr>
          <w:rFonts w:cs="Arial"/>
          <w:szCs w:val="22"/>
        </w:rPr>
        <w:t>); inoltre, all’articolo 8, comma 1, non risulta chiaro il riferimento alla “fiscalità specifica”» (</w:t>
      </w:r>
      <w:hyperlink w:anchor="S12o02"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53" w:name="S12a06"/>
      <w:r w:rsidRPr="00541B8B">
        <w:rPr>
          <w:rFonts w:cs="Arial"/>
          <w:szCs w:val="22"/>
        </w:rPr>
        <w:t>6</w:t>
      </w:r>
      <w:bookmarkEnd w:id="253"/>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«sul piano del </w:t>
      </w:r>
      <w:r w:rsidRPr="00541B8B">
        <w:rPr>
          <w:rFonts w:cs="Arial"/>
          <w:b/>
          <w:szCs w:val="22"/>
        </w:rPr>
        <w:t>coordinamento interno al testo</w:t>
      </w:r>
      <w:r w:rsidRPr="00541B8B">
        <w:rPr>
          <w:rFonts w:cs="Arial"/>
          <w:szCs w:val="22"/>
        </w:rPr>
        <w:t xml:space="preserve">, l’articolo 8, comma 2 si riferisce al “quantitativo minimo vitale garantito” di acqua, come definito dall’articolo 9, comma 1: quest’ultima disposizione, alla lettera </w:t>
      </w:r>
      <w:r w:rsidRPr="00541B8B">
        <w:rPr>
          <w:rFonts w:cs="Arial"/>
          <w:i/>
          <w:szCs w:val="22"/>
        </w:rPr>
        <w:t>e</w:t>
      </w:r>
      <w:r w:rsidRPr="00541B8B">
        <w:rPr>
          <w:rFonts w:cs="Arial"/>
          <w:szCs w:val="22"/>
        </w:rPr>
        <w:t>), prevede che “il consumo fino a 50 litri giornalieri per persona sia considerato quantitativo minimo vitale garantito, con costi a carico della fiscalità generale”; essa riprende la definizione contenuta nell’articolo 2, comma 4, cui sembrerebbe opportuno fare riferimento: “L’erogazione giornaliera per l’alimentazione e l’igiene umana, considerata diritto umano universale e quantitativo minimo vitale garantito, è pari a 50 litri per persona. Il relativo costo è coperto dalla fiscalità generale”» (</w:t>
      </w:r>
      <w:hyperlink w:anchor="S12o03"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254" w:name="S12C"/>
      <w:r w:rsidRPr="00541B8B">
        <w:rPr>
          <w:rFonts w:cs="Arial"/>
          <w:b/>
          <w:szCs w:val="22"/>
        </w:rPr>
        <w:lastRenderedPageBreak/>
        <w:t>Condizioni:</w:t>
      </w:r>
    </w:p>
    <w:bookmarkEnd w:id="254"/>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ind w:left="567" w:hanging="283"/>
        <w:rPr>
          <w:szCs w:val="22"/>
        </w:rPr>
      </w:pPr>
      <w:bookmarkStart w:id="255" w:name="S12c01"/>
      <w:r w:rsidRPr="00541B8B">
        <w:rPr>
          <w:szCs w:val="22"/>
        </w:rPr>
        <w:t>1) si ponga</w:t>
      </w:r>
      <w:bookmarkEnd w:id="255"/>
      <w:r w:rsidRPr="00541B8B">
        <w:rPr>
          <w:szCs w:val="22"/>
        </w:rPr>
        <w:t xml:space="preserve"> riparo ai numerosi difetti di coordinamento con l’ordinamento vigente indicati in premessa e, segnatamente, a quelli riscontrati con il così detto codice ambientale di cui al decreto legislativo n. 152 del 2006, al quale in più punti la disciplina in oggetto si sovrappone, eventualmente valutando l’eventualità di aggiungere alla delega conferita al Governo dall’articolo 12, comma 2, un nuovo oggetto, consistente nel coordinamento della normativa introdotta dalla presente legge con l’ordinamento vigente;</w:t>
      </w:r>
    </w:p>
    <w:p w:rsidR="00541B8B" w:rsidRPr="00541B8B" w:rsidRDefault="00541B8B" w:rsidP="00541B8B">
      <w:pPr>
        <w:spacing w:before="60" w:after="60"/>
        <w:ind w:left="567" w:hanging="283"/>
        <w:contextualSpacing/>
        <w:rPr>
          <w:rFonts w:cs="Arial"/>
          <w:szCs w:val="22"/>
        </w:rPr>
      </w:pPr>
      <w:bookmarkStart w:id="256" w:name="S12c02"/>
      <w:r w:rsidRPr="00541B8B">
        <w:rPr>
          <w:rFonts w:cs="Arial"/>
          <w:szCs w:val="22"/>
        </w:rPr>
        <w:t xml:space="preserve">2) all’articolo 5, </w:t>
      </w:r>
      <w:bookmarkEnd w:id="256"/>
      <w:r w:rsidRPr="00541B8B">
        <w:rPr>
          <w:rFonts w:cs="Arial"/>
          <w:szCs w:val="22"/>
        </w:rPr>
        <w:t>comma 1, ultimo periodo, si specifichi quali sono i ministri che compongono il Comitato interministeriale che la disposizione medesima istituisce; [</w:t>
      </w:r>
      <w:hyperlink w:anchor="premessa1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57" w:name="S12c03"/>
      <w:r w:rsidRPr="00541B8B">
        <w:rPr>
          <w:rFonts w:cs="Arial"/>
          <w:szCs w:val="22"/>
        </w:rPr>
        <w:t xml:space="preserve">3) al medesimo </w:t>
      </w:r>
      <w:bookmarkEnd w:id="257"/>
      <w:r w:rsidRPr="00541B8B">
        <w:rPr>
          <w:rFonts w:cs="Arial"/>
          <w:szCs w:val="22"/>
        </w:rPr>
        <w:t>articolo 5, al comma 5, si provvedano ad indicare i poteri, la composizione, le funzioni, le risorse finanziarie, strumentali e di personale, nonché la sede dell’istituenda Autorità nazionale di vigilanza sulle risorse idriche; analogamente, al comma 6, si specifichino la struttura, l’organizzazione, il personale e l’atto di istituzione dell’Osservatorio del quale si prevede che l’Autorità si avvalga; [</w:t>
      </w:r>
      <w:hyperlink w:anchor="premessa1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58" w:name="S12c04"/>
      <w:r w:rsidRPr="00541B8B">
        <w:rPr>
          <w:rFonts w:cs="Arial"/>
          <w:szCs w:val="22"/>
        </w:rPr>
        <w:t>4) all’articolo 6</w:t>
      </w:r>
      <w:bookmarkEnd w:id="258"/>
      <w:r w:rsidRPr="00541B8B">
        <w:rPr>
          <w:rFonts w:cs="Arial"/>
          <w:szCs w:val="22"/>
        </w:rPr>
        <w:t>, comma 9, si riconfiguri l’esercizio del potere sostitutivo alla luce della procedura di attuazione dell’articolo 120 della Costituzione come delineata dall’articolo 8 della legge n. 131 del 2003; [</w:t>
      </w:r>
      <w:hyperlink w:anchor="premessa1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59" w:name="S12c05"/>
      <w:r w:rsidRPr="00541B8B">
        <w:rPr>
          <w:rFonts w:cs="Arial"/>
          <w:szCs w:val="22"/>
        </w:rPr>
        <w:t>5) all’articolo 6</w:t>
      </w:r>
      <w:bookmarkEnd w:id="259"/>
      <w:r w:rsidRPr="00541B8B">
        <w:rPr>
          <w:rFonts w:cs="Arial"/>
          <w:szCs w:val="22"/>
        </w:rPr>
        <w:t>, comma 10, si indichino i “Ministri competenti” all’adozione del decreto attuativo ivi contemplato; [</w:t>
      </w:r>
      <w:hyperlink w:anchor="premessa1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60" w:name="S12c06"/>
      <w:r w:rsidRPr="00541B8B">
        <w:rPr>
          <w:rFonts w:cs="Arial"/>
          <w:szCs w:val="22"/>
        </w:rPr>
        <w:t>6) all’articolo</w:t>
      </w:r>
      <w:bookmarkEnd w:id="260"/>
      <w:r w:rsidRPr="00541B8B">
        <w:rPr>
          <w:rFonts w:cs="Arial"/>
          <w:szCs w:val="22"/>
        </w:rPr>
        <w:t xml:space="preserve"> 10, comma 4, si precisi con quale strumento il Governo debba provvedere all’adozione della Carta nazionale del servizio idrico integrato; [</w:t>
      </w:r>
      <w:hyperlink w:anchor="premessa1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p>
    <w:p w:rsidR="00541B8B" w:rsidRPr="00541B8B" w:rsidRDefault="00541B8B" w:rsidP="00541B8B">
      <w:pPr>
        <w:spacing w:before="60" w:after="60"/>
        <w:ind w:left="567" w:hanging="283"/>
        <w:contextualSpacing/>
        <w:rPr>
          <w:rFonts w:cs="Arial"/>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bookmarkStart w:id="261" w:name="S12c07"/>
      <w:r w:rsidRPr="00541B8B">
        <w:rPr>
          <w:rFonts w:cs="Arial"/>
          <w:szCs w:val="22"/>
        </w:rPr>
        <w:t xml:space="preserve">7) all’articolo 12, </w:t>
      </w:r>
      <w:bookmarkEnd w:id="261"/>
      <w:r w:rsidRPr="00541B8B">
        <w:rPr>
          <w:rFonts w:cs="Arial"/>
          <w:szCs w:val="22"/>
        </w:rPr>
        <w:t>comma 2, si integri la disposizione di delega ivi contenuta con l’indicazione espressa dei principi e criteri direttivi per il suo esercizio; [</w:t>
      </w:r>
      <w:hyperlink w:anchor="premessa1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p>
    <w:p w:rsidR="00541B8B" w:rsidRPr="00541B8B" w:rsidRDefault="00541B8B" w:rsidP="00541B8B">
      <w:pPr>
        <w:spacing w:before="60" w:after="60"/>
        <w:ind w:left="567" w:hanging="283"/>
        <w:contextualSpacing/>
        <w:rPr>
          <w:rFonts w:cs="Arial"/>
          <w:szCs w:val="22"/>
        </w:rPr>
      </w:pPr>
    </w:p>
    <w:p w:rsidR="00541B8B" w:rsidRPr="00541B8B" w:rsidRDefault="00541B8B" w:rsidP="00541B8B">
      <w:pPr>
        <w:keepNext/>
        <w:spacing w:before="60" w:after="60"/>
        <w:ind w:left="567" w:hanging="283"/>
        <w:contextualSpacing/>
        <w:rPr>
          <w:rFonts w:cs="Arial"/>
          <w:b/>
          <w:szCs w:val="22"/>
        </w:rPr>
      </w:pPr>
      <w:bookmarkStart w:id="262" w:name="S12O"/>
      <w:r w:rsidRPr="00541B8B">
        <w:rPr>
          <w:rFonts w:cs="Arial"/>
          <w:b/>
          <w:szCs w:val="22"/>
        </w:rPr>
        <w:t>Osservazioni</w:t>
      </w:r>
      <w:bookmarkEnd w:id="262"/>
      <w:r w:rsidRPr="00541B8B">
        <w:rPr>
          <w:rFonts w:cs="Arial"/>
          <w:b/>
          <w:szCs w:val="22"/>
        </w:rPr>
        <w:t>:</w:t>
      </w:r>
    </w:p>
    <w:p w:rsidR="00541B8B" w:rsidRPr="00541B8B" w:rsidRDefault="00541B8B" w:rsidP="00541B8B">
      <w:pPr>
        <w:spacing w:before="60" w:after="60"/>
        <w:ind w:left="567" w:hanging="283"/>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r w:rsidRPr="00541B8B">
        <w:rPr>
          <w:rFonts w:cs="Arial"/>
          <w:szCs w:val="22"/>
        </w:rPr>
        <w:t xml:space="preserve">1) </w:t>
      </w:r>
      <w:bookmarkStart w:id="263" w:name="S12o01"/>
      <w:r w:rsidRPr="00541B8B">
        <w:rPr>
          <w:rFonts w:cs="Arial"/>
          <w:szCs w:val="22"/>
        </w:rPr>
        <w:t>all’articolo 3</w:t>
      </w:r>
      <w:bookmarkEnd w:id="263"/>
      <w:r w:rsidRPr="00541B8B">
        <w:rPr>
          <w:rFonts w:cs="Arial"/>
          <w:szCs w:val="22"/>
        </w:rPr>
        <w:t>, comma 9, alinea, si dovrebbe chiarire il significato dell’espressione “stato di qualità vicino a quella naturale”, eventualmente coordinandola con quella presente nell’allegato 1 al decreto legislativo n. 152 del 2006 che si riferisce allo “stato elevato, buono e sufficiente delle acque”; [</w:t>
      </w:r>
      <w:hyperlink w:anchor="premessa1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64" w:name="S12o02"/>
      <w:r w:rsidRPr="00541B8B">
        <w:rPr>
          <w:rFonts w:cs="Arial"/>
          <w:szCs w:val="22"/>
        </w:rPr>
        <w:t>2) all’articolo 8</w:t>
      </w:r>
      <w:bookmarkEnd w:id="264"/>
      <w:r w:rsidRPr="00541B8B">
        <w:rPr>
          <w:rFonts w:cs="Arial"/>
          <w:szCs w:val="22"/>
        </w:rPr>
        <w:t>, comma 1, si chiarisca il riferimento, ivi contenuto, alla “fiscalità specifica”, eventualmente richiamando le disposizioni contenute all’articolo 12, recante le norme di copertura finanziaria; [</w:t>
      </w:r>
      <w:hyperlink w:anchor="premessa1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65" w:name="S12o03"/>
      <w:r w:rsidRPr="00541B8B">
        <w:rPr>
          <w:rFonts w:cs="Arial"/>
          <w:szCs w:val="22"/>
        </w:rPr>
        <w:t>3) all’articolo 8</w:t>
      </w:r>
      <w:bookmarkEnd w:id="265"/>
      <w:r w:rsidRPr="00541B8B">
        <w:rPr>
          <w:rFonts w:cs="Arial"/>
          <w:szCs w:val="22"/>
        </w:rPr>
        <w:t>, comma 2, si ponga riparo al difetto di coordinamento interno al testo ivi presente, richiamando, in luogo dell’articolo 9, comma 1, l’articolo 2, comma 4. [</w:t>
      </w:r>
      <w:hyperlink w:anchor="premessa1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sectPr w:rsidR="00541B8B" w:rsidRPr="00541B8B" w:rsidSect="00D20CCA">
          <w:headerReference w:type="even" r:id="rId381"/>
          <w:headerReference w:type="default" r:id="rId382"/>
          <w:footerReference w:type="even" r:id="rId383"/>
          <w:footerReference w:type="default" r:id="rId384"/>
          <w:headerReference w:type="first" r:id="rId385"/>
          <w:footerReference w:type="first" r:id="rId386"/>
          <w:pgSz w:w="11906" w:h="16838" w:code="9"/>
          <w:pgMar w:top="1418" w:right="1418" w:bottom="1134" w:left="1418" w:header="567" w:footer="567" w:gutter="0"/>
          <w:cols w:space="708"/>
          <w:docGrid w:linePitch="360"/>
        </w:sectPr>
      </w:pPr>
    </w:p>
    <w:tbl>
      <w:tblPr>
        <w:tblStyle w:val="Grigliatabella"/>
        <w:tblW w:w="5000" w:type="pct"/>
        <w:tblLook w:val="01E0" w:firstRow="1" w:lastRow="1" w:firstColumn="1" w:lastColumn="1" w:noHBand="0" w:noVBand="0"/>
      </w:tblPr>
      <w:tblGrid>
        <w:gridCol w:w="1146"/>
        <w:gridCol w:w="1384"/>
        <w:gridCol w:w="1883"/>
        <w:gridCol w:w="3274"/>
        <w:gridCol w:w="1599"/>
      </w:tblGrid>
      <w:tr w:rsidR="00541B8B" w:rsidRPr="00541B8B" w:rsidTr="00D20CCA">
        <w:trPr>
          <w:cantSplit/>
          <w:trHeight w:val="567"/>
        </w:trPr>
        <w:tc>
          <w:tcPr>
            <w:tcW w:w="61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lastRenderedPageBreak/>
              <w:t>N. SCHEDA</w:t>
            </w:r>
          </w:p>
        </w:tc>
        <w:tc>
          <w:tcPr>
            <w:tcW w:w="74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14"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3"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2"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617"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0013</w:t>
            </w:r>
          </w:p>
        </w:tc>
        <w:tc>
          <w:tcPr>
            <w:tcW w:w="745"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3634</w:t>
            </w:r>
          </w:p>
        </w:tc>
        <w:tc>
          <w:tcPr>
            <w:tcW w:w="1014" w:type="pct"/>
          </w:tcPr>
          <w:p w:rsidR="00541B8B" w:rsidRPr="00541B8B" w:rsidRDefault="00DC78AD" w:rsidP="00541B8B">
            <w:pPr>
              <w:spacing w:before="100" w:beforeAutospacing="1" w:after="100" w:afterAutospacing="1"/>
              <w:ind w:firstLine="0"/>
              <w:contextualSpacing/>
              <w:jc w:val="center"/>
              <w:rPr>
                <w:rFonts w:cs="Arial"/>
                <w:szCs w:val="22"/>
              </w:rPr>
            </w:pPr>
            <w:hyperlink r:id="rId387" w:history="1">
              <w:r w:rsidR="00541B8B" w:rsidRPr="00541B8B">
                <w:rPr>
                  <w:rFonts w:cs="Arial"/>
                  <w:color w:val="0000FF"/>
                  <w:szCs w:val="22"/>
                  <w:u w:val="single"/>
                </w:rPr>
                <w:t>pdl</w:t>
              </w:r>
            </w:hyperlink>
          </w:p>
        </w:tc>
        <w:tc>
          <w:tcPr>
            <w:tcW w:w="1763"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Delega unioni civili e convivenze</w:t>
            </w:r>
          </w:p>
        </w:tc>
        <w:tc>
          <w:tcPr>
            <w:tcW w:w="862" w:type="pct"/>
          </w:tcPr>
          <w:p w:rsidR="00541B8B" w:rsidRPr="00541B8B" w:rsidRDefault="00DC78AD" w:rsidP="00541B8B">
            <w:pPr>
              <w:spacing w:before="100" w:beforeAutospacing="1" w:after="100" w:afterAutospacing="1"/>
              <w:ind w:firstLine="0"/>
              <w:contextualSpacing/>
              <w:jc w:val="center"/>
              <w:rPr>
                <w:rFonts w:cs="Arial"/>
                <w:szCs w:val="22"/>
              </w:rPr>
            </w:pPr>
            <w:hyperlink r:id="rId388" w:anchor="data.20160412.com48.bollettino.sede00010.tit00010" w:history="1">
              <w:r w:rsidR="00541B8B" w:rsidRPr="00541B8B">
                <w:rPr>
                  <w:rFonts w:cs="Arial"/>
                  <w:color w:val="0000FF"/>
                  <w:szCs w:val="22"/>
                  <w:u w:val="single"/>
                </w:rPr>
                <w:t>12/04/2016</w:t>
              </w:r>
            </w:hyperlink>
          </w:p>
        </w:tc>
      </w:tr>
    </w:tbl>
    <w:p w:rsidR="00541B8B" w:rsidRPr="00541B8B" w:rsidRDefault="00541B8B" w:rsidP="00541B8B">
      <w:pPr>
        <w:spacing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266" w:name="premessa13"/>
            <w:r w:rsidRPr="00541B8B">
              <w:rPr>
                <w:rFonts w:cs="Arial"/>
                <w:b/>
                <w:color w:val="0000FF"/>
                <w:sz w:val="24"/>
                <w:szCs w:val="24"/>
              </w:rPr>
              <w:t>Premessa</w:t>
            </w:r>
            <w:bookmarkEnd w:id="266"/>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2 Condizioni, 4 Osservazioni, 1 Raccomandazione</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01" w:history="1">
              <w:r w:rsidR="00541B8B" w:rsidRPr="00541B8B">
                <w:rPr>
                  <w:rFonts w:cs="Arial"/>
                  <w:color w:val="0000FF"/>
                  <w:szCs w:val="22"/>
                  <w:u w:val="single"/>
                </w:rPr>
                <w:t>1</w:t>
              </w:r>
            </w:hyperlink>
            <w:r w:rsidR="00541B8B" w:rsidRPr="00541B8B">
              <w:rPr>
                <w:rFonts w:cs="Arial"/>
                <w:szCs w:val="22"/>
              </w:rPr>
              <w:t xml:space="preserve"> – Contenuto omogeneo </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Contenuto omogeneo e corrispondente al titolo</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Parziale sovrapposizione di due disposizioni, una delle quali novella  l’articolo 124 del codice civile.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03" w:history="1">
              <w:r w:rsidR="00541B8B" w:rsidRPr="00541B8B">
                <w:rPr>
                  <w:rFonts w:cs="Arial"/>
                  <w:color w:val="0000FF"/>
                  <w:szCs w:val="22"/>
                  <w:u w:val="single"/>
                </w:rPr>
                <w:t>3</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Non specificato un riferimento al codice civile.</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2</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04" w:history="1">
              <w:r w:rsidR="00541B8B" w:rsidRPr="00541B8B">
                <w:rPr>
                  <w:rFonts w:cs="Arial"/>
                  <w:color w:val="0000FF"/>
                  <w:szCs w:val="22"/>
                  <w:u w:val="single"/>
                </w:rPr>
                <w:t>4</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Uso di espressioni che andrebbero armonizzate con quelle già presenti nel codice civile.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Raccomandazione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05" w:history="1">
              <w:r w:rsidR="00541B8B" w:rsidRPr="00541B8B">
                <w:rPr>
                  <w:rFonts w:cs="Arial"/>
                  <w:color w:val="0000FF"/>
                  <w:szCs w:val="22"/>
                  <w:u w:val="single"/>
                </w:rPr>
                <w:t>5</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Estensione alle parti delle unioni civili dei diritti e doveri derivanti dal rapporto di coniugio ad eccezione di quelli disciplinati nel codice civile e non espressamente richiamati nella legge n. 184 del 1983, senza precisare se con il suddetto rinvio si intendano richiamare anche le norme </w:t>
            </w:r>
            <w:r w:rsidRPr="00541B8B">
              <w:rPr>
                <w:rFonts w:cs="Arial"/>
                <w:i/>
                <w:szCs w:val="22"/>
              </w:rPr>
              <w:t xml:space="preserve">in </w:t>
            </w:r>
            <w:proofErr w:type="spellStart"/>
            <w:r w:rsidRPr="00541B8B">
              <w:rPr>
                <w:rFonts w:cs="Arial"/>
                <w:i/>
                <w:szCs w:val="22"/>
              </w:rPr>
              <w:t>malam</w:t>
            </w:r>
            <w:proofErr w:type="spellEnd"/>
            <w:r w:rsidRPr="00541B8B">
              <w:rPr>
                <w:rFonts w:cs="Arial"/>
                <w:i/>
                <w:szCs w:val="22"/>
              </w:rPr>
              <w:t xml:space="preserve"> </w:t>
            </w:r>
            <w:proofErr w:type="spellStart"/>
            <w:r w:rsidRPr="00541B8B">
              <w:rPr>
                <w:rFonts w:cs="Arial"/>
                <w:i/>
                <w:szCs w:val="22"/>
              </w:rPr>
              <w:t>partem</w:t>
            </w:r>
            <w:proofErr w:type="spellEnd"/>
            <w:r w:rsidRPr="00541B8B">
              <w:rPr>
                <w:rFonts w:cs="Arial"/>
                <w:szCs w:val="22"/>
              </w:rPr>
              <w:t xml:space="preserve"> derivanti dalla qualità di coniuge</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06" w:history="1">
              <w:r w:rsidR="00541B8B" w:rsidRPr="00541B8B">
                <w:rPr>
                  <w:rFonts w:cs="Arial"/>
                  <w:color w:val="0000FF"/>
                  <w:szCs w:val="22"/>
                  <w:u w:val="single"/>
                </w:rPr>
                <w:t>6</w:t>
              </w:r>
            </w:hyperlink>
            <w:r w:rsidR="00541B8B" w:rsidRPr="00541B8B">
              <w:rPr>
                <w:rFonts w:cs="Arial"/>
                <w:szCs w:val="22"/>
              </w:rPr>
              <w:t xml:space="preserve"> – Portata normativa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Richiamo alla legge n. 184 del 1983 sembra avere natura ricognitiva </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07" w:history="1">
              <w:r w:rsidR="00541B8B" w:rsidRPr="00541B8B">
                <w:rPr>
                  <w:rFonts w:cs="Arial"/>
                  <w:color w:val="0000FF"/>
                  <w:szCs w:val="22"/>
                  <w:u w:val="single"/>
                </w:rPr>
                <w:t>7</w:t>
              </w:r>
            </w:hyperlink>
            <w:r w:rsidR="00541B8B" w:rsidRPr="00541B8B">
              <w:rPr>
                <w:rFonts w:cs="Arial"/>
                <w:szCs w:val="22"/>
              </w:rPr>
              <w:t xml:space="preserve"> – Disposizioni di delega.</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Coerente utilizzo delle fonti normative.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Previsione di intervento su fonte normativa subordinata tramite decreto legislativo. Richiamo al punto 3, lettera </w:t>
            </w:r>
            <w:r w:rsidRPr="00541B8B">
              <w:rPr>
                <w:rFonts w:cs="Arial"/>
                <w:i/>
                <w:szCs w:val="22"/>
              </w:rPr>
              <w:t>e)</w:t>
            </w:r>
            <w:r w:rsidRPr="00541B8B">
              <w:rPr>
                <w:rFonts w:cs="Arial"/>
                <w:szCs w:val="22"/>
              </w:rPr>
              <w:t>, della circolare sulla formulazione dei testi normativi.</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08" w:history="1">
              <w:r w:rsidR="00541B8B" w:rsidRPr="00541B8B">
                <w:rPr>
                  <w:rFonts w:cs="Arial"/>
                  <w:color w:val="0000FF"/>
                  <w:szCs w:val="22"/>
                  <w:u w:val="single"/>
                </w:rPr>
                <w:t>8</w:t>
              </w:r>
            </w:hyperlink>
            <w:r w:rsidR="00541B8B" w:rsidRPr="00541B8B">
              <w:rPr>
                <w:rFonts w:cs="Arial"/>
                <w:szCs w:val="22"/>
              </w:rPr>
              <w:t xml:space="preserve"> – Delegificazione spuria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Previsione di un DPCM a contenuto normativo per l’adozione di disposizioni transitorie nelle more della legificazione della fonte.</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09" w:history="1">
              <w:r w:rsidR="00541B8B" w:rsidRPr="00541B8B">
                <w:rPr>
                  <w:rFonts w:cs="Arial"/>
                  <w:color w:val="0000FF"/>
                  <w:szCs w:val="22"/>
                  <w:u w:val="single"/>
                </w:rPr>
                <w:t>9</w:t>
              </w:r>
            </w:hyperlink>
            <w:r w:rsidR="00541B8B" w:rsidRPr="00541B8B">
              <w:rPr>
                <w:rFonts w:cs="Arial"/>
                <w:szCs w:val="22"/>
              </w:rPr>
              <w:t xml:space="preserve"> – Efficacia temporale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Disposizione priva di portata normativa, in assenza della previsione di entrata in vigore differita per le altre disposizioni.</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3</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3a10" w:history="1">
              <w:r w:rsidR="00541B8B" w:rsidRPr="00541B8B">
                <w:rPr>
                  <w:rFonts w:cs="Arial"/>
                  <w:color w:val="0000FF"/>
                  <w:szCs w:val="22"/>
                  <w:u w:val="single"/>
                </w:rPr>
                <w:t>10</w:t>
              </w:r>
            </w:hyperlink>
            <w:r w:rsidR="00541B8B" w:rsidRPr="00541B8B">
              <w:rPr>
                <w:rFonts w:cs="Arial"/>
                <w:szCs w:val="22"/>
              </w:rPr>
              <w:t xml:space="preserve"> – 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Scorrimento del termine per l’esercizio della delega (“tecnica dello scorrimento”).</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2</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szCs w:val="22"/>
              </w:rPr>
            </w:pPr>
            <w:hyperlink w:anchor="S13a11" w:history="1">
              <w:r w:rsidR="00541B8B" w:rsidRPr="00541B8B">
                <w:rPr>
                  <w:color w:val="0000FF"/>
                  <w:szCs w:val="22"/>
                  <w:u w:val="single"/>
                </w:rPr>
                <w:t>11</w:t>
              </w:r>
            </w:hyperlink>
            <w:r w:rsidR="00541B8B" w:rsidRPr="00541B8B">
              <w:rPr>
                <w:szCs w:val="22"/>
              </w:rPr>
              <w:t xml:space="preserve"> – Formulazione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4</w:t>
            </w:r>
          </w:p>
        </w:tc>
      </w:tr>
      <w:tr w:rsidR="00541B8B" w:rsidRPr="00541B8B" w:rsidTr="00D20CCA">
        <w:trPr>
          <w:trHeight w:val="70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szCs w:val="22"/>
              </w:rPr>
            </w:pPr>
            <w:hyperlink w:anchor="S13a12" w:history="1">
              <w:r w:rsidR="00541B8B" w:rsidRPr="00541B8B">
                <w:rPr>
                  <w:color w:val="0000FF"/>
                  <w:szCs w:val="22"/>
                  <w:u w:val="single"/>
                </w:rPr>
                <w:t>12</w:t>
              </w:r>
            </w:hyperlink>
            <w:r w:rsidR="00541B8B" w:rsidRPr="00541B8B">
              <w:rPr>
                <w:szCs w:val="22"/>
              </w:rPr>
              <w:t xml:space="preserve"> – Coordinamento interno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3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3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pPr>
            <w:hyperlink w:anchor="S13R" w:history="1">
              <w:r w:rsidR="00541B8B" w:rsidRPr="00541B8B">
                <w:rPr>
                  <w:color w:val="0000FF"/>
                  <w:u w:val="single"/>
                </w:rPr>
                <w:t>R</w:t>
              </w:r>
            </w:hyperlink>
            <w:r w:rsidR="00541B8B" w:rsidRPr="00541B8B">
              <w:t xml:space="preserve"> - Raccomandazione</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ind w:firstLine="0"/>
        <w:contextualSpacing/>
        <w:rPr>
          <w:rFonts w:cs="Arial"/>
          <w:b/>
          <w:szCs w:val="22"/>
        </w:rPr>
      </w:pPr>
    </w:p>
    <w:p w:rsidR="00541B8B" w:rsidRPr="00541B8B" w:rsidRDefault="00541B8B" w:rsidP="00541B8B">
      <w:pPr>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 xml:space="preserve">Punto 3, lettera </w:t>
            </w:r>
            <w:r w:rsidRPr="00541B8B">
              <w:rPr>
                <w:rFonts w:cs="Arial"/>
                <w:szCs w:val="22"/>
              </w:rPr>
              <w:t>e)</w:t>
            </w:r>
            <w:r w:rsidRPr="00541B8B">
              <w:rPr>
                <w:rFonts w:cs="Arial"/>
                <w:i/>
                <w:szCs w:val="22"/>
              </w:rPr>
              <w:t>, della circolare sulla formulazione dei testi normativi.</w:t>
            </w:r>
          </w:p>
        </w:tc>
      </w:tr>
    </w:tbl>
    <w:p w:rsidR="00541B8B" w:rsidRPr="00541B8B" w:rsidRDefault="00541B8B" w:rsidP="00541B8B">
      <w:pPr>
        <w:contextualSpacing/>
        <w:rPr>
          <w:rFonts w:cs="Arial"/>
          <w:szCs w:val="22"/>
        </w:rPr>
      </w:pPr>
    </w:p>
    <w:p w:rsidR="00541B8B" w:rsidRPr="00541B8B" w:rsidRDefault="00541B8B" w:rsidP="00541B8B">
      <w:pPr>
        <w:contextualSpacing/>
        <w:rPr>
          <w:rFonts w:cs="Arial"/>
          <w:szCs w:val="22"/>
        </w:rPr>
      </w:pPr>
    </w:p>
    <w:p w:rsidR="00541B8B" w:rsidRPr="00541B8B" w:rsidRDefault="00541B8B" w:rsidP="00541B8B">
      <w:pPr>
        <w:spacing w:before="60" w:after="60"/>
        <w:contextualSpacing/>
        <w:rPr>
          <w:rFonts w:cs="Arial"/>
          <w:szCs w:val="22"/>
        </w:rPr>
      </w:pPr>
      <w:bookmarkStart w:id="267" w:name="S13a01"/>
      <w:r w:rsidRPr="00541B8B">
        <w:rPr>
          <w:rFonts w:cs="Arial"/>
          <w:szCs w:val="22"/>
        </w:rPr>
        <w:t>1</w:t>
      </w:r>
      <w:bookmarkEnd w:id="267"/>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provvedimento presenta un </w:t>
      </w:r>
      <w:r w:rsidRPr="00541B8B">
        <w:rPr>
          <w:rFonts w:cs="Arial"/>
          <w:b/>
          <w:szCs w:val="22"/>
        </w:rPr>
        <w:t>contenuto omogeneo e corrispondente al titolo</w:t>
      </w:r>
      <w:r w:rsidRPr="00541B8B">
        <w:rPr>
          <w:rFonts w:cs="Arial"/>
          <w:szCs w:val="22"/>
        </w:rPr>
        <w:t xml:space="preserve"> in quanto interviene, in parte mediante una nuova disciplina, in parte mediante rinvii all'ordinamento vigente, a introdurre la disciplina giuridica delle unioni civili tra persone dello stesso sesso e delle unioni di fatto (sia tra coppie omosessuali sia tra coppie eterosessuali)»;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68" w:name="S13a02"/>
      <w:r w:rsidRPr="00541B8B">
        <w:rPr>
          <w:rFonts w:cs="Arial"/>
          <w:szCs w:val="22"/>
        </w:rPr>
        <w:t>2</w:t>
      </w:r>
      <w:bookmarkEnd w:id="268"/>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«sul piano del </w:t>
      </w:r>
      <w:r w:rsidRPr="00541B8B">
        <w:rPr>
          <w:rFonts w:cs="Arial"/>
          <w:b/>
          <w:szCs w:val="22"/>
        </w:rPr>
        <w:t>coordinamento interno ed esterno al testo</w:t>
      </w:r>
      <w:r w:rsidRPr="00541B8B">
        <w:rPr>
          <w:rFonts w:cs="Arial"/>
          <w:szCs w:val="22"/>
        </w:rPr>
        <w:t>, la proposta di legge, con riguardo al vincolo derivante dalla precedente unione civile, contiene due disposizioni, una formulata in termini di novella ed una recante un'autonoma disciplina, che parzialmente si sovrappongono: in particolare, al comma 8, il primo periodo riproduce, integrandola, la disciplina contenuta all'articolo 124, primo periodo, del codice civile, prevedendo che il coniuge sia in ogni tempo legittimato ad impugnare, oltre al matrimonio successivamente contratto dall'altro coniuge, anche l'unione civile successivamente costituita dal medesimo; il secondo periodo riproduce invece il secondo periodo dell'articolo 124 del codice civile, sostituendo il riferimento al matrimonio con quello all'unione civile e prevedendo cioè che, nel caso in cui venga opposta la nullità dell'unione civile, tale questione debba essere preventivamente giudicata; il successivo comma 33, con disposizione di identico contenuto rispetto a quella presente nel comma 8, primo periodo, novella l'articolo 124 del codice civile, integrando il primo periodo con il riferimento all'unione civile» (</w:t>
      </w:r>
      <w:hyperlink w:anchor="S13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69" w:name="S13a03"/>
      <w:r w:rsidRPr="00541B8B">
        <w:rPr>
          <w:rFonts w:cs="Arial"/>
          <w:szCs w:val="22"/>
        </w:rPr>
        <w:lastRenderedPageBreak/>
        <w:t>3</w:t>
      </w:r>
      <w:bookmarkEnd w:id="269"/>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«sempre sul piano del </w:t>
      </w:r>
      <w:r w:rsidRPr="00541B8B">
        <w:rPr>
          <w:rFonts w:cs="Arial"/>
          <w:b/>
          <w:szCs w:val="22"/>
        </w:rPr>
        <w:t>coordinamento con l'ordinamento vigente</w:t>
      </w:r>
      <w:r w:rsidRPr="00541B8B">
        <w:rPr>
          <w:rFonts w:cs="Arial"/>
          <w:szCs w:val="22"/>
        </w:rPr>
        <w:t>, al comma 18 è presente un riferimento alla sospensione della prescrizione senza che sia specificato che si tratta di quella derivante dai rapporti tra le parti di cui all'articolo 2941 del codice civile» (</w:t>
      </w:r>
      <w:hyperlink w:anchor="S13o02"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contextualSpacing/>
        <w:rPr>
          <w:rFonts w:cs="Arial"/>
          <w:szCs w:val="22"/>
        </w:rPr>
      </w:pPr>
    </w:p>
    <w:p w:rsidR="00541B8B" w:rsidRPr="00541B8B" w:rsidRDefault="00541B8B" w:rsidP="00541B8B">
      <w:pPr>
        <w:contextualSpacing/>
        <w:rPr>
          <w:rFonts w:cs="Arial"/>
          <w:szCs w:val="22"/>
        </w:rPr>
      </w:pPr>
    </w:p>
    <w:p w:rsidR="00541B8B" w:rsidRPr="00541B8B" w:rsidRDefault="00541B8B" w:rsidP="00541B8B">
      <w:pPr>
        <w:spacing w:before="60" w:after="120"/>
        <w:contextualSpacing/>
        <w:rPr>
          <w:rFonts w:cs="Arial"/>
          <w:szCs w:val="22"/>
        </w:rPr>
      </w:pPr>
      <w:bookmarkStart w:id="270" w:name="S13a04"/>
      <w:r w:rsidRPr="00541B8B">
        <w:rPr>
          <w:rFonts w:cs="Arial"/>
          <w:szCs w:val="22"/>
        </w:rPr>
        <w:t>4</w:t>
      </w:r>
      <w:bookmarkEnd w:id="270"/>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«con riferimento al comma 47, che integra il comma 712 del codice di procedura civile prevedendo che nella domanda di interdizione o inabilitazione debbano essere indicati nome e cognome e residenza dell'eventuale “convivente di fatto”, si segnala invece che l'articolo 417 del </w:t>
      </w:r>
      <w:r w:rsidRPr="00541B8B">
        <w:rPr>
          <w:rFonts w:cs="Arial"/>
          <w:b/>
          <w:szCs w:val="22"/>
        </w:rPr>
        <w:t>codice civile</w:t>
      </w:r>
      <w:r w:rsidRPr="00541B8B">
        <w:rPr>
          <w:rFonts w:cs="Arial"/>
          <w:szCs w:val="22"/>
        </w:rPr>
        <w:t xml:space="preserve"> – con diversa espressione che andrebbe armonizzata, o attraverso la delega al coordinamento di cui al comma 28 o direttamente nel testo – prevede che l'istanza di interdizione o inabilitazione sia promossa, tra l'altro, dalla persona “stabilmente convivente”; problemi di coordinamento si pongono anche al successivo comma 48, che prevede la possibilità che il convivente di fatto sia nominato amministratore di sostegno: l'articolo 408 del codice civile, riferendosi anche in questo caso alla persona “stabilmente convivente”, già prevede tale possibilità, precisando inoltre che la scelta del giudice tutelare debba ricadere preferibilmente su tale soggetto» (</w:t>
      </w:r>
      <w:hyperlink w:anchor="S13r01" w:history="1">
        <w:r w:rsidRPr="00541B8B">
          <w:rPr>
            <w:rFonts w:cs="Arial"/>
            <w:b/>
            <w:color w:val="0000FF"/>
            <w:szCs w:val="22"/>
            <w:u w:val="single"/>
          </w:rPr>
          <w:t>conseguente raccomandazione</w:t>
        </w:r>
      </w:hyperlink>
      <w:r w:rsidRPr="00541B8B">
        <w:rPr>
          <w:rFonts w:cs="Arial"/>
          <w:szCs w:val="22"/>
        </w:rPr>
        <w:t>);</w:t>
      </w:r>
    </w:p>
    <w:p w:rsidR="00541B8B" w:rsidRPr="00541B8B" w:rsidRDefault="00541B8B" w:rsidP="00541B8B">
      <w:pPr>
        <w:contextualSpacing/>
        <w:rPr>
          <w:rFonts w:cs="Arial"/>
          <w:szCs w:val="22"/>
        </w:rPr>
      </w:pPr>
    </w:p>
    <w:p w:rsidR="00541B8B" w:rsidRPr="00541B8B" w:rsidRDefault="00541B8B" w:rsidP="00541B8B">
      <w:pPr>
        <w:contextualSpacing/>
        <w:rPr>
          <w:rFonts w:cs="Arial"/>
          <w:szCs w:val="22"/>
        </w:rPr>
      </w:pPr>
    </w:p>
    <w:p w:rsidR="00541B8B" w:rsidRPr="00541B8B" w:rsidRDefault="00541B8B" w:rsidP="00541B8B">
      <w:pPr>
        <w:spacing w:before="60" w:after="120"/>
        <w:contextualSpacing/>
        <w:rPr>
          <w:rFonts w:cs="Arial"/>
          <w:szCs w:val="22"/>
        </w:rPr>
      </w:pPr>
      <w:bookmarkStart w:id="271" w:name="S13a05"/>
      <w:r w:rsidRPr="00541B8B">
        <w:rPr>
          <w:rFonts w:cs="Arial"/>
          <w:szCs w:val="22"/>
        </w:rPr>
        <w:t>5</w:t>
      </w:r>
      <w:bookmarkEnd w:id="271"/>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«al comma 20, che, con norma che sembrerebbe avere carattere generale, estende alle parti delle unioni civili i diritti e i doveri derivanti dal rapporto di coniugio ad eccezione di quelli disciplinati nel codice civile e non espressamente richiamati nella legge n. 184 del 1983 in materia di adozioni, parrebbe opportuno precisare se con il suddetto rinvio si intendano richiamare anche le norme </w:t>
      </w:r>
      <w:r w:rsidRPr="00541B8B">
        <w:rPr>
          <w:rFonts w:cs="Arial"/>
          <w:i/>
          <w:szCs w:val="22"/>
        </w:rPr>
        <w:t xml:space="preserve">in </w:t>
      </w:r>
      <w:proofErr w:type="spellStart"/>
      <w:r w:rsidRPr="00541B8B">
        <w:rPr>
          <w:rFonts w:cs="Arial"/>
          <w:i/>
          <w:szCs w:val="22"/>
        </w:rPr>
        <w:t>malam</w:t>
      </w:r>
      <w:proofErr w:type="spellEnd"/>
      <w:r w:rsidRPr="00541B8B">
        <w:rPr>
          <w:rFonts w:cs="Arial"/>
          <w:i/>
          <w:szCs w:val="22"/>
        </w:rPr>
        <w:t xml:space="preserve"> </w:t>
      </w:r>
      <w:proofErr w:type="spellStart"/>
      <w:r w:rsidRPr="00541B8B">
        <w:rPr>
          <w:rFonts w:cs="Arial"/>
          <w:i/>
          <w:szCs w:val="22"/>
        </w:rPr>
        <w:t>partem</w:t>
      </w:r>
      <w:proofErr w:type="spellEnd"/>
      <w:r w:rsidRPr="00541B8B">
        <w:rPr>
          <w:rFonts w:cs="Arial"/>
          <w:szCs w:val="22"/>
        </w:rPr>
        <w:t xml:space="preserve"> derivanti dalla qualità di coniuge (a mero titolo esemplificativo, si consideri l'articolo 577 del codice penale, che, nel caso di omicidio, prevede un aumento di pena se il reato è stato commesso contro il coniuge, ovvero le diverse normative che pongono quale causa di incompatibilità nell'esercizio di una professione o della funzione assegnata il rapporto di coniugio con un'altra parte) e, in caso affermativo, individuare le suddette norme in maniera puntuale»;</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72" w:name="S13a06"/>
      <w:r w:rsidRPr="00541B8B">
        <w:rPr>
          <w:rFonts w:cs="Arial"/>
          <w:szCs w:val="22"/>
        </w:rPr>
        <w:t>6</w:t>
      </w:r>
      <w:bookmarkEnd w:id="272"/>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«al medesimo comma 20 sembrerebbe inoltre necessario chiarire se, l'ultimo periodo, che mantiene fermo quanto previsto e consentito in materia di adozione dalle norme vigenti, abbia, come sembra, </w:t>
      </w:r>
      <w:r w:rsidRPr="00541B8B">
        <w:rPr>
          <w:rFonts w:cs="Arial"/>
          <w:b/>
          <w:szCs w:val="22"/>
        </w:rPr>
        <w:t>natura meramente ricognitiva</w:t>
      </w:r>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73" w:name="S13a07"/>
      <w:r w:rsidRPr="00541B8B">
        <w:rPr>
          <w:rFonts w:cs="Arial"/>
          <w:szCs w:val="22"/>
        </w:rPr>
        <w:t>7</w:t>
      </w:r>
      <w:bookmarkEnd w:id="273"/>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«in relazione alla formulazione delle </w:t>
      </w:r>
      <w:r w:rsidRPr="00541B8B">
        <w:rPr>
          <w:rFonts w:cs="Arial"/>
          <w:b/>
          <w:szCs w:val="22"/>
        </w:rPr>
        <w:t>disposizioni di delega</w:t>
      </w:r>
      <w:r w:rsidRPr="00541B8B">
        <w:rPr>
          <w:rFonts w:cs="Arial"/>
          <w:szCs w:val="22"/>
        </w:rPr>
        <w:t xml:space="preserve">, il comma 28, alla lettera </w:t>
      </w:r>
      <w:r w:rsidRPr="00541B8B">
        <w:rPr>
          <w:rFonts w:cs="Arial"/>
          <w:i/>
          <w:iCs/>
          <w:szCs w:val="22"/>
        </w:rPr>
        <w:t>a</w:t>
      </w:r>
      <w:r w:rsidRPr="00541B8B">
        <w:rPr>
          <w:rFonts w:cs="Arial"/>
          <w:szCs w:val="22"/>
        </w:rPr>
        <w:t xml:space="preserve">), annovera tra i principi e i criteri direttivi ai quali il legislatore delegato deve attenersi, quello dell'adeguamento delle disposizioni dell'ordinamento dello stato civile in materia di iscrizioni, trascrizioni e annotazioni alle previsioni della legge all'esame: in proposito, si segnala che le succitate disposizioni sono contenute principalmente in una fonte regolamentare (si tratta del decreto del Presidente della Repubblica n. 396 del 3 novembre del 2000, recante Disciplina dell'archivio civile); conseguentemente, il medesimo articolo, alla lettera </w:t>
      </w:r>
      <w:r w:rsidRPr="00541B8B">
        <w:rPr>
          <w:rFonts w:cs="Arial"/>
          <w:i/>
          <w:iCs/>
          <w:szCs w:val="22"/>
        </w:rPr>
        <w:t>c</w:t>
      </w:r>
      <w:r w:rsidRPr="00541B8B">
        <w:rPr>
          <w:rFonts w:cs="Arial"/>
          <w:szCs w:val="22"/>
        </w:rPr>
        <w:t xml:space="preserve">), annovera, tra i principi e i criteri direttivi ai quali il legislatore delegato deve attenersi, quello del coordinamento con la nuova disciplina delle vigenti disposizioni contenute non solo in fonti di rango primario, ma anche “nei regolamenti e nei decreti”, con la </w:t>
      </w:r>
      <w:r w:rsidRPr="00541B8B">
        <w:rPr>
          <w:rFonts w:cs="Arial"/>
          <w:szCs w:val="22"/>
        </w:rPr>
        <w:lastRenderedPageBreak/>
        <w:t xml:space="preserve">conseguenza che entrambi i principi e criteri direttivi sembrerebbero volti a delegare il Governo a </w:t>
      </w:r>
      <w:r w:rsidRPr="00541B8B">
        <w:rPr>
          <w:rFonts w:cs="Arial"/>
          <w:b/>
          <w:szCs w:val="22"/>
        </w:rPr>
        <w:t>modificare con fonte di rango primario disposizioni di natura regolamentare</w:t>
      </w:r>
      <w:r w:rsidRPr="00541B8B">
        <w:rPr>
          <w:rFonts w:cs="Arial"/>
          <w:szCs w:val="22"/>
        </w:rPr>
        <w:t xml:space="preserve">, integrando una modalità di produzione legislativa che, secondo i costanti indirizzi del Comitato, non appare conforme alle esigenze di coerente utilizzo delle fonti, in quanto può derivarne l'effetto secondo cui atti non aventi forza di legge presentano un diverso grado di resistenza ad interventi modificativi successivi (si veda il </w:t>
      </w:r>
      <w:r w:rsidRPr="00541B8B">
        <w:rPr>
          <w:rFonts w:cs="Arial"/>
          <w:b/>
          <w:szCs w:val="22"/>
        </w:rPr>
        <w:t xml:space="preserve">punto 3, lettera </w:t>
      </w:r>
      <w:r w:rsidRPr="00541B8B">
        <w:rPr>
          <w:rFonts w:cs="Arial"/>
          <w:b/>
          <w:i/>
          <w:iCs/>
          <w:szCs w:val="22"/>
        </w:rPr>
        <w:t>e</w:t>
      </w:r>
      <w:r w:rsidRPr="00541B8B">
        <w:rPr>
          <w:rFonts w:cs="Arial"/>
          <w:b/>
          <w:szCs w:val="22"/>
        </w:rPr>
        <w:t>), della circolare</w:t>
      </w:r>
      <w:r w:rsidRPr="00541B8B">
        <w:rPr>
          <w:rFonts w:cs="Arial"/>
          <w:szCs w:val="22"/>
        </w:rPr>
        <w:t xml:space="preserve"> congiunta dei Presidenti di Camera e Senato e del Presidente del Consiglio del 20 aprile 2001)» (</w:t>
      </w:r>
      <w:hyperlink w:anchor="S13c01"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74" w:name="S13a08"/>
      <w:r w:rsidRPr="00541B8B">
        <w:rPr>
          <w:rFonts w:cs="Arial"/>
          <w:szCs w:val="22"/>
        </w:rPr>
        <w:t>8</w:t>
      </w:r>
      <w:bookmarkEnd w:id="274"/>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successivo comma 34, nelle more dell'entrata in vigore dei decreti legislativi di cui al comma 28, lettera</w:t>
      </w:r>
      <w:r w:rsidRPr="00541B8B">
        <w:rPr>
          <w:rFonts w:cs="Arial"/>
          <w:i/>
          <w:iCs/>
          <w:szCs w:val="22"/>
        </w:rPr>
        <w:t xml:space="preserve"> a</w:t>
      </w:r>
      <w:r w:rsidRPr="00541B8B">
        <w:rPr>
          <w:rFonts w:cs="Arial"/>
          <w:szCs w:val="22"/>
        </w:rPr>
        <w:t xml:space="preserve">), affida ad un </w:t>
      </w:r>
      <w:r w:rsidRPr="00541B8B">
        <w:rPr>
          <w:rFonts w:cs="Arial"/>
          <w:b/>
          <w:szCs w:val="22"/>
        </w:rPr>
        <w:t>decreto del Presidente del Consiglio dei ministri</w:t>
      </w:r>
      <w:r w:rsidRPr="00541B8B">
        <w:rPr>
          <w:rFonts w:cs="Arial"/>
          <w:szCs w:val="22"/>
        </w:rPr>
        <w:t>, su proposta del Ministro dell'interno, da emanare entro trenta giorni dalla data di entrata in vigore della legge, il compito di stabilire “le disposizioni transitorie necessarie per la tenuta dei registri nell'archivio dello stato civile”, delineando così una procedura della quale andrebbe verificata la coerenza con il sistema delle fonti del diritto e che determina, nelle more della legificazione della fonte operata dal comma 28, una transitoria dequalificazione della stessa» (</w:t>
      </w:r>
      <w:hyperlink w:anchor="S13c01"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75" w:name="S13a09"/>
      <w:r w:rsidRPr="00541B8B">
        <w:rPr>
          <w:rFonts w:cs="Arial"/>
          <w:szCs w:val="22"/>
        </w:rPr>
        <w:t>9</w:t>
      </w:r>
      <w:bookmarkEnd w:id="275"/>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«la proposta di legge, al comma 35 prevede, per le sole disposizioni di cui ai commi da 1 a 34, relative alle unioni civili, che esse </w:t>
      </w:r>
      <w:r w:rsidRPr="00541B8B">
        <w:rPr>
          <w:rFonts w:cs="Arial"/>
          <w:b/>
          <w:szCs w:val="22"/>
        </w:rPr>
        <w:t>acquistino efficacia</w:t>
      </w:r>
      <w:r w:rsidRPr="00541B8B">
        <w:rPr>
          <w:rFonts w:cs="Arial"/>
          <w:szCs w:val="22"/>
        </w:rPr>
        <w:t xml:space="preserve"> “a decorrere dalla data di entrata in vigore della presente legge”; in assenza di una diversa previsione di entrata in vigore differita per le altre disposizioni, tale norma risulta sprovvista di un'effettiva portata normativa» (</w:t>
      </w:r>
      <w:hyperlink w:anchor="S13o03"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76" w:name="S13a10"/>
      <w:r w:rsidRPr="00541B8B">
        <w:rPr>
          <w:rFonts w:cs="Arial"/>
          <w:szCs w:val="22"/>
        </w:rPr>
        <w:t>10</w:t>
      </w:r>
      <w:bookmarkEnd w:id="276"/>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«con riferimento al computo dei </w:t>
      </w:r>
      <w:r w:rsidRPr="00541B8B">
        <w:rPr>
          <w:rFonts w:cs="Arial"/>
          <w:b/>
          <w:szCs w:val="22"/>
        </w:rPr>
        <w:t>termini per l'esercizio della delega</w:t>
      </w:r>
      <w:r w:rsidRPr="00541B8B">
        <w:rPr>
          <w:rFonts w:cs="Arial"/>
          <w:szCs w:val="22"/>
        </w:rPr>
        <w:t xml:space="preserve">, la proposta di legge, ai commi da 28 a 33, conferisce una delega al Governo in materia di unioni civili tra persone dello stesso sesso da esercitare nel termine di sei mesi dalla data di entrata in vigore della legge all'esame; al riguardo, il comma 30 prevede che qualora il termine per l'espressione del parere parlamentare scada nei trenta giorni che precedono la scadenza del termine di delega o successivamente, tale termine sia prorogato per un periodo di tre mesi, sulla base di un meccanismo, la cosiddetta </w:t>
      </w:r>
      <w:r w:rsidRPr="00541B8B">
        <w:rPr>
          <w:rFonts w:cs="Arial"/>
          <w:b/>
          <w:szCs w:val="22"/>
        </w:rPr>
        <w:t>“tecnica dello scorrimento”</w:t>
      </w:r>
      <w:r w:rsidRPr="00541B8B">
        <w:rPr>
          <w:rFonts w:cs="Arial"/>
          <w:szCs w:val="22"/>
        </w:rPr>
        <w:t>, che non permette di individuare il termine per l'esercizio della delega in modo univoco; a tale proposito, si segnala che, secondo una costante linea di indirizzo, il Comitato per la legislazione nei propri pareri, ha sempre segnalato che “appare opportuno individuare univocamente i termini per l'esercizio della delega principale e di quelle integrative e correttive, rinunziando alla ‘tecnica dello scorrimento’” e che, in numerose recenti circostanze, a seguito dell'espressione di rilievi in tal senso, sono stati approvati emendamenti volti a prevedere, in luogo dello scorrimento del termine di delega, termini certi entro i quali il Governo deve trasmettere alle Camere gli schemi dei decreti legislativi, pena l'inefficacia della delega» (</w:t>
      </w:r>
      <w:hyperlink w:anchor="S13c02"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77" w:name="S13a11"/>
      <w:r w:rsidRPr="00541B8B">
        <w:rPr>
          <w:rFonts w:cs="Arial"/>
          <w:szCs w:val="22"/>
        </w:rPr>
        <w:t>11</w:t>
      </w:r>
      <w:bookmarkEnd w:id="277"/>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«al comma 36, ove si stabilisce che “si intendono per” conviventi di fatto “due persone maggiorenni unite stabilmente da legami affettivi di coppia e di reciproca </w:t>
      </w:r>
      <w:r w:rsidRPr="00541B8B">
        <w:rPr>
          <w:rFonts w:cs="Arial"/>
          <w:szCs w:val="22"/>
        </w:rPr>
        <w:lastRenderedPageBreak/>
        <w:t>assistenza morale e materiale, non vincolate da rapporti di parentela, affinità o adozione, da matrimonio o da un'unione civile” non risulta specificato il grado di parentela e di affinità che impedisce la costituzione della convivenza di fatto» (</w:t>
      </w:r>
      <w:hyperlink w:anchor="S13o04"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78" w:name="S13a12"/>
      <w:r w:rsidRPr="00541B8B">
        <w:rPr>
          <w:rFonts w:cs="Arial"/>
          <w:szCs w:val="22"/>
        </w:rPr>
        <w:t>12</w:t>
      </w:r>
      <w:bookmarkEnd w:id="278"/>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«sul piano del </w:t>
      </w:r>
      <w:r w:rsidRPr="00541B8B">
        <w:rPr>
          <w:rFonts w:cs="Arial"/>
          <w:b/>
          <w:szCs w:val="22"/>
        </w:rPr>
        <w:t>coordinamento interno al testo</w:t>
      </w:r>
      <w:r w:rsidRPr="00541B8B">
        <w:rPr>
          <w:rFonts w:cs="Arial"/>
          <w:szCs w:val="22"/>
        </w:rPr>
        <w:t xml:space="preserve">, il comma 60, primo periodo, che disciplina la forma con la quale il contratto di convivenza deve essere redatto, appare ripetitivo di quanto già stabilito al comma 51».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279" w:name="S13C"/>
      <w:r w:rsidRPr="00541B8B">
        <w:rPr>
          <w:rFonts w:cs="Arial"/>
          <w:b/>
          <w:szCs w:val="22"/>
        </w:rPr>
        <w:t>Condizioni:</w:t>
      </w:r>
    </w:p>
    <w:bookmarkEnd w:id="279"/>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bookmarkStart w:id="280" w:name="S13c01"/>
      <w:r w:rsidRPr="00541B8B">
        <w:rPr>
          <w:rFonts w:cs="Arial"/>
          <w:szCs w:val="22"/>
        </w:rPr>
        <w:t xml:space="preserve">1) per quanto </w:t>
      </w:r>
      <w:bookmarkEnd w:id="280"/>
      <w:r w:rsidRPr="00541B8B">
        <w:rPr>
          <w:rFonts w:cs="Arial"/>
          <w:szCs w:val="22"/>
        </w:rPr>
        <w:t>detto in premessa, sia verificata la coerenza del combinato disposto dell'articolo 1, comma 28, lettere a) e c), e comma 34, con le regole che presiedono ad un appropriato impiego delle fonti del diritto; [</w:t>
      </w:r>
      <w:hyperlink w:anchor="premessa13"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81" w:name="S13c02"/>
      <w:r w:rsidRPr="00541B8B">
        <w:rPr>
          <w:rFonts w:cs="Arial"/>
          <w:szCs w:val="22"/>
        </w:rPr>
        <w:t xml:space="preserve">2) per quanto </w:t>
      </w:r>
      <w:bookmarkEnd w:id="281"/>
      <w:r w:rsidRPr="00541B8B">
        <w:rPr>
          <w:rFonts w:cs="Arial"/>
          <w:szCs w:val="22"/>
        </w:rPr>
        <w:t>detto in premessa, al comma 30, si dovrebbe valutare la soppressione del terzo periodo che consente il ricorso alla «tecnica dello scorrimento» del termine per l'esercizio della delega, individuando in modo univoco, al comma 28, il termine ultimo per l'esercizio della delega; [</w:t>
      </w:r>
      <w:hyperlink w:anchor="premessa13"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ind w:left="720" w:firstLine="0"/>
        <w:contextualSpacing/>
        <w:rPr>
          <w:rFonts w:cs="Arial"/>
          <w:szCs w:val="22"/>
        </w:rPr>
      </w:pPr>
    </w:p>
    <w:p w:rsidR="00541B8B" w:rsidRPr="00541B8B" w:rsidRDefault="00541B8B" w:rsidP="00541B8B">
      <w:pPr>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282" w:name="S13O"/>
      <w:r w:rsidRPr="00541B8B">
        <w:rPr>
          <w:rFonts w:cs="Arial"/>
          <w:b/>
          <w:szCs w:val="22"/>
        </w:rPr>
        <w:t>Osservazioni:</w:t>
      </w:r>
    </w:p>
    <w:bookmarkEnd w:id="282"/>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r w:rsidRPr="00541B8B">
        <w:rPr>
          <w:rFonts w:cs="Arial"/>
          <w:szCs w:val="22"/>
        </w:rPr>
        <w:t xml:space="preserve">1) </w:t>
      </w:r>
      <w:bookmarkStart w:id="283" w:name="S13o01"/>
      <w:r w:rsidRPr="00541B8B">
        <w:rPr>
          <w:rFonts w:cs="Arial"/>
          <w:szCs w:val="22"/>
        </w:rPr>
        <w:t xml:space="preserve">per quanto </w:t>
      </w:r>
      <w:bookmarkEnd w:id="283"/>
      <w:r w:rsidRPr="00541B8B">
        <w:rPr>
          <w:rFonts w:cs="Arial"/>
          <w:szCs w:val="22"/>
        </w:rPr>
        <w:t>detto in premessa, si dovrebbero coordinare le disposizioni contenute al comma 8 e al comma 33, valutando in particolare la soppressione del primo e la riformulazione del secondo al fine di inserirvi una ulteriore novella all'articolo 124 del codice civile con la quale si preveda che anche la nullità della precedente unione civile, se opposta, sia preventivamente giudicata; [</w:t>
      </w:r>
      <w:hyperlink w:anchor="premessa13"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84" w:name="S13o02"/>
      <w:r w:rsidRPr="00541B8B">
        <w:rPr>
          <w:rFonts w:cs="Arial"/>
          <w:szCs w:val="22"/>
        </w:rPr>
        <w:t>2) al comma 18</w:t>
      </w:r>
      <w:bookmarkEnd w:id="284"/>
      <w:r w:rsidRPr="00541B8B">
        <w:rPr>
          <w:rFonts w:cs="Arial"/>
          <w:szCs w:val="22"/>
        </w:rPr>
        <w:t>, si dovrebbe precisare il riferimento normativo all'articolo 2941 del codice civile; [</w:t>
      </w:r>
      <w:hyperlink w:anchor="premessa13"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firstLine="0"/>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left="567" w:hanging="283"/>
        <w:contextualSpacing/>
        <w:rPr>
          <w:rFonts w:cs="Arial"/>
          <w:szCs w:val="22"/>
        </w:rPr>
      </w:pPr>
      <w:r w:rsidRPr="00541B8B">
        <w:rPr>
          <w:rFonts w:cs="Arial"/>
          <w:szCs w:val="22"/>
        </w:rPr>
        <w:t xml:space="preserve">1) </w:t>
      </w:r>
      <w:bookmarkStart w:id="285" w:name="S13o03"/>
      <w:r w:rsidRPr="00541B8B">
        <w:rPr>
          <w:rFonts w:cs="Arial"/>
          <w:szCs w:val="22"/>
        </w:rPr>
        <w:t xml:space="preserve">si dovrebbe </w:t>
      </w:r>
      <w:bookmarkEnd w:id="285"/>
      <w:r w:rsidRPr="00541B8B">
        <w:rPr>
          <w:rFonts w:cs="Arial"/>
          <w:szCs w:val="22"/>
        </w:rPr>
        <w:t>valutare la soppressione del comma 35; [</w:t>
      </w:r>
      <w:hyperlink w:anchor="premessa13"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bookmarkStart w:id="286" w:name="S13o04"/>
      <w:r w:rsidRPr="00541B8B">
        <w:rPr>
          <w:rFonts w:cs="Arial"/>
          <w:szCs w:val="22"/>
        </w:rPr>
        <w:t xml:space="preserve">2) al comma </w:t>
      </w:r>
      <w:bookmarkEnd w:id="286"/>
      <w:r w:rsidRPr="00541B8B">
        <w:rPr>
          <w:rFonts w:cs="Arial"/>
          <w:szCs w:val="22"/>
        </w:rPr>
        <w:t>36, si dovrebbe specificare il grado di parentela e di affinità che rappresenta un impedimento alla convivenza di fatto [</w:t>
      </w:r>
      <w:hyperlink w:anchor="premessa13"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line="240" w:lineRule="auto"/>
        <w:ind w:left="720" w:firstLine="0"/>
        <w:contextualSpacing/>
        <w:rPr>
          <w:rFonts w:cs="Arial"/>
          <w:szCs w:val="22"/>
        </w:rPr>
      </w:pPr>
    </w:p>
    <w:p w:rsidR="00541B8B" w:rsidRPr="00541B8B" w:rsidRDefault="00541B8B" w:rsidP="00541B8B">
      <w:pPr>
        <w:spacing w:line="240" w:lineRule="auto"/>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287" w:name="S13R"/>
      <w:r w:rsidRPr="00541B8B">
        <w:rPr>
          <w:rFonts w:cs="Arial"/>
          <w:b/>
          <w:szCs w:val="22"/>
        </w:rPr>
        <w:t>Raccomandazione:</w:t>
      </w:r>
    </w:p>
    <w:bookmarkEnd w:id="287"/>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r w:rsidRPr="00541B8B">
        <w:rPr>
          <w:rFonts w:cs="Arial"/>
          <w:szCs w:val="22"/>
        </w:rPr>
        <w:t>1) n</w:t>
      </w:r>
      <w:bookmarkStart w:id="288" w:name="S13r01"/>
      <w:r w:rsidRPr="00541B8B">
        <w:rPr>
          <w:rFonts w:cs="Arial"/>
          <w:szCs w:val="22"/>
        </w:rPr>
        <w:t>ell'esercizio</w:t>
      </w:r>
      <w:bookmarkEnd w:id="288"/>
      <w:r w:rsidRPr="00541B8B">
        <w:rPr>
          <w:rFonts w:cs="Arial"/>
          <w:szCs w:val="22"/>
        </w:rPr>
        <w:t xml:space="preserve"> della delega di cui al comma 28, lettera </w:t>
      </w:r>
      <w:r w:rsidRPr="00541B8B">
        <w:rPr>
          <w:rFonts w:cs="Arial"/>
          <w:i/>
          <w:szCs w:val="22"/>
        </w:rPr>
        <w:t>c)</w:t>
      </w:r>
      <w:r w:rsidRPr="00541B8B">
        <w:rPr>
          <w:rFonts w:cs="Arial"/>
          <w:szCs w:val="22"/>
        </w:rPr>
        <w:t>, abbia cura il legislatore di interpretare la suddetta disposizione come volta a delegare il Governo ad adottare tutte le modificazioni ed integrazioni normative necessarie ad assicurare il coordinamento con la presente legge delle disposizioni contenute nei codici. [</w:t>
      </w:r>
      <w:hyperlink w:anchor="premessa13"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sectPr w:rsidR="00541B8B" w:rsidRPr="00541B8B" w:rsidSect="00D20CCA">
          <w:headerReference w:type="even" r:id="rId389"/>
          <w:headerReference w:type="default" r:id="rId390"/>
          <w:footerReference w:type="even" r:id="rId391"/>
          <w:footerReference w:type="default" r:id="rId392"/>
          <w:headerReference w:type="first" r:id="rId393"/>
          <w:footerReference w:type="first" r:id="rId394"/>
          <w:pgSz w:w="11906" w:h="16838" w:code="9"/>
          <w:pgMar w:top="1418" w:right="1418" w:bottom="1134" w:left="1418" w:header="567" w:footer="567" w:gutter="0"/>
          <w:cols w:space="708"/>
          <w:docGrid w:linePitch="360"/>
        </w:sectPr>
      </w:pPr>
    </w:p>
    <w:tbl>
      <w:tblPr>
        <w:tblStyle w:val="Grigliatabella"/>
        <w:tblW w:w="5000" w:type="pct"/>
        <w:tblLook w:val="01E0" w:firstRow="1" w:lastRow="1" w:firstColumn="1" w:lastColumn="1" w:noHBand="0" w:noVBand="0"/>
      </w:tblPr>
      <w:tblGrid>
        <w:gridCol w:w="1146"/>
        <w:gridCol w:w="1384"/>
        <w:gridCol w:w="1883"/>
        <w:gridCol w:w="3274"/>
        <w:gridCol w:w="1599"/>
      </w:tblGrid>
      <w:tr w:rsidR="00541B8B" w:rsidRPr="00541B8B" w:rsidTr="00D20CCA">
        <w:trPr>
          <w:cantSplit/>
          <w:trHeight w:val="567"/>
        </w:trPr>
        <w:tc>
          <w:tcPr>
            <w:tcW w:w="61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lastRenderedPageBreak/>
              <w:t>N. SCHEDA</w:t>
            </w:r>
          </w:p>
        </w:tc>
        <w:tc>
          <w:tcPr>
            <w:tcW w:w="74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14"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3"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2"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617"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0014</w:t>
            </w:r>
          </w:p>
        </w:tc>
        <w:tc>
          <w:tcPr>
            <w:tcW w:w="745"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3672</w:t>
            </w:r>
          </w:p>
        </w:tc>
        <w:tc>
          <w:tcPr>
            <w:tcW w:w="1014" w:type="pct"/>
          </w:tcPr>
          <w:p w:rsidR="00541B8B" w:rsidRPr="00541B8B" w:rsidRDefault="00DC78AD" w:rsidP="00541B8B">
            <w:pPr>
              <w:spacing w:before="100" w:beforeAutospacing="1" w:after="100" w:afterAutospacing="1"/>
              <w:ind w:firstLine="0"/>
              <w:contextualSpacing/>
              <w:jc w:val="center"/>
              <w:rPr>
                <w:rFonts w:cs="Arial"/>
                <w:szCs w:val="22"/>
              </w:rPr>
            </w:pPr>
            <w:hyperlink r:id="rId395" w:history="1">
              <w:r w:rsidR="00541B8B" w:rsidRPr="00541B8B">
                <w:rPr>
                  <w:rFonts w:cs="Arial"/>
                  <w:color w:val="0000FF"/>
                  <w:szCs w:val="22"/>
                  <w:u w:val="single"/>
                </w:rPr>
                <w:t>ddl Gov</w:t>
              </w:r>
            </w:hyperlink>
          </w:p>
        </w:tc>
        <w:tc>
          <w:tcPr>
            <w:tcW w:w="1763"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Delega magistratura ordinaria e giudici di pace</w:t>
            </w:r>
          </w:p>
        </w:tc>
        <w:tc>
          <w:tcPr>
            <w:tcW w:w="862" w:type="pct"/>
          </w:tcPr>
          <w:p w:rsidR="00541B8B" w:rsidRPr="00541B8B" w:rsidRDefault="00DC78AD" w:rsidP="00541B8B">
            <w:pPr>
              <w:spacing w:before="100" w:beforeAutospacing="1" w:after="100" w:afterAutospacing="1"/>
              <w:ind w:firstLine="0"/>
              <w:contextualSpacing/>
              <w:jc w:val="center"/>
              <w:rPr>
                <w:rFonts w:cs="Arial"/>
                <w:szCs w:val="22"/>
              </w:rPr>
            </w:pPr>
            <w:hyperlink r:id="rId396" w:anchor="data.20160412.com48.bollettino.sede00010.tit00020" w:history="1">
              <w:r w:rsidR="00541B8B" w:rsidRPr="00541B8B">
                <w:rPr>
                  <w:rFonts w:cs="Arial"/>
                  <w:color w:val="0000FF"/>
                  <w:szCs w:val="22"/>
                  <w:u w:val="single"/>
                </w:rPr>
                <w:t>12/04/2016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289" w:name="premessa14"/>
            <w:r w:rsidRPr="00541B8B">
              <w:rPr>
                <w:rFonts w:cs="Arial"/>
                <w:b/>
                <w:color w:val="0000FF"/>
                <w:sz w:val="24"/>
                <w:szCs w:val="24"/>
              </w:rPr>
              <w:t>Premessa</w:t>
            </w:r>
            <w:bookmarkEnd w:id="289"/>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2 Condizioni, 1 Osservazione</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4a01" w:history="1">
              <w:r w:rsidR="00541B8B" w:rsidRPr="00541B8B">
                <w:rPr>
                  <w:rFonts w:cs="Arial"/>
                  <w:color w:val="0000FF"/>
                  <w:szCs w:val="22"/>
                  <w:u w:val="single"/>
                </w:rPr>
                <w:t>1</w:t>
              </w:r>
            </w:hyperlink>
            <w:r w:rsidR="00541B8B" w:rsidRPr="00541B8B">
              <w:rPr>
                <w:rFonts w:cs="Arial"/>
                <w:szCs w:val="22"/>
              </w:rPr>
              <w:t xml:space="preserve"> – Contenuto omogeneo </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Contenuto omogeneo e corrispondente al titolo</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4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 xml:space="preserve">Disposizioni che, nel caso dettino discipline a regime, occorre coordinare con la normativa vigente. </w:t>
            </w:r>
          </w:p>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4a03" w:history="1">
              <w:r w:rsidR="00541B8B" w:rsidRPr="00541B8B">
                <w:rPr>
                  <w:rFonts w:cs="Arial"/>
                  <w:color w:val="0000FF"/>
                  <w:szCs w:val="22"/>
                  <w:u w:val="single"/>
                </w:rPr>
                <w:t>3</w:t>
              </w:r>
            </w:hyperlink>
            <w:r w:rsidR="00541B8B" w:rsidRPr="00541B8B">
              <w:rPr>
                <w:rFonts w:cs="Arial"/>
                <w:szCs w:val="22"/>
              </w:rPr>
              <w:t xml:space="preserve"> – 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tabs>
                <w:tab w:val="center" w:pos="2213"/>
              </w:tabs>
              <w:spacing w:before="100" w:beforeAutospacing="1" w:after="100" w:afterAutospacing="1"/>
              <w:ind w:firstLine="0"/>
              <w:contextualSpacing/>
              <w:rPr>
                <w:rFonts w:cs="Arial"/>
                <w:szCs w:val="22"/>
              </w:rPr>
            </w:pPr>
            <w:r w:rsidRPr="00541B8B">
              <w:rPr>
                <w:rFonts w:cs="Arial"/>
                <w:szCs w:val="22"/>
              </w:rPr>
              <w:t>Scorrimento del termine per l’esercizio della delega (“tecnica dello scorrimento”).</w:t>
            </w:r>
          </w:p>
          <w:p w:rsidR="00541B8B" w:rsidRPr="00541B8B" w:rsidRDefault="00541B8B" w:rsidP="00541B8B">
            <w:pPr>
              <w:tabs>
                <w:tab w:val="center" w:pos="2213"/>
              </w:tabs>
              <w:spacing w:before="100" w:beforeAutospacing="1" w:after="100" w:afterAutospacing="1"/>
              <w:ind w:firstLine="0"/>
              <w:contextualSpacing/>
              <w:rPr>
                <w:rFonts w:cs="Arial"/>
                <w:szCs w:val="22"/>
              </w:rPr>
            </w:pPr>
            <w:r w:rsidRPr="00541B8B">
              <w:rPr>
                <w:rFonts w:cs="Arial"/>
                <w:szCs w:val="22"/>
              </w:rPr>
              <w:t>Condizione 2</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4a04" w:history="1">
              <w:r w:rsidR="00541B8B" w:rsidRPr="00541B8B">
                <w:rPr>
                  <w:rFonts w:cs="Arial"/>
                  <w:color w:val="0000FF"/>
                  <w:szCs w:val="22"/>
                  <w:u w:val="single"/>
                </w:rPr>
                <w:t>4</w:t>
              </w:r>
            </w:hyperlink>
            <w:r w:rsidR="00541B8B" w:rsidRPr="00541B8B">
              <w:rPr>
                <w:rFonts w:cs="Arial"/>
                <w:szCs w:val="22"/>
              </w:rPr>
              <w:t xml:space="preserve"> – Formulazione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rPr>
                <w:rFonts w:cs="Arial"/>
                <w:szCs w:val="22"/>
              </w:rPr>
            </w:pPr>
            <w:hyperlink w:anchor="S14a05" w:history="1">
              <w:r w:rsidR="00541B8B" w:rsidRPr="00541B8B">
                <w:rPr>
                  <w:rFonts w:cs="Arial"/>
                  <w:color w:val="0000FF"/>
                  <w:szCs w:val="22"/>
                  <w:u w:val="single"/>
                </w:rPr>
                <w:t>5</w:t>
              </w:r>
            </w:hyperlink>
            <w:r w:rsidR="00541B8B" w:rsidRPr="00541B8B">
              <w:rPr>
                <w:rFonts w:cs="Arial"/>
                <w:szCs w:val="22"/>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rPr>
                <w:rFonts w:cs="Arial"/>
                <w:szCs w:val="22"/>
              </w:rPr>
            </w:pPr>
            <w:r w:rsidRPr="00541B8B">
              <w:rPr>
                <w:rFonts w:cs="Arial"/>
                <w:szCs w:val="22"/>
              </w:rPr>
              <w:t>Presenti.</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4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4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ind w:firstLine="0"/>
        <w:contextualSpacing/>
        <w:rPr>
          <w:rFonts w:cs="Arial"/>
          <w:b/>
          <w:szCs w:val="22"/>
        </w:rPr>
      </w:pPr>
    </w:p>
    <w:p w:rsidR="00541B8B" w:rsidRPr="00541B8B" w:rsidRDefault="00541B8B" w:rsidP="00541B8B">
      <w:pPr>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Nessuno.</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90" w:name="S14a01"/>
      <w:r w:rsidRPr="00541B8B">
        <w:rPr>
          <w:rFonts w:cs="Arial"/>
          <w:szCs w:val="22"/>
        </w:rPr>
        <w:t>1</w:t>
      </w:r>
      <w:bookmarkEnd w:id="290"/>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disegno di legge all'esame reca un </w:t>
      </w:r>
      <w:r w:rsidRPr="00541B8B">
        <w:rPr>
          <w:rFonts w:cs="Arial"/>
          <w:b/>
          <w:szCs w:val="22"/>
        </w:rPr>
        <w:t>contenuto omogeneo e corrispondente al titolo</w:t>
      </w:r>
      <w:r w:rsidRPr="00541B8B">
        <w:rPr>
          <w:rFonts w:cs="Arial"/>
          <w:szCs w:val="22"/>
        </w:rPr>
        <w:t xml:space="preserve"> in quanto, mediante il conferimento di una delega al Governo, è volto all'attuazione di una riforma organica della magistratura onoraria attraverso: </w:t>
      </w:r>
    </w:p>
    <w:p w:rsidR="00541B8B" w:rsidRPr="00541B8B" w:rsidRDefault="00541B8B" w:rsidP="00541B8B">
      <w:pPr>
        <w:spacing w:before="60" w:after="60"/>
        <w:contextualSpacing/>
        <w:rPr>
          <w:rFonts w:cs="Arial"/>
          <w:szCs w:val="22"/>
        </w:rPr>
      </w:pPr>
      <w:r w:rsidRPr="00541B8B">
        <w:rPr>
          <w:rFonts w:cs="Arial"/>
          <w:szCs w:val="22"/>
        </w:rPr>
        <w:t xml:space="preserve">l'introduzione di uno statuto unico della magistratura onoraria in ordine alle modalità di accesso, alla formazione e al tirocinio, alla durata e decadenza dell'incarico, alla revoca e alla dispensa dal servizio, alle incompatibilità, ai trasferimenti, alla responsabilità disciplinare, alla disciplina delle indennità; </w:t>
      </w:r>
    </w:p>
    <w:p w:rsidR="00541B8B" w:rsidRPr="00541B8B" w:rsidRDefault="00541B8B" w:rsidP="00541B8B">
      <w:pPr>
        <w:spacing w:before="60" w:after="60"/>
        <w:contextualSpacing/>
        <w:rPr>
          <w:rFonts w:cs="Arial"/>
          <w:szCs w:val="22"/>
        </w:rPr>
      </w:pPr>
      <w:r w:rsidRPr="00541B8B">
        <w:rPr>
          <w:rFonts w:cs="Arial"/>
          <w:szCs w:val="22"/>
        </w:rPr>
        <w:lastRenderedPageBreak/>
        <w:t xml:space="preserve">la riorganizzazione dell'ufficio del giudice di pace; </w:t>
      </w:r>
    </w:p>
    <w:p w:rsidR="00541B8B" w:rsidRPr="00541B8B" w:rsidRDefault="00541B8B" w:rsidP="00541B8B">
      <w:pPr>
        <w:spacing w:before="60" w:after="60"/>
        <w:contextualSpacing/>
        <w:rPr>
          <w:rFonts w:cs="Arial"/>
          <w:szCs w:val="22"/>
        </w:rPr>
      </w:pPr>
      <w:r w:rsidRPr="00541B8B">
        <w:rPr>
          <w:rFonts w:cs="Arial"/>
          <w:szCs w:val="22"/>
        </w:rPr>
        <w:t>l'unificazione della magistratura giudicante onoraria mediante il superamento della distinzione tra giudice di pace e giudici onorari di tribunale (GOT) e l'istituzione del giudice onorario di pace (GOP); l'istituzione di una specifica struttura organizzativa dei vice procuratori onorari (VPO) presso le procure;</w:t>
      </w:r>
    </w:p>
    <w:p w:rsidR="00541B8B" w:rsidRPr="00541B8B" w:rsidRDefault="00541B8B" w:rsidP="00541B8B">
      <w:pPr>
        <w:spacing w:before="60" w:after="60"/>
        <w:contextualSpacing/>
        <w:rPr>
          <w:rFonts w:cs="Arial"/>
          <w:szCs w:val="22"/>
        </w:rPr>
      </w:pPr>
      <w:r w:rsidRPr="00541B8B">
        <w:rPr>
          <w:rFonts w:cs="Arial"/>
          <w:szCs w:val="22"/>
        </w:rPr>
        <w:t xml:space="preserve">alle disposizioni di delega, si aggiungono, oltre alle clausole finali, alcune norme immediatamente applicabili, contenute agli articoli da 4 a 7, in materia di incompatibilità, di coordinamento dell'ufficio del giudice di pace, di formazione dei magistrati onorari e di applicazione dei giudici di pace»;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91" w:name="S14a02"/>
      <w:r w:rsidRPr="00541B8B">
        <w:rPr>
          <w:rFonts w:cs="Arial"/>
          <w:szCs w:val="22"/>
        </w:rPr>
        <w:t>2</w:t>
      </w:r>
      <w:bookmarkEnd w:id="291"/>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«con riferimento alle norme contenute agli articoli 4, 5 e 7, che contengono disposizioni immediatamente applicabili relative ad aspetti che sono anche oggetto della delega legislativa, non risulta chiaro se esse abbiano efficacia transitoria, ovvero dettino discipline a regime; in quest'ultimo caso, le predette norme dovrebbero essere riformulate in termini di novelle alla legge 21 novembre 1991, n. 374, relativa all'istituzione del giudice di pace. In particolare: l'articolo 4, che riguarda le incompatibilità (i principi e criteri direttivi di delega sono invece definiti dall'articolo 2, comma 4), dovrebbe prevedere gli opportuni coordinamenti con l'articolo 8 della citata legge n. 374; l'articolo 5, che concerne il coordinamento dell'ufficio del giudice di pace (i principi e criteri direttivi di delega sono definiti dall'articolo 2, comma 12), dovrebbe prevedere gli opportuni coordinamenti con l'articolo 15 della richiamata legge e, infine, l'articolo 7, che tratta la formazione (i principi e criteri direttivi di delega sono definiti dall'articolo 2, comma 14), dovrebbe prevedere gli opportuni coordinamenti con l'articolo 6 della citata legge e con l'articolo 2 del decreto legislativo n. 26 del 2006» (</w:t>
      </w:r>
      <w:hyperlink w:anchor="S14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292" w:name="S14a03"/>
      <w:r w:rsidRPr="00541B8B">
        <w:rPr>
          <w:rFonts w:cs="Arial"/>
          <w:szCs w:val="22"/>
        </w:rPr>
        <w:t>3</w:t>
      </w:r>
      <w:bookmarkEnd w:id="292"/>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«con riferimento al computo dei </w:t>
      </w:r>
      <w:r w:rsidRPr="00541B8B">
        <w:rPr>
          <w:rFonts w:cs="Arial"/>
          <w:b/>
          <w:szCs w:val="22"/>
        </w:rPr>
        <w:t>termini per l'esercizio della delega</w:t>
      </w:r>
      <w:r w:rsidRPr="00541B8B">
        <w:rPr>
          <w:rFonts w:cs="Arial"/>
          <w:szCs w:val="22"/>
        </w:rPr>
        <w:t xml:space="preserve">, il disegno di legge, all'articolo 3, comma 1, ultimo periodo, prevede che, qualora il termine per l'espressione del parere parlamentare scada nei trenta giorni che precedono la scadenza del termine di delega o successivamente, tale termine sia prorogato per un periodo di sessanta giorni, sulla base di un meccanismo, la cosiddetta </w:t>
      </w:r>
      <w:r w:rsidRPr="00541B8B">
        <w:rPr>
          <w:rFonts w:cs="Arial"/>
          <w:b/>
          <w:szCs w:val="22"/>
        </w:rPr>
        <w:t>“tecnica dello scorrimento”</w:t>
      </w:r>
      <w:r w:rsidRPr="00541B8B">
        <w:rPr>
          <w:rFonts w:cs="Arial"/>
          <w:szCs w:val="22"/>
        </w:rPr>
        <w:t>, che non permette di individuare il termine per l'esercizio della delega in modo univoco; a tale proposito, si segnala che, secondo una costante linea di indirizzo, il Comitato per la legislazione nei propri pareri, ha sempre segnalato che “appare opportuno individuare univocamente i termini per l'esercizio della delega principale e di quelle integrative e correttive, rinunziando alla ‘tecnica dello scorrimento’” e che, in numerose recenti circostanze, a seguito dell'espressione di rilievi in tal senso, sono stati approvati emendamenti volti a prevedere, in luogo dello scorrimento del termine di delega, termini certi entro i quali il Governo deve trasmettere alle Camere gli schemi dei decreti legislativi, pena l'inefficacia della delega» (</w:t>
      </w:r>
      <w:hyperlink w:anchor="S14c02"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93" w:name="S14a04"/>
      <w:r w:rsidRPr="00541B8B">
        <w:rPr>
          <w:rFonts w:cs="Arial"/>
          <w:szCs w:val="22"/>
        </w:rPr>
        <w:t>4</w:t>
      </w:r>
      <w:bookmarkEnd w:id="293"/>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sul piano della formulazione del testo, sia l'articolo 1, comma 1, lettera </w:t>
      </w:r>
      <w:r w:rsidRPr="00541B8B">
        <w:rPr>
          <w:rFonts w:eastAsiaTheme="majorEastAsia"/>
          <w:i/>
        </w:rPr>
        <w:t>r</w:t>
      </w:r>
      <w:r w:rsidRPr="00541B8B">
        <w:t xml:space="preserve">), sia l'articolo 2, comma 17, nelle cinque lettere in cui si articola, disciplinano il regime transitorio per i magistrati onorari in servizio «alla data di entrata in vigore del decreto legislativo ovvero dell'ultimo dei decreti legislativi emanati in attuazione della delega», con </w:t>
      </w:r>
      <w:r w:rsidRPr="00541B8B">
        <w:lastRenderedPageBreak/>
        <w:t>formulazione che genera incertezza circa la data di riferimento per regolare la durata dell'incarico dei magistrati onorari in servizio</w:t>
      </w:r>
      <w:r w:rsidRPr="00541B8B">
        <w:rPr>
          <w:rFonts w:cs="Arial"/>
          <w:szCs w:val="22"/>
        </w:rPr>
        <w:t>» (</w:t>
      </w:r>
      <w:hyperlink w:anchor="S14o01"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294" w:name="S14a05"/>
      <w:r w:rsidRPr="00541B8B">
        <w:rPr>
          <w:rFonts w:cs="Arial"/>
          <w:szCs w:val="22"/>
        </w:rPr>
        <w:t>5</w:t>
      </w:r>
      <w:bookmarkEnd w:id="294"/>
      <w:r w:rsidRPr="00541B8B">
        <w:rPr>
          <w:rFonts w:cs="Arial"/>
          <w:szCs w:val="22"/>
        </w:rPr>
        <w:t xml:space="preserve"> - </w:t>
      </w:r>
      <w:hyperlink w:anchor="premessa1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nel testo presentato al Senato, risulta corredato sia della relazione sull'analisi tecnico normativa (</w:t>
      </w:r>
      <w:r w:rsidRPr="00541B8B">
        <w:rPr>
          <w:rFonts w:cs="Arial"/>
          <w:b/>
          <w:szCs w:val="22"/>
        </w:rPr>
        <w:t>ATN</w:t>
      </w:r>
      <w:r w:rsidRPr="00541B8B">
        <w:rPr>
          <w:rFonts w:cs="Arial"/>
          <w:szCs w:val="22"/>
        </w:rPr>
        <w:t>) sia dell'analisi sull'impatto della regolamentazione (</w:t>
      </w:r>
      <w:r w:rsidRPr="00541B8B">
        <w:rPr>
          <w:rFonts w:cs="Arial"/>
          <w:b/>
          <w:szCs w:val="22"/>
        </w:rPr>
        <w:t>AIR</w:t>
      </w:r>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295" w:name="S14C"/>
      <w:r w:rsidRPr="00541B8B">
        <w:rPr>
          <w:rFonts w:cs="Arial"/>
          <w:b/>
          <w:szCs w:val="22"/>
        </w:rPr>
        <w:t>Condizioni:</w:t>
      </w:r>
    </w:p>
    <w:bookmarkEnd w:id="295"/>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line="240" w:lineRule="auto"/>
        <w:ind w:left="567" w:hanging="283"/>
        <w:rPr>
          <w:szCs w:val="22"/>
        </w:rPr>
      </w:pPr>
      <w:bookmarkStart w:id="296" w:name="S14c01"/>
      <w:r w:rsidRPr="00541B8B">
        <w:rPr>
          <w:szCs w:val="22"/>
        </w:rPr>
        <w:t xml:space="preserve">1) per quanto </w:t>
      </w:r>
      <w:bookmarkEnd w:id="296"/>
      <w:r w:rsidRPr="00541B8B">
        <w:rPr>
          <w:szCs w:val="22"/>
        </w:rPr>
        <w:t>detto in premessa, si chiarisca se gli articoli 4, 5 e 7 abbiano efficacia transitoria, ovvero dettino discipline a regime e, in quest'ultimo caso, si provveda a riformularli in termini di novelle alla legge 21 novembre 1991, n.</w:t>
      </w:r>
      <w:r w:rsidRPr="00541B8B">
        <w:t> </w:t>
      </w:r>
      <w:r w:rsidRPr="00541B8B">
        <w:rPr>
          <w:szCs w:val="22"/>
        </w:rPr>
        <w:t xml:space="preserve">374, relativa all'istituzione del giudice di pace; </w:t>
      </w:r>
      <w:r w:rsidRPr="00541B8B">
        <w:rPr>
          <w:rFonts w:cs="Arial"/>
          <w:szCs w:val="22"/>
        </w:rPr>
        <w:t>[</w:t>
      </w:r>
      <w:hyperlink w:anchor="premessa14"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p>
    <w:p w:rsidR="00541B8B" w:rsidRPr="00541B8B" w:rsidRDefault="00541B8B" w:rsidP="00541B8B">
      <w:pPr>
        <w:spacing w:before="60" w:after="60"/>
        <w:ind w:left="567" w:hanging="283"/>
        <w:contextualSpacing/>
        <w:rPr>
          <w:rFonts w:cs="Arial"/>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bookmarkStart w:id="297" w:name="S14c02"/>
      <w:r w:rsidRPr="00541B8B">
        <w:rPr>
          <w:rFonts w:cs="Arial"/>
          <w:szCs w:val="22"/>
        </w:rPr>
        <w:t xml:space="preserve">2) per quanto </w:t>
      </w:r>
      <w:bookmarkEnd w:id="297"/>
      <w:r w:rsidRPr="00541B8B">
        <w:rPr>
          <w:rFonts w:cs="Arial"/>
          <w:szCs w:val="22"/>
        </w:rPr>
        <w:t>detto in premessa, all'articolo 3, comma 1, si dovrebbe valutare la soppressione dell'ultimo periodo, che consente il ricorso alla “tecnica dello scorrimento” del termine per l'esercizio della delega, individuando in modo univoco, all'articolo 1, comma 1, il termine ultimo per l'esercizio della delega; [</w:t>
      </w:r>
      <w:hyperlink w:anchor="premessa14"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567" w:hanging="283"/>
        <w:contextualSpacing/>
        <w:rPr>
          <w:rFonts w:cs="Arial"/>
          <w:szCs w:val="22"/>
        </w:rPr>
      </w:pPr>
    </w:p>
    <w:p w:rsidR="00541B8B" w:rsidRPr="00541B8B" w:rsidRDefault="00541B8B" w:rsidP="00541B8B">
      <w:pPr>
        <w:spacing w:before="60" w:after="60"/>
        <w:ind w:left="567" w:hanging="283"/>
        <w:contextualSpacing/>
        <w:rPr>
          <w:rFonts w:cs="Arial"/>
          <w:szCs w:val="22"/>
        </w:rPr>
      </w:pPr>
    </w:p>
    <w:p w:rsidR="00541B8B" w:rsidRPr="00541B8B" w:rsidRDefault="00541B8B" w:rsidP="00541B8B">
      <w:pPr>
        <w:keepNext/>
        <w:spacing w:before="60" w:after="60"/>
        <w:ind w:left="567" w:hanging="283"/>
        <w:contextualSpacing/>
        <w:rPr>
          <w:rFonts w:cs="Arial"/>
          <w:b/>
          <w:szCs w:val="22"/>
        </w:rPr>
      </w:pPr>
      <w:bookmarkStart w:id="298" w:name="S14O"/>
      <w:r w:rsidRPr="00541B8B">
        <w:rPr>
          <w:rFonts w:cs="Arial"/>
          <w:b/>
          <w:szCs w:val="22"/>
        </w:rPr>
        <w:t>Osservazioni:</w:t>
      </w:r>
    </w:p>
    <w:bookmarkEnd w:id="298"/>
    <w:p w:rsidR="00541B8B" w:rsidRPr="00541B8B" w:rsidRDefault="00541B8B" w:rsidP="00541B8B">
      <w:pPr>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bookmarkStart w:id="299" w:name="S14o01"/>
      <w:r w:rsidRPr="00541B8B">
        <w:rPr>
          <w:rFonts w:cs="Arial"/>
          <w:szCs w:val="22"/>
        </w:rPr>
        <w:t xml:space="preserve">1) per quanto </w:t>
      </w:r>
      <w:bookmarkEnd w:id="299"/>
      <w:r w:rsidRPr="00541B8B">
        <w:rPr>
          <w:rFonts w:cs="Arial"/>
          <w:szCs w:val="22"/>
        </w:rPr>
        <w:t xml:space="preserve">detto in premessa, all'articolo 1, comma 1, lettera </w:t>
      </w:r>
      <w:r w:rsidRPr="00541B8B">
        <w:rPr>
          <w:rFonts w:cs="Arial"/>
          <w:i/>
          <w:iCs/>
          <w:szCs w:val="22"/>
        </w:rPr>
        <w:t>r</w:t>
      </w:r>
      <w:r w:rsidRPr="00541B8B">
        <w:rPr>
          <w:rFonts w:cs="Arial"/>
          <w:szCs w:val="22"/>
        </w:rPr>
        <w:t>), e all'articolo 2, comma 17, al fine di eliminare ogni incertezza circa la data di riferimento per regolare la durata dell'incarico dei magistrati onorari in servizio, si valuti l'opportunità di fare riferimento, piuttosto che “alla data di entrata in vigore del decreto legislativo ovvero dell'ultimo dei decreti legislativi emanati in attuazione della delega”, al completo esercizio della delega stessa; [</w:t>
      </w:r>
      <w:hyperlink w:anchor="premessa14"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sectPr w:rsidR="00541B8B" w:rsidRPr="00541B8B" w:rsidSect="00D20CCA">
          <w:headerReference w:type="even" r:id="rId397"/>
          <w:headerReference w:type="default" r:id="rId398"/>
          <w:footerReference w:type="even" r:id="rId399"/>
          <w:footerReference w:type="default" r:id="rId400"/>
          <w:headerReference w:type="first" r:id="rId401"/>
          <w:footerReference w:type="first" r:id="rId402"/>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0015</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2617-B</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03" w:history="1">
              <w:r w:rsidR="00541B8B" w:rsidRPr="00541B8B">
                <w:rPr>
                  <w:rFonts w:cs="Arial"/>
                  <w:color w:val="0000FF"/>
                  <w:szCs w:val="22"/>
                  <w:u w:val="single"/>
                </w:rPr>
                <w:t>ddl Gov</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Delega Terzo settore</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04" w:anchor="data.20160512.com48.bollettino.sede00010.tit00010" w:history="1">
              <w:r w:rsidR="00541B8B" w:rsidRPr="00541B8B">
                <w:rPr>
                  <w:rFonts w:cs="Arial"/>
                  <w:color w:val="0000FF"/>
                  <w:szCs w:val="22"/>
                  <w:u w:val="single"/>
                </w:rPr>
                <w:t>12/05/2016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300" w:name="premessa15"/>
            <w:r w:rsidRPr="00541B8B">
              <w:rPr>
                <w:rFonts w:cs="Arial"/>
                <w:b/>
                <w:color w:val="0000FF"/>
                <w:sz w:val="24"/>
                <w:szCs w:val="24"/>
              </w:rPr>
              <w:t>Premessa</w:t>
            </w:r>
            <w:bookmarkEnd w:id="300"/>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 xml:space="preserve">Rilievi:  1 Condizione </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5a01" w:history="1">
              <w:r w:rsidR="00541B8B" w:rsidRPr="00541B8B">
                <w:rPr>
                  <w:rFonts w:cs="Arial"/>
                  <w:color w:val="0000FF"/>
                  <w:szCs w:val="22"/>
                  <w:u w:val="single"/>
                </w:rPr>
                <w:t>1</w:t>
              </w:r>
            </w:hyperlink>
            <w:r w:rsidR="00541B8B" w:rsidRPr="00541B8B">
              <w:rPr>
                <w:rFonts w:cs="Arial"/>
                <w:szCs w:val="22"/>
              </w:rPr>
              <w:t xml:space="preserve"> – Disposizioni di delega: procedura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 xml:space="preserve">La soppressione della previsione relativa alla  decadenza dalla delega non inficia l’obbligatorietà del termine di trasmissione dello schema </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5a02" w:history="1">
              <w:r w:rsidR="00541B8B" w:rsidRPr="00541B8B">
                <w:rPr>
                  <w:rFonts w:cs="Arial"/>
                  <w:color w:val="0000FF"/>
                  <w:szCs w:val="22"/>
                  <w:u w:val="single"/>
                </w:rPr>
                <w:t>2</w:t>
              </w:r>
            </w:hyperlink>
            <w:r w:rsidR="00541B8B" w:rsidRPr="00541B8B">
              <w:rPr>
                <w:rFonts w:cs="Arial"/>
                <w:szCs w:val="22"/>
              </w:rPr>
              <w:t xml:space="preserve"> – Formulazione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Espressione che genera incertezza circa il termine per l’adozione di un decreto ministeriale.</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5a03" w:history="1">
              <w:r w:rsidR="00541B8B" w:rsidRPr="00541B8B">
                <w:rPr>
                  <w:rFonts w:cs="Arial"/>
                  <w:color w:val="0000FF"/>
                  <w:szCs w:val="22"/>
                  <w:u w:val="single"/>
                </w:rPr>
                <w:t>3</w:t>
              </w:r>
            </w:hyperlink>
            <w:r w:rsidR="00541B8B" w:rsidRPr="00541B8B">
              <w:rPr>
                <w:rFonts w:cs="Arial"/>
                <w:szCs w:val="22"/>
              </w:rPr>
              <w:t xml:space="preserve"> – Adempimenti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Istituzione di una Fondazione demandando allo statuto la definizione di organi, composizione, compiti, modalità di funzionamento.</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5a04" w:history="1">
              <w:r w:rsidR="00541B8B" w:rsidRPr="00541B8B">
                <w:rPr>
                  <w:rFonts w:cs="Arial"/>
                  <w:color w:val="0000FF"/>
                  <w:szCs w:val="22"/>
                  <w:u w:val="single"/>
                </w:rPr>
                <w:t>4</w:t>
              </w:r>
            </w:hyperlink>
            <w:r w:rsidR="00541B8B" w:rsidRPr="00541B8B">
              <w:rPr>
                <w:rFonts w:cs="Arial"/>
                <w:szCs w:val="22"/>
              </w:rPr>
              <w:t xml:space="preserve"> – Delegificazione spuria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Attribuzione ad un DPCM della possibilità di modificare fonti di rango primario.</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 xml:space="preserve">Condizione 1 </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5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Parere del Comitato per la legislazione in prima lettura l’11 dicembre 2014.</w:t>
            </w:r>
          </w:p>
        </w:tc>
      </w:tr>
    </w:tbl>
    <w:p w:rsidR="00541B8B" w:rsidRPr="00541B8B" w:rsidRDefault="00541B8B" w:rsidP="00541B8B">
      <w:pPr>
        <w:spacing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01" w:name="S15a01"/>
      <w:r w:rsidRPr="00541B8B">
        <w:rPr>
          <w:rFonts w:cs="Arial"/>
          <w:szCs w:val="22"/>
        </w:rPr>
        <w:t>1</w:t>
      </w:r>
      <w:bookmarkEnd w:id="301"/>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«rilevato che, a seguito delle modifiche apportate dal Senato, risultano in molti casi meglio precisati i </w:t>
      </w:r>
      <w:r w:rsidRPr="00541B8B">
        <w:rPr>
          <w:rFonts w:cs="Arial"/>
          <w:b/>
          <w:szCs w:val="22"/>
        </w:rPr>
        <w:t>principi e i criteri direttivi</w:t>
      </w:r>
      <w:r w:rsidRPr="00541B8B">
        <w:rPr>
          <w:rFonts w:cs="Arial"/>
          <w:szCs w:val="22"/>
        </w:rPr>
        <w:t xml:space="preserve"> ai quali il Governo deve attenersi nell’esercizio della delega, e che, in relazione alla procedura delineata per tale esercizio, all’articolo 1, comma 5, ultimo periodo, è stata espunta la disposizione volta ad esplicitare l’obbligo per il Governo di rispettare il termine per la trasmissione degli schemi dei decreti legislativi alle Camere fissato dal primo periodo del comma 5, pena la decadenza dall’esercizio della delega, trattandosi di un effetto comunque implicito alla previsione contenuta al primo periodo»;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02" w:name="S15a02"/>
      <w:r w:rsidRPr="00541B8B">
        <w:rPr>
          <w:rFonts w:cs="Arial"/>
          <w:szCs w:val="22"/>
        </w:rPr>
        <w:lastRenderedPageBreak/>
        <w:t>2</w:t>
      </w:r>
      <w:bookmarkEnd w:id="302"/>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«all’articolo 7, comma 4, dove si prevede l’adozione di un decreto ministeriale “entro sessanta giorni dalla data di entrata in vigore dell’ultimo dei decreti legislativi emanati in attuazione della presente legge”, viene utilizzata una </w:t>
      </w:r>
      <w:r w:rsidRPr="00541B8B">
        <w:rPr>
          <w:rFonts w:cs="Arial"/>
          <w:b/>
          <w:szCs w:val="22"/>
        </w:rPr>
        <w:t>formulazione che genera incertezza</w:t>
      </w:r>
      <w:r w:rsidRPr="00541B8B">
        <w:rPr>
          <w:rFonts w:cs="Arial"/>
          <w:szCs w:val="22"/>
        </w:rPr>
        <w:t xml:space="preserve"> circa il termine per l’adozione del citato decreto ministeriale, salvo che, nell'unico decreto legislativo o nell'ultimo di essi (in caso di pluralità di atti), non vi sia un'auto-qualificazione del provvedimento in termini di “ultimo decreto legislativo”, che consenta di dissipare tale incertezza»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03" w:name="S15a03"/>
      <w:r w:rsidRPr="00541B8B">
        <w:rPr>
          <w:rFonts w:cs="Arial"/>
          <w:szCs w:val="22"/>
        </w:rPr>
        <w:t>3</w:t>
      </w:r>
      <w:bookmarkEnd w:id="303"/>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«l’articolo 10 prevede l’istituzione della Fondazione Italia Sociale, contestualmente demandando allo statuto la definizione degli organi, della loro composizione e dei loro compiti, nonché degli strumenti e delle modalità di funzionamento della Fondazione, limitandosi a prevedere, alla lettera c) del comma 3, “la nomina, nell’organo di governo della Fondazione, di un componente designato dal Consiglio nazionale del Terzo settore”; osservato peraltro che il medesimo articolo 10 stabilisce che, sullo schema di decreto del Presidente della Repubblica con il quale si prevede che lo statuto sia adottato, sia acquisito il parere delle competenti Commissioni parlamentari»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04" w:name="S15a04"/>
      <w:r w:rsidRPr="00541B8B">
        <w:rPr>
          <w:rFonts w:cs="Arial"/>
          <w:szCs w:val="22"/>
        </w:rPr>
        <w:t>4</w:t>
      </w:r>
      <w:bookmarkEnd w:id="304"/>
      <w:r w:rsidRPr="00541B8B">
        <w:rPr>
          <w:rFonts w:cs="Arial"/>
          <w:szCs w:val="22"/>
        </w:rPr>
        <w:t xml:space="preserve"> - </w:t>
      </w:r>
      <w:hyperlink w:anchor="premessa1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«l’articolo 4, comma 1, lettera </w:t>
      </w:r>
      <w:r w:rsidRPr="00541B8B">
        <w:rPr>
          <w:rFonts w:cs="Arial"/>
          <w:i/>
          <w:szCs w:val="22"/>
        </w:rPr>
        <w:t>b)</w:t>
      </w:r>
      <w:r w:rsidRPr="00541B8B">
        <w:rPr>
          <w:rFonts w:cs="Arial"/>
          <w:szCs w:val="22"/>
        </w:rPr>
        <w:t xml:space="preserve">, nel mantenere in capo ai decreti legislativi e cioè ad una fonte di rango primario il compito di individuare le attività di interesse generale, affida il periodico aggiornamento di tali attività ad </w:t>
      </w:r>
      <w:r w:rsidRPr="00541B8B">
        <w:rPr>
          <w:rFonts w:cs="Arial"/>
          <w:b/>
          <w:szCs w:val="22"/>
        </w:rPr>
        <w:t>una fonte atipica subordinata</w:t>
      </w:r>
      <w:r w:rsidRPr="00541B8B">
        <w:rPr>
          <w:rFonts w:cs="Arial"/>
          <w:szCs w:val="22"/>
        </w:rPr>
        <w:t xml:space="preserve"> alla legge, ed, in particolare, ad un </w:t>
      </w:r>
      <w:r w:rsidRPr="00541B8B">
        <w:rPr>
          <w:rFonts w:cs="Arial"/>
          <w:b/>
          <w:szCs w:val="22"/>
        </w:rPr>
        <w:t>decreto del Presidente del Consiglio dei ministri</w:t>
      </w:r>
      <w:r w:rsidRPr="00541B8B">
        <w:rPr>
          <w:rFonts w:cs="Arial"/>
          <w:szCs w:val="22"/>
        </w:rPr>
        <w:t xml:space="preserve"> da adottare su proposta del Ministro del lavoro e delle politiche sociali, acquisito il parere delle Commissioni parlamentari competenti, consentendo così a tale atto di modificare previsioni di rango primario sulla base di una procedura della quale andrebbe verificata la coerenza con il sistema delle fonti del diritto» (</w:t>
      </w:r>
      <w:hyperlink w:anchor="S15c01"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305" w:name="S15C"/>
      <w:r w:rsidRPr="00541B8B">
        <w:rPr>
          <w:rFonts w:cs="Arial"/>
          <w:b/>
          <w:szCs w:val="22"/>
        </w:rPr>
        <w:t>Condizioni:</w:t>
      </w:r>
    </w:p>
    <w:bookmarkEnd w:id="305"/>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bookmarkStart w:id="306" w:name="S15c01"/>
      <w:r w:rsidRPr="00541B8B">
        <w:rPr>
          <w:rFonts w:cs="Arial"/>
          <w:szCs w:val="22"/>
        </w:rPr>
        <w:t xml:space="preserve">1) sia verificata </w:t>
      </w:r>
      <w:bookmarkEnd w:id="306"/>
      <w:r w:rsidRPr="00541B8B">
        <w:rPr>
          <w:rFonts w:cs="Arial"/>
          <w:szCs w:val="22"/>
        </w:rPr>
        <w:t>la coerenza della disposizione contenuta all’articolo 4, comma 1, lettera b), con le regole che presiedono ad un appropriato impiego delle fonti del diritto; [</w:t>
      </w:r>
      <w:hyperlink w:anchor="premessa15"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tbl>
      <w:tblPr>
        <w:tblStyle w:val="Grigliatabella"/>
        <w:tblW w:w="5000" w:type="pct"/>
        <w:tblLook w:val="01E0" w:firstRow="1" w:lastRow="1" w:firstColumn="1" w:lastColumn="1" w:noHBand="0" w:noVBand="0"/>
      </w:tblPr>
      <w:tblGrid>
        <w:gridCol w:w="1230"/>
        <w:gridCol w:w="1361"/>
        <w:gridCol w:w="1863"/>
        <w:gridCol w:w="3253"/>
        <w:gridCol w:w="1579"/>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lastRenderedPageBreak/>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rPr>
            </w:pPr>
            <w:r w:rsidRPr="00541B8B">
              <w:rPr>
                <w:rFonts w:cs="Arial"/>
                <w:b/>
              </w:rPr>
              <w:t>0016</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3822</w:t>
            </w:r>
          </w:p>
        </w:tc>
        <w:tc>
          <w:tcPr>
            <w:tcW w:w="1020" w:type="pct"/>
          </w:tcPr>
          <w:p w:rsidR="00541B8B" w:rsidRPr="00541B8B" w:rsidRDefault="00DC78AD" w:rsidP="00541B8B">
            <w:pPr>
              <w:spacing w:before="100" w:beforeAutospacing="1" w:after="100" w:afterAutospacing="1"/>
              <w:ind w:firstLine="0"/>
              <w:contextualSpacing/>
              <w:jc w:val="center"/>
              <w:rPr>
                <w:rFonts w:cs="Arial"/>
                <w:sz w:val="24"/>
              </w:rPr>
            </w:pPr>
            <w:hyperlink r:id="rId405" w:history="1">
              <w:r w:rsidR="00541B8B" w:rsidRPr="00541B8B">
                <w:rPr>
                  <w:rFonts w:cs="Arial"/>
                  <w:color w:val="0000FF"/>
                  <w:u w:val="single"/>
                </w:rPr>
                <w:t>DL 42/2016</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 w:val="18"/>
                <w:szCs w:val="18"/>
              </w:rPr>
            </w:pPr>
            <w:r w:rsidRPr="00541B8B">
              <w:rPr>
                <w:rFonts w:cs="Arial"/>
                <w:sz w:val="18"/>
                <w:szCs w:val="18"/>
              </w:rPr>
              <w:t>Sistema scolastico e ricerca</w:t>
            </w:r>
          </w:p>
        </w:tc>
        <w:tc>
          <w:tcPr>
            <w:tcW w:w="867" w:type="pct"/>
          </w:tcPr>
          <w:p w:rsidR="00541B8B" w:rsidRPr="00541B8B" w:rsidRDefault="00DC78AD" w:rsidP="00541B8B">
            <w:pPr>
              <w:spacing w:before="100" w:beforeAutospacing="1" w:after="100" w:afterAutospacing="1"/>
              <w:ind w:firstLine="0"/>
              <w:contextualSpacing/>
              <w:jc w:val="center"/>
              <w:rPr>
                <w:rFonts w:cs="Arial"/>
                <w:sz w:val="24"/>
              </w:rPr>
            </w:pPr>
            <w:hyperlink r:id="rId406" w:anchor="data.20160518.com48.bollettino.sede00010.tit00010" w:history="1">
              <w:r w:rsidR="00541B8B" w:rsidRPr="00541B8B">
                <w:rPr>
                  <w:color w:val="0000FF"/>
                  <w:u w:val="single"/>
                </w:rPr>
                <w:t>18/05/2016</w:t>
              </w:r>
            </w:hyperlink>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rPr>
              <w:t>AI SENSI DELL'ARTICOLO 96-</w:t>
            </w:r>
            <w:r w:rsidRPr="00541B8B">
              <w:rPr>
                <w:rFonts w:cs="Arial"/>
                <w:b/>
                <w:bCs/>
                <w:i/>
                <w:sz w:val="24"/>
              </w:rPr>
              <w:t>BIS</w:t>
            </w:r>
            <w:r w:rsidRPr="00541B8B">
              <w:rPr>
                <w:rFonts w:cs="Arial"/>
                <w:b/>
                <w:bCs/>
                <w:sz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rPr>
            </w:pPr>
            <w:bookmarkStart w:id="307" w:name="premessa16"/>
            <w:r w:rsidRPr="00541B8B">
              <w:rPr>
                <w:rFonts w:cs="Arial"/>
                <w:b/>
                <w:color w:val="0000FF"/>
                <w:sz w:val="24"/>
                <w:szCs w:val="24"/>
              </w:rPr>
              <w:t>Premessa</w:t>
            </w:r>
            <w:bookmarkEnd w:id="307"/>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highlight w:val="yellow"/>
              </w:rPr>
            </w:pPr>
            <w:r w:rsidRPr="00541B8B">
              <w:rPr>
                <w:rFonts w:cs="Arial"/>
                <w:b/>
                <w:color w:val="0000FF"/>
                <w:sz w:val="24"/>
              </w:rPr>
              <w:t>Rilievi: 1 Condizione, 1 Raccomandazione</w:t>
            </w:r>
          </w:p>
        </w:tc>
      </w:tr>
      <w:tr w:rsidR="00541B8B" w:rsidRPr="00541B8B" w:rsidTr="00D20CCA">
        <w:trPr>
          <w:trHeight w:val="1128"/>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16a01" w:history="1">
              <w:r w:rsidR="00541B8B" w:rsidRPr="00541B8B">
                <w:rPr>
                  <w:color w:val="0000FF"/>
                  <w:u w:val="single"/>
                </w:rPr>
                <w:t>1</w:t>
              </w:r>
            </w:hyperlink>
            <w:r w:rsidR="00541B8B" w:rsidRPr="00541B8B">
              <w:rPr>
                <w:rFonts w:cs="Arial"/>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rPr>
            </w:pPr>
            <w:r w:rsidRPr="00541B8B">
              <w:rPr>
                <w:rFonts w:cs="Arial"/>
              </w:rPr>
              <w:t>Non appaiono pienamente riconducibili agli ambiti materiali originari alcune disposizioni introdotte al Senato.</w:t>
            </w:r>
          </w:p>
        </w:tc>
      </w:tr>
      <w:tr w:rsidR="00541B8B" w:rsidRPr="00541B8B" w:rsidTr="00D20CCA">
        <w:trPr>
          <w:trHeight w:val="141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16a02" w:history="1">
              <w:r w:rsidR="00541B8B" w:rsidRPr="00541B8B">
                <w:rPr>
                  <w:color w:val="0000FF"/>
                  <w:u w:val="single"/>
                </w:rPr>
                <w:t>2</w:t>
              </w:r>
            </w:hyperlink>
            <w:r w:rsidR="00541B8B" w:rsidRPr="00541B8B">
              <w:rPr>
                <w:rFonts w:cs="Arial"/>
              </w:rPr>
              <w:t xml:space="preserve"> – Limiti di contenuto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rPr>
            </w:pPr>
            <w:r w:rsidRPr="00541B8B">
              <w:rPr>
                <w:rFonts w:cs="Arial"/>
              </w:rPr>
              <w:t>Introduzione al Senato di una norma di carattere sostanziale nel disegno di legge di conversione, per la modifica dei principi e criteri direttivi di una delega legislativa. Richiamo all’articolo 15, c. 2, a), della legge n. 400/1988; richiamo all’articolo 76 della Costituzione; richiamo alla sentenza n. 237/2013 della Corte Costituzionale. Richiamo, nel punto a) della conseguente raccomandazione, all’articolo 77 della Costituzione.</w:t>
            </w:r>
          </w:p>
          <w:p w:rsidR="00541B8B" w:rsidRPr="00541B8B" w:rsidRDefault="00541B8B" w:rsidP="00982103">
            <w:pPr>
              <w:spacing w:before="100" w:beforeAutospacing="1" w:after="100" w:afterAutospacing="1"/>
              <w:ind w:firstLine="0"/>
              <w:contextualSpacing/>
              <w:rPr>
                <w:rFonts w:cs="Arial"/>
              </w:rPr>
            </w:pPr>
          </w:p>
          <w:p w:rsidR="00541B8B" w:rsidRPr="00541B8B" w:rsidRDefault="00541B8B" w:rsidP="00982103">
            <w:pPr>
              <w:spacing w:before="100" w:beforeAutospacing="1" w:after="100" w:afterAutospacing="1"/>
              <w:ind w:firstLine="0"/>
              <w:contextualSpacing/>
              <w:rPr>
                <w:rFonts w:cs="Arial"/>
              </w:rPr>
            </w:pPr>
            <w:r w:rsidRPr="00541B8B">
              <w:rPr>
                <w:rFonts w:cs="Arial"/>
              </w:rPr>
              <w:t>Condizione 1</w:t>
            </w:r>
          </w:p>
          <w:p w:rsidR="00541B8B" w:rsidRPr="00541B8B" w:rsidRDefault="00541B8B" w:rsidP="00982103">
            <w:pPr>
              <w:spacing w:before="100" w:beforeAutospacing="1" w:after="100" w:afterAutospacing="1"/>
              <w:ind w:firstLine="0"/>
              <w:contextualSpacing/>
              <w:rPr>
                <w:rFonts w:cs="Arial"/>
              </w:rPr>
            </w:pPr>
            <w:r w:rsidRPr="00541B8B">
              <w:rPr>
                <w:rFonts w:cs="Arial"/>
              </w:rPr>
              <w:t>Raccomandazione 1, punto a)</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16a03" w:history="1">
              <w:r w:rsidR="00541B8B" w:rsidRPr="00541B8B">
                <w:rPr>
                  <w:color w:val="0000FF"/>
                  <w:u w:val="single"/>
                </w:rPr>
                <w:t>3</w:t>
              </w:r>
            </w:hyperlink>
            <w:r w:rsidR="00541B8B" w:rsidRPr="00541B8B">
              <w:t xml:space="preserve"> - </w:t>
            </w:r>
            <w:r w:rsidR="00541B8B" w:rsidRPr="00541B8B">
              <w:rPr>
                <w:rFonts w:cs="Arial"/>
              </w:rPr>
              <w:t>Coordinamento con le fonti normative vigenti: modifiche non testuali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rPr>
            </w:pP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16a04" w:history="1">
              <w:r w:rsidR="00541B8B" w:rsidRPr="00541B8B">
                <w:rPr>
                  <w:color w:val="0000FF"/>
                  <w:u w:val="single"/>
                </w:rPr>
                <w:t>4</w:t>
              </w:r>
            </w:hyperlink>
            <w:r w:rsidR="00541B8B" w:rsidRPr="00F56AFB">
              <w:rPr>
                <w:color w:val="0000FF"/>
              </w:rPr>
              <w:t xml:space="preserve"> – </w:t>
            </w:r>
            <w:r w:rsidR="00541B8B" w:rsidRPr="00F56AFB">
              <w:rPr>
                <w:rFonts w:cs="Arial"/>
              </w:rPr>
              <w:t>Immediata</w:t>
            </w:r>
            <w:r w:rsidR="00541B8B" w:rsidRPr="00541B8B">
              <w:rPr>
                <w:rFonts w:cs="Arial"/>
              </w:rPr>
              <w:t xml:space="preserve"> applicazione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rPr>
            </w:pPr>
            <w:r w:rsidRPr="00541B8B">
              <w:rPr>
                <w:rFonts w:cs="Arial"/>
              </w:rPr>
              <w:t>Richiamo all’articolo 15, comma 3, della legge n. 400 del 1988.</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16a05" w:history="1">
              <w:r w:rsidR="00541B8B" w:rsidRPr="00541B8B">
                <w:rPr>
                  <w:rFonts w:cs="Arial"/>
                  <w:color w:val="0000FF"/>
                  <w:u w:val="single"/>
                </w:rPr>
                <w:t>5</w:t>
              </w:r>
            </w:hyperlink>
            <w:r w:rsidR="00541B8B" w:rsidRPr="00541B8B">
              <w:rPr>
                <w:rFonts w:cs="Arial"/>
              </w:rPr>
              <w:t xml:space="preserve"> – Rapporti tra fonti primarie e fonti subordinate: incidenza su fonti subordinate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rPr>
            </w:pPr>
            <w:r w:rsidRPr="00541B8B">
              <w:rPr>
                <w:rFonts w:cs="Arial"/>
              </w:rPr>
              <w:t>Incidenza, in via non testuale, su discipline oggetto di fonte normativa di rango subordinato. Richiamo al punto 3, lettera e), della circolare sulla formulazione dei testi normativi.</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rPr>
            </w:pPr>
            <w:hyperlink w:anchor="S16a06" w:history="1">
              <w:r w:rsidR="00541B8B" w:rsidRPr="00541B8B">
                <w:rPr>
                  <w:rFonts w:cs="Arial"/>
                  <w:color w:val="0000FF"/>
                  <w:u w:val="single"/>
                </w:rPr>
                <w:t>6</w:t>
              </w:r>
            </w:hyperlink>
            <w:r w:rsidR="00541B8B" w:rsidRPr="00541B8B">
              <w:rPr>
                <w:rFonts w:cs="Arial"/>
              </w:rPr>
              <w:t xml:space="preserve"> – Coerente utilizzo delle fonti normative: atti atipici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rPr>
            </w:pPr>
            <w:r w:rsidRPr="00541B8B">
              <w:rPr>
                <w:rFonts w:cs="Arial"/>
              </w:rPr>
              <w:t>Previsione di un DPCM a carattere normativo. Richiamo all’articolo 17 della legge n. 400/1988. Raccomandazione 1, punto b)</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16a07" w:history="1">
              <w:r w:rsidR="00541B8B" w:rsidRPr="00541B8B">
                <w:rPr>
                  <w:rFonts w:cs="Arial"/>
                  <w:color w:val="0000FF"/>
                  <w:u w:val="single"/>
                </w:rPr>
                <w:t>7</w:t>
              </w:r>
            </w:hyperlink>
            <w:r w:rsidR="00541B8B" w:rsidRPr="00541B8B">
              <w:rPr>
                <w:rFonts w:cs="Arial"/>
              </w:rPr>
              <w:t xml:space="preserve"> – Formulazione del testo: rubrica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rPr>
            </w:pP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pPr>
            <w:hyperlink w:anchor="S16a08" w:history="1">
              <w:r w:rsidR="00541B8B" w:rsidRPr="00541B8B">
                <w:rPr>
                  <w:color w:val="0000FF"/>
                  <w:u w:val="single"/>
                </w:rPr>
                <w:t>8</w:t>
              </w:r>
            </w:hyperlink>
            <w:r w:rsidR="00541B8B" w:rsidRPr="00541B8B">
              <w:t xml:space="preserve"> - </w:t>
            </w:r>
            <w:r w:rsidR="00541B8B" w:rsidRPr="00541B8B">
              <w:rPr>
                <w:rFonts w:cs="Arial"/>
              </w:rPr>
              <w:t>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rPr>
            </w:pPr>
            <w:r w:rsidRPr="00541B8B">
              <w:rPr>
                <w:rFonts w:cs="Arial"/>
              </w:rPr>
              <w:t>Assenti.</w:t>
            </w:r>
          </w:p>
        </w:tc>
      </w:tr>
    </w:tbl>
    <w:p w:rsidR="00541B8B" w:rsidRPr="00541B8B" w:rsidRDefault="00541B8B" w:rsidP="00541B8B">
      <w:pPr>
        <w:spacing w:before="60" w:after="60"/>
        <w:contextualSpacing/>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4643"/>
        <w:gridCol w:w="4643"/>
      </w:tblGrid>
      <w:tr w:rsidR="00541B8B" w:rsidRPr="00541B8B" w:rsidTr="00D20CCA">
        <w:tc>
          <w:tcPr>
            <w:tcW w:w="5000" w:type="pct"/>
            <w:gridSpan w:val="2"/>
          </w:tcPr>
          <w:p w:rsidR="00541B8B" w:rsidRPr="00541B8B" w:rsidRDefault="00541B8B" w:rsidP="00541B8B">
            <w:pPr>
              <w:keepNext/>
              <w:spacing w:before="100" w:beforeAutospacing="1" w:after="100" w:afterAutospacing="1"/>
              <w:ind w:firstLine="0"/>
              <w:contextualSpacing/>
              <w:jc w:val="left"/>
              <w:rPr>
                <w:rFonts w:cs="Arial"/>
              </w:rPr>
            </w:pPr>
            <w:r w:rsidRPr="00541B8B">
              <w:rPr>
                <w:rFonts w:cs="Arial"/>
                <w:b/>
                <w:color w:val="0000FF"/>
              </w:rPr>
              <w:t>Rilievi</w:t>
            </w: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pPr>
            <w:hyperlink w:anchor="S16C" w:history="1">
              <w:r w:rsidR="00541B8B" w:rsidRPr="00541B8B">
                <w:rPr>
                  <w:color w:val="0000FF"/>
                  <w:u w:val="single"/>
                </w:rPr>
                <w:t>C</w:t>
              </w:r>
            </w:hyperlink>
            <w:r w:rsidR="00541B8B" w:rsidRPr="00541B8B">
              <w:t xml:space="preserve"> - Condizioni</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376"/>
        </w:trPr>
        <w:tc>
          <w:tcPr>
            <w:tcW w:w="2500" w:type="pct"/>
          </w:tcPr>
          <w:p w:rsidR="00541B8B" w:rsidRPr="00541B8B" w:rsidRDefault="00DC78AD" w:rsidP="00541B8B">
            <w:pPr>
              <w:keepNext/>
              <w:spacing w:before="100" w:beforeAutospacing="1" w:after="100" w:afterAutospacing="1"/>
              <w:ind w:firstLine="0"/>
              <w:contextualSpacing/>
              <w:jc w:val="left"/>
              <w:rPr>
                <w:rFonts w:cs="Arial"/>
              </w:rPr>
            </w:pPr>
            <w:hyperlink w:anchor="S16R" w:history="1">
              <w:r w:rsidR="00541B8B" w:rsidRPr="00541B8B">
                <w:rPr>
                  <w:color w:val="0000FF"/>
                  <w:u w:val="single"/>
                </w:rPr>
                <w:t>R</w:t>
              </w:r>
            </w:hyperlink>
            <w:r w:rsidR="00541B8B" w:rsidRPr="00541B8B">
              <w:rPr>
                <w:rFonts w:cs="Arial"/>
              </w:rPr>
              <w:t xml:space="preserve"> - Raccomandazioni</w:t>
            </w:r>
          </w:p>
        </w:tc>
        <w:tc>
          <w:tcPr>
            <w:tcW w:w="2500" w:type="pct"/>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pPr>
    </w:p>
    <w:p w:rsidR="00541B8B" w:rsidRPr="00541B8B" w:rsidRDefault="00541B8B" w:rsidP="00541B8B">
      <w:pPr>
        <w:spacing w:before="60" w:after="60"/>
        <w:ind w:firstLine="0"/>
        <w:contextualSpacing/>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t>Riferimenti</w:t>
            </w:r>
          </w:p>
        </w:tc>
      </w:tr>
      <w:tr w:rsidR="00541B8B" w:rsidRPr="00541B8B" w:rsidTr="00D20CCA">
        <w:trPr>
          <w:trHeight w:val="787"/>
        </w:trPr>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i/>
              </w:rPr>
              <w:t xml:space="preserve">Articolo 76 e articolo 77, secondo comma, della Costituzione; articolo 15, c. 2, lettera </w:t>
            </w:r>
            <w:r w:rsidRPr="00541B8B">
              <w:rPr>
                <w:rFonts w:cs="Arial"/>
              </w:rPr>
              <w:t>a)</w:t>
            </w:r>
            <w:r w:rsidRPr="00541B8B">
              <w:rPr>
                <w:rFonts w:cs="Arial"/>
                <w:i/>
              </w:rPr>
              <w:t xml:space="preserve">, c.3, e articolo 17 della legge n. 400/1988; sentenza n. 237/2013 della Corte costituzionale; punto 3, lettera </w:t>
            </w:r>
            <w:r w:rsidRPr="00541B8B">
              <w:rPr>
                <w:rFonts w:cs="Arial"/>
              </w:rPr>
              <w:t>e)</w:t>
            </w:r>
            <w:r w:rsidRPr="00541B8B">
              <w:rPr>
                <w:rFonts w:cs="Arial"/>
                <w:i/>
              </w:rPr>
              <w:t>, della circolare sulla formulazione dei testi normativi.</w:t>
            </w:r>
          </w:p>
        </w:tc>
      </w:tr>
    </w:tbl>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100" w:beforeAutospacing="1" w:after="100" w:afterAutospacing="1" w:line="240" w:lineRule="auto"/>
        <w:ind w:firstLine="0"/>
        <w:contextualSpacing/>
        <w:jc w:val="left"/>
        <w:rPr>
          <w:rFonts w:cs="Arial"/>
          <w:sz w:val="24"/>
          <w:szCs w:val="24"/>
        </w:rPr>
      </w:pPr>
    </w:p>
    <w:p w:rsidR="00541B8B" w:rsidRPr="00541B8B" w:rsidRDefault="00541B8B" w:rsidP="00541B8B">
      <w:pPr>
        <w:spacing w:before="60" w:after="60"/>
        <w:ind w:firstLine="0"/>
        <w:contextualSpacing/>
        <w:rPr>
          <w:rFonts w:cs="Arial"/>
          <w:szCs w:val="22"/>
        </w:rPr>
      </w:pPr>
      <w:bookmarkStart w:id="308" w:name="S16a01"/>
      <w:r w:rsidRPr="00541B8B">
        <w:rPr>
          <w:rFonts w:cs="Arial"/>
          <w:szCs w:val="22"/>
        </w:rPr>
        <w:t>1</w:t>
      </w:r>
      <w:bookmarkEnd w:id="308"/>
      <w:r w:rsidRPr="00541B8B">
        <w:rPr>
          <w:rFonts w:cs="Arial"/>
          <w:szCs w:val="22"/>
        </w:rPr>
        <w:t xml:space="preserve"> – </w:t>
      </w:r>
      <w:hyperlink w:anchor="premessa1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decreto-legge, a seguito dell’approvazione, presso l’altro ramo del Parlamento, di 11 articoli aggiuntivi, si compone di 15 articoli e reca, oltre ad un complesso di interventi destinati – come recitano il titolo ed il preambolo - alla scuola, al personale docente, e alla ricerca, anche </w:t>
      </w:r>
      <w:r w:rsidRPr="00541B8B">
        <w:rPr>
          <w:b/>
        </w:rPr>
        <w:t>ulteriori misure che non appaiono pienamente riconducibili ai summenzionati ambiti materiali</w:t>
      </w:r>
      <w:r w:rsidRPr="00541B8B">
        <w:t>. Si tratta, in particolare, delle misure contenute all’articolo 1-</w:t>
      </w:r>
      <w:r w:rsidRPr="00541B8B">
        <w:rPr>
          <w:i/>
        </w:rPr>
        <w:t>septies</w:t>
      </w:r>
      <w:r w:rsidRPr="00541B8B">
        <w:t>, che interviene sull’ordinamento professionale dei periti, e all’articolo 2-</w:t>
      </w:r>
      <w:r w:rsidRPr="00541B8B">
        <w:rPr>
          <w:i/>
        </w:rPr>
        <w:t>sexies</w:t>
      </w:r>
      <w:r w:rsidRPr="00541B8B">
        <w:t>, che interviene sulla disciplina dell’ISEE dei nuclei familiari con componenti con disabilità; solo parzialmente riconducibile all’ambito originario del decreto-legge risulta inoltre la disposizione contenuta all’articolo 2-quinquies, che interviene sul cosiddetto bonus cultura a favore dei diciottenni, estendendone l’operatività anche agli stranieri in possesso di un permesso di soggiorno in corso di validità</w:t>
      </w:r>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309" w:name="S16a02"/>
      <w:r w:rsidRPr="00541B8B">
        <w:rPr>
          <w:rFonts w:cs="Arial"/>
          <w:szCs w:val="22"/>
        </w:rPr>
        <w:t>2</w:t>
      </w:r>
      <w:bookmarkEnd w:id="309"/>
      <w:r w:rsidRPr="00541B8B">
        <w:rPr>
          <w:rFonts w:cs="Arial"/>
          <w:szCs w:val="22"/>
        </w:rPr>
        <w:t xml:space="preserve"> – </w:t>
      </w:r>
      <w:hyperlink w:anchor="premessa1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disegno di legge di conversione, a seguito delle modifiche approvate dal Senato, all’articolo 1, comma 2, </w:t>
      </w:r>
      <w:r w:rsidRPr="00541B8B">
        <w:rPr>
          <w:b/>
        </w:rPr>
        <w:t>modifica</w:t>
      </w:r>
      <w:r w:rsidRPr="00541B8B">
        <w:t xml:space="preserve"> in due punti l’articolo 1, comma 181, della legge 13 luglio 2015, n. 107, che contiene i </w:t>
      </w:r>
      <w:r w:rsidRPr="00541B8B">
        <w:rPr>
          <w:b/>
        </w:rPr>
        <w:t>principi e i criteri direttivi della delega</w:t>
      </w:r>
      <w:r w:rsidRPr="00541B8B">
        <w:t xml:space="preserve"> volta al riordino, alla semplificazione e alla codificazione delle disposizioni legislative in materia di istruzione. In particolare, la lettera </w:t>
      </w:r>
      <w:r w:rsidRPr="00541B8B">
        <w:rPr>
          <w:i/>
        </w:rPr>
        <w:t>a</w:t>
      </w:r>
      <w:r w:rsidRPr="00541B8B">
        <w:t xml:space="preserve">) adegua dal punto di vista puramente lessicale la lettera b), n. 3.2), sostituendo al termine “apprendistato” il termine, usato nelle altre parti del testo, “tirocinio”; la lettera </w:t>
      </w:r>
      <w:r w:rsidRPr="00541B8B">
        <w:rPr>
          <w:i/>
        </w:rPr>
        <w:t>b</w:t>
      </w:r>
      <w:r w:rsidRPr="00541B8B">
        <w:t>) sposta invece l’oggetto della delega dalla definizione dei “livelli essenziali” alla definizione dei “fabbisogni standard” delle prestazioni della scuola dell'infanzia e dei servizi educativi per l'infanzia; in proposito, si ricorda che, secondo costante orientamento del Comitato per la legislazione - ed in accordo con la prassi consolidata della Presidenza della Camera in materia di inammissibilità degli emendamenti - tale circostanza integra una violazione del limite posto dall’</w:t>
      </w:r>
      <w:r w:rsidRPr="00541B8B">
        <w:rPr>
          <w:b/>
        </w:rPr>
        <w:t xml:space="preserve">articolo 15, comma 2, lettera </w:t>
      </w:r>
      <w:r w:rsidRPr="00541B8B">
        <w:rPr>
          <w:b/>
          <w:i/>
        </w:rPr>
        <w:t>a</w:t>
      </w:r>
      <w:r w:rsidRPr="00541B8B">
        <w:rPr>
          <w:b/>
        </w:rPr>
        <w:t>), della legge n. 400 del 1988</w:t>
      </w:r>
      <w:r w:rsidRPr="00541B8B">
        <w:t>, secondo il quale Governo non può, mediante decreto-legge, “conferire deleghe legislative ai sensi dell'</w:t>
      </w:r>
      <w:r w:rsidRPr="00541B8B">
        <w:rPr>
          <w:b/>
        </w:rPr>
        <w:t>articolo 76 della Costituzione</w:t>
      </w:r>
      <w:r w:rsidRPr="00541B8B">
        <w:t xml:space="preserve">”, e che l’inserimento di </w:t>
      </w:r>
      <w:r w:rsidRPr="00541B8B">
        <w:rPr>
          <w:b/>
        </w:rPr>
        <w:t xml:space="preserve">disposizioni </w:t>
      </w:r>
      <w:r w:rsidRPr="00541B8B">
        <w:rPr>
          <w:b/>
        </w:rPr>
        <w:lastRenderedPageBreak/>
        <w:t>di carattere sostanziale</w:t>
      </w:r>
      <w:r w:rsidRPr="00541B8B">
        <w:t xml:space="preserve"> in un disegno di legge di conversione non appare corrispondente ad un corretto utilizzo dello specifico strumento normativo rappresentato da tale tipologia di legge; peraltro, la </w:t>
      </w:r>
      <w:r w:rsidRPr="00541B8B">
        <w:rPr>
          <w:b/>
        </w:rPr>
        <w:t>Corte costituzionale, con la sentenza n. 237 del 2013</w:t>
      </w:r>
      <w:r w:rsidRPr="00541B8B">
        <w:t xml:space="preserve"> si è discostata da tali indirizzi, affermando che il Parlamento, nell’approvare la legge di conversione di un decreto-legge, può esercitare la propria potestà legislativa anche introducendo, con disposizioni aggiuntive, contenuti normativi ulteriori. Ciò, tuttavia, nel rispetto del limite dell’omogeneità complessiva dell’atto normativo rispetto all’oggetto o allo scopo</w:t>
      </w:r>
      <w:r w:rsidRPr="00541B8B">
        <w:rPr>
          <w:rFonts w:cs="Arial"/>
          <w:szCs w:val="22"/>
        </w:rPr>
        <w:t>» (</w:t>
      </w:r>
      <w:hyperlink w:anchor="S16c01" w:history="1">
        <w:r w:rsidRPr="00541B8B">
          <w:rPr>
            <w:rFonts w:cs="Arial"/>
            <w:b/>
            <w:color w:val="0000FF"/>
            <w:szCs w:val="22"/>
            <w:u w:val="single"/>
          </w:rPr>
          <w:t>conseguente condizione</w:t>
        </w:r>
      </w:hyperlink>
      <w:r w:rsidRPr="00541B8B">
        <w:rPr>
          <w:rFonts w:cs="Arial"/>
          <w:szCs w:val="22"/>
        </w:rPr>
        <w:t>) (</w:t>
      </w:r>
      <w:hyperlink w:anchor="S16r01a" w:history="1">
        <w:r w:rsidRPr="00541B8B">
          <w:rPr>
            <w:rFonts w:cs="Arial"/>
            <w:b/>
            <w:color w:val="0000FF"/>
            <w:szCs w:val="22"/>
            <w:u w:val="single"/>
          </w:rPr>
          <w:t>conseguente raccomandazione</w:t>
        </w:r>
      </w:hyperlink>
      <w:r w:rsidRPr="00541B8B">
        <w:rPr>
          <w:rFonts w:cs="Arial"/>
          <w:szCs w:val="22"/>
        </w:rPr>
        <w:t xml:space="preserve">); </w:t>
      </w: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100" w:beforeAutospacing="1" w:after="100" w:afterAutospacing="1" w:line="240" w:lineRule="auto"/>
        <w:ind w:firstLine="0"/>
        <w:contextualSpacing/>
        <w:jc w:val="left"/>
        <w:rPr>
          <w:rFonts w:cs="Arial"/>
          <w:szCs w:val="22"/>
        </w:rPr>
      </w:pPr>
    </w:p>
    <w:p w:rsidR="00541B8B" w:rsidRPr="00541B8B" w:rsidRDefault="00541B8B" w:rsidP="00541B8B">
      <w:pPr>
        <w:spacing w:before="60" w:after="60"/>
        <w:ind w:firstLine="0"/>
        <w:contextualSpacing/>
        <w:rPr>
          <w:rFonts w:cs="Arial"/>
          <w:szCs w:val="22"/>
        </w:rPr>
      </w:pPr>
      <w:bookmarkStart w:id="310" w:name="S16a03"/>
      <w:r w:rsidRPr="00541B8B">
        <w:rPr>
          <w:rFonts w:cs="Arial"/>
          <w:szCs w:val="22"/>
        </w:rPr>
        <w:t>3</w:t>
      </w:r>
      <w:bookmarkEnd w:id="310"/>
      <w:r w:rsidRPr="00541B8B">
        <w:rPr>
          <w:rFonts w:cs="Arial"/>
          <w:szCs w:val="22"/>
        </w:rPr>
        <w:t xml:space="preserve"> – </w:t>
      </w:r>
      <w:hyperlink w:anchor="premessa16"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«sul piano della tecnica normativa utilizzata, le disposizioni contenute nel decreto-legge effettuano perlopiù gli opportuni coordinamenti con l’ordinamento vigente. Con riferimento alle disposizioni contenute all’articolo 1-septies, che modifica la disciplina relativa all’ordinamento professionale dei periti industriali, si osserva tuttavia che, mentre il comma 1 è formulato in termini di novella alla legge n. 17 del 1990, il comma 2, che contiene alcune previsioni transitorie e di salvaguardia, conseguenziali alle disposizioni di cui al comma 1, </w:t>
      </w:r>
      <w:r w:rsidRPr="00541B8B">
        <w:rPr>
          <w:rFonts w:cs="Arial"/>
          <w:b/>
          <w:szCs w:val="22"/>
        </w:rPr>
        <w:t>non risulta formulato in termini di modifica testuale</w:t>
      </w:r>
      <w:r w:rsidRPr="00541B8B">
        <w:rPr>
          <w:rFonts w:cs="Arial"/>
          <w:szCs w:val="22"/>
        </w:rPr>
        <w:t xml:space="preserve"> alla succitata legge»;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311" w:name="S16a04"/>
      <w:r w:rsidRPr="00541B8B">
        <w:rPr>
          <w:rFonts w:cs="Arial"/>
          <w:szCs w:val="22"/>
        </w:rPr>
        <w:t>4</w:t>
      </w:r>
      <w:bookmarkEnd w:id="311"/>
      <w:r w:rsidRPr="00541B8B">
        <w:rPr>
          <w:rFonts w:cs="Arial"/>
          <w:szCs w:val="22"/>
        </w:rPr>
        <w:t xml:space="preserve"> – </w:t>
      </w:r>
      <w:hyperlink w:anchor="premessa1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le disposizioni del decreto-legge sono, in generale, di </w:t>
      </w:r>
      <w:r w:rsidRPr="00541B8B">
        <w:rPr>
          <w:b/>
        </w:rPr>
        <w:t>immediata applicazione</w:t>
      </w:r>
      <w:r w:rsidRPr="00541B8B">
        <w:t>, come previsto dall’</w:t>
      </w:r>
      <w:r w:rsidRPr="00541B8B">
        <w:rPr>
          <w:b/>
        </w:rPr>
        <w:t>articolo 15, comma 3, della legge n. 400 del 1988</w:t>
      </w:r>
      <w:r w:rsidRPr="00541B8B">
        <w:t>; fa eccezione l’articolo 1-</w:t>
      </w:r>
      <w:r w:rsidRPr="00541B8B">
        <w:rPr>
          <w:i/>
        </w:rPr>
        <w:t>quinquies</w:t>
      </w:r>
      <w:r w:rsidRPr="00541B8B">
        <w:t>, inserito al Senato, che, con previsioni di carattere ordinamentale, al comma 1 istituisce, a decorrere dall’anno 2017, un contributo annuale alle scuole paritarie che accolgano studenti con disabilità, nel contempo disponendo, al comma 2, ai fini della verifica del mantenimento della parità, un accertamento annuale del rispetto del requisito relativo all’applicazione delle norme vigenti in materia di inserimento di studenti con handicap o in condizioni di svantaggio; in relazione a tali previsioni, per costante indirizzo del Comitato per la legislazione, la rispondenza al requisito della “immediata applicabilità” dovrebbe essere valutata anche con riguardo ad eventuali effetti intermedi ed alla tempistica di adempimenti previsti (che, nel caso di specie non sono espressamente indicati)</w:t>
      </w:r>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312" w:name="S16a05"/>
      <w:r w:rsidRPr="00541B8B">
        <w:rPr>
          <w:rFonts w:cs="Arial"/>
          <w:szCs w:val="22"/>
        </w:rPr>
        <w:t xml:space="preserve">5 </w:t>
      </w:r>
      <w:bookmarkEnd w:id="312"/>
      <w:r w:rsidRPr="00541B8B">
        <w:rPr>
          <w:rFonts w:cs="Arial"/>
          <w:szCs w:val="22"/>
        </w:rPr>
        <w:t xml:space="preserve">– </w:t>
      </w:r>
      <w:hyperlink w:anchor="premessa1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il decreto-legge, all’articolo 2-</w:t>
      </w:r>
      <w:r w:rsidRPr="00541B8B">
        <w:rPr>
          <w:i/>
        </w:rPr>
        <w:t>sexies</w:t>
      </w:r>
      <w:r w:rsidRPr="00541B8B">
        <w:t>, introdotto al Senato, “</w:t>
      </w:r>
      <w:r w:rsidRPr="00541B8B">
        <w:rPr>
          <w:i/>
        </w:rPr>
        <w:t>Nelle more dell’adozione delle modifiche al regolamento di cui al decreto del Presidente del Consiglio dei ministri 5 dicembre 2013, n. 159, volte a recepire le sentenze del Consiglio di Stato, sex. IV, n. 00841, 00842 e 00838 del 2016</w:t>
      </w:r>
      <w:r w:rsidRPr="00541B8B">
        <w:t xml:space="preserve">”, modifica in maniera non testuale lo stesso regolamento; in proposito, si segnala che, per costante indirizzo del Comitato per la legislazione, tale circostanza non appare coerente con le esigenze di semplificazione dell'ordinamento vigente: si integra infatti una modalità di produzione legislativa che non appare funzionale alle esigenze di </w:t>
      </w:r>
      <w:r w:rsidRPr="00541B8B">
        <w:rPr>
          <w:b/>
        </w:rPr>
        <w:t>coerente utilizzo delle fonti</w:t>
      </w:r>
      <w:r w:rsidRPr="00541B8B">
        <w:t xml:space="preserve">, in quanto può derivarne l'effetto secondo cui atti non aventi forza di legge presentano “un diverso grado di ‘resistenza’ ad interventi modificativi successivi [si veda il punto 3, lettera </w:t>
      </w:r>
      <w:r w:rsidRPr="00541B8B">
        <w:rPr>
          <w:i/>
          <w:iCs/>
        </w:rPr>
        <w:t>e</w:t>
      </w:r>
      <w:r w:rsidRPr="00541B8B">
        <w:t>), della circolare congiunta dei Presidenti di Camera e Senato del 20 aprile 2001]”</w:t>
      </w:r>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313" w:name="S16a06"/>
      <w:r w:rsidRPr="00541B8B">
        <w:rPr>
          <w:rFonts w:cs="Arial"/>
          <w:szCs w:val="22"/>
        </w:rPr>
        <w:lastRenderedPageBreak/>
        <w:t>6</w:t>
      </w:r>
      <w:bookmarkEnd w:id="313"/>
      <w:r w:rsidRPr="00541B8B">
        <w:rPr>
          <w:rFonts w:cs="Arial"/>
          <w:szCs w:val="22"/>
        </w:rPr>
        <w:t xml:space="preserve"> – </w:t>
      </w:r>
      <w:hyperlink w:anchor="premessa1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il decreto-legge, inoltre, all’articolo 1-</w:t>
      </w:r>
      <w:r w:rsidRPr="00541B8B">
        <w:rPr>
          <w:i/>
        </w:rPr>
        <w:t>sexies</w:t>
      </w:r>
      <w:r w:rsidRPr="00541B8B">
        <w:t>, introdotto anch’esso al Senato, demanda ad un “</w:t>
      </w:r>
      <w:r w:rsidRPr="00541B8B">
        <w:rPr>
          <w:b/>
        </w:rPr>
        <w:t>decreto del Presidente del Consiglio dei Ministri</w:t>
      </w:r>
      <w:r w:rsidRPr="00541B8B">
        <w:t xml:space="preserve">, di concerto con il Ministro dell’istruzione, dell’università e della ricerca e con il Ministro dell’economia e delle finanze, da adottare entro sessanta giorni dalla data di entrata in vigore della legge di conversione”, la definizione dei termini per assicurare “la tempestiva assegnazione delle risorse alle istituzioni scolastiche ed il pagamento mensile delle somme spettanti al personale a tempo determinato per le prestazioni di lavoro rese, con particolare riferimento agli incarichi di supplenza breve e saltuaria”; in proposito, si segnala che, per costante indirizzo del Comitato per la legislazione, tale circostanza non appare coerente con le esigenze di un appropriato </w:t>
      </w:r>
      <w:r w:rsidRPr="00541B8B">
        <w:rPr>
          <w:b/>
        </w:rPr>
        <w:t>utilizzo delle fonti normative</w:t>
      </w:r>
      <w:r w:rsidRPr="00541B8B">
        <w:t xml:space="preserve">, in quanto si demanda ad un </w:t>
      </w:r>
      <w:r w:rsidRPr="00541B8B">
        <w:rPr>
          <w:b/>
        </w:rPr>
        <w:t>atto atipico</w:t>
      </w:r>
      <w:r w:rsidRPr="00541B8B">
        <w:t xml:space="preserve"> la definizione di una disciplina che dovrebbe essere oggetto di una fonte secondaria del diritto e, segnatamente, di regolamenti emanati a norma dell'</w:t>
      </w:r>
      <w:r w:rsidRPr="00541B8B">
        <w:rPr>
          <w:b/>
        </w:rPr>
        <w:t xml:space="preserve">articolo 17 della legge 23 agosto 1988, n. 400 </w:t>
      </w:r>
      <w:r w:rsidRPr="00541B8B">
        <w:t>(regolamenti governativi nella forma di decreti del Presidente della Repubblica ovvero decreti ministeriali o interministeriali)</w:t>
      </w:r>
      <w:r w:rsidRPr="00541B8B">
        <w:rPr>
          <w:rFonts w:cs="Arial"/>
          <w:szCs w:val="22"/>
        </w:rPr>
        <w:t>» (</w:t>
      </w:r>
      <w:hyperlink w:anchor="S16r01b" w:history="1">
        <w:r w:rsidRPr="00541B8B">
          <w:rPr>
            <w:rFonts w:cs="Arial"/>
            <w:b/>
            <w:color w:val="0000FF"/>
            <w:szCs w:val="22"/>
            <w:u w:val="single"/>
          </w:rPr>
          <w:t>conseguente raccomandazione</w:t>
        </w:r>
      </w:hyperlink>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314" w:name="S16a07"/>
      <w:r w:rsidRPr="00541B8B">
        <w:rPr>
          <w:rFonts w:cs="Arial"/>
          <w:szCs w:val="22"/>
        </w:rPr>
        <w:t>7</w:t>
      </w:r>
      <w:bookmarkEnd w:id="314"/>
      <w:r w:rsidRPr="00541B8B">
        <w:rPr>
          <w:rFonts w:cs="Arial"/>
          <w:szCs w:val="22"/>
        </w:rPr>
        <w:t xml:space="preserve"> – </w:t>
      </w:r>
      <w:hyperlink w:anchor="premessa1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all’articolo 2-</w:t>
      </w:r>
      <w:r w:rsidRPr="00541B8B">
        <w:rPr>
          <w:i/>
        </w:rPr>
        <w:t>ter</w:t>
      </w:r>
      <w:r w:rsidRPr="00541B8B">
        <w:t xml:space="preserve">, la </w:t>
      </w:r>
      <w:r w:rsidRPr="00541B8B">
        <w:rPr>
          <w:b/>
        </w:rPr>
        <w:t>rubrica</w:t>
      </w:r>
      <w:r w:rsidRPr="00541B8B">
        <w:t xml:space="preserve"> si riferisce ellitticamente al “Riconoscimento di crediti formativi universitari negli istituti tecnici superiori”, omettendo il riferimento agli studenti, effettivi destinatari di tali crediti</w:t>
      </w:r>
      <w:r w:rsidRPr="00541B8B">
        <w:rPr>
          <w:rFonts w:cs="Arial"/>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bookmarkStart w:id="315" w:name="S16a08"/>
      <w:r w:rsidRPr="00541B8B">
        <w:rPr>
          <w:rFonts w:cs="Arial"/>
          <w:szCs w:val="22"/>
        </w:rPr>
        <w:t>8</w:t>
      </w:r>
      <w:bookmarkEnd w:id="315"/>
      <w:r w:rsidRPr="00541B8B">
        <w:rPr>
          <w:rFonts w:cs="Arial"/>
          <w:szCs w:val="22"/>
        </w:rPr>
        <w:t xml:space="preserve"> – </w:t>
      </w:r>
      <w:hyperlink w:anchor="premessa1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il disegno di legge non è corredato della relazione sull'analisi tecnico-normativa (</w:t>
      </w:r>
      <w:r w:rsidRPr="00541B8B">
        <w:rPr>
          <w:b/>
        </w:rPr>
        <w:t>ATN</w:t>
      </w:r>
      <w:r w:rsidRPr="00541B8B">
        <w:t>) ed è sprovvisto della relazione sull'analisi di impatto della regolamentazione (</w:t>
      </w:r>
      <w:r w:rsidRPr="00541B8B">
        <w:rPr>
          <w:b/>
        </w:rPr>
        <w:t>AIR</w:t>
      </w:r>
      <w:r w:rsidRPr="00541B8B">
        <w:t>)</w:t>
      </w:r>
      <w:r w:rsidRPr="00541B8B">
        <w:rPr>
          <w:rFonts w:cs="Arial"/>
          <w:szCs w:val="22"/>
        </w:rPr>
        <w:t>».</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316" w:name="S16C"/>
      <w:r w:rsidRPr="00541B8B">
        <w:rPr>
          <w:rFonts w:cs="Arial"/>
          <w:b/>
          <w:szCs w:val="22"/>
        </w:rPr>
        <w:t>Condizioni</w:t>
      </w:r>
      <w:r w:rsidRPr="00541B8B">
        <w:rPr>
          <w:rFonts w:cs="Arial"/>
          <w:szCs w:val="22"/>
        </w:rPr>
        <w:t xml:space="preserve">: </w:t>
      </w:r>
    </w:p>
    <w:bookmarkEnd w:id="316"/>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color w:val="0000FF"/>
          <w:szCs w:val="22"/>
          <w:u w:val="single"/>
        </w:rPr>
      </w:pPr>
      <w:bookmarkStart w:id="317" w:name="S16c01"/>
      <w:r w:rsidRPr="00541B8B">
        <w:t xml:space="preserve">1) alla luce dell’orientamento </w:t>
      </w:r>
      <w:bookmarkEnd w:id="317"/>
      <w:r w:rsidRPr="00541B8B">
        <w:t>consolidato del Comitato per la legislazione, avvalorato dalla prassi della Presidenza della Camera in tema di inammissibilità degli emendamenti, e tenuto tuttavia conto della sentenza della Corte costituzionale n. 237 del 2013 richiamata in premessa, si valuti la soppressione del comma 2 dell’articolo 1 del disegno di legge di conversione;</w:t>
      </w:r>
      <w:hyperlink w:anchor="premessa16" w:history="1">
        <w:r w:rsidRPr="00541B8B">
          <w:rPr>
            <w:rFonts w:cs="Arial"/>
            <w:color w:val="0000FF"/>
            <w:szCs w:val="22"/>
            <w:u w:val="single"/>
          </w:rPr>
          <w:t xml:space="preserve"> [torna su]</w:t>
        </w:r>
      </w:hyperlink>
      <w:r w:rsidRPr="00541B8B">
        <w:rPr>
          <w:rFonts w:cs="Arial"/>
          <w:color w:val="0000FF"/>
          <w:szCs w:val="22"/>
          <w:u w:val="single"/>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318" w:name="S16R"/>
      <w:r w:rsidRPr="00541B8B">
        <w:rPr>
          <w:rFonts w:cs="Arial"/>
          <w:b/>
          <w:szCs w:val="22"/>
        </w:rPr>
        <w:t>Raccomandazioni</w:t>
      </w:r>
      <w:r w:rsidRPr="00541B8B">
        <w:rPr>
          <w:rFonts w:cs="Arial"/>
          <w:szCs w:val="22"/>
        </w:rPr>
        <w:t xml:space="preserve">: </w:t>
      </w:r>
    </w:p>
    <w:bookmarkEnd w:id="318"/>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pPr>
      <w:r w:rsidRPr="00541B8B">
        <w:t>1) ribadendo il rilievo già più volte formulato dal Comitato sulla necessità che ciascuno strumento normativo sia utilizzato in modo coerente rispetto alle proprie caratteristiche, abbia cura il legislatore, sia in sede di iniziativa legislativa, sia nell’ambito delle procedure emendative parlamentari:</w:t>
      </w:r>
    </w:p>
    <w:p w:rsidR="00541B8B" w:rsidRPr="00541B8B" w:rsidRDefault="00541B8B" w:rsidP="00541B8B">
      <w:pPr>
        <w:keepNext/>
        <w:numPr>
          <w:ilvl w:val="0"/>
          <w:numId w:val="18"/>
        </w:numPr>
        <w:spacing w:before="60" w:after="60"/>
        <w:contextualSpacing/>
      </w:pPr>
      <w:bookmarkStart w:id="319" w:name="S16r01a"/>
      <w:r w:rsidRPr="00541B8B">
        <w:t>di</w:t>
      </w:r>
      <w:bookmarkEnd w:id="319"/>
      <w:r w:rsidRPr="00541B8B">
        <w:t xml:space="preserve"> attenersi alle indicazioni contenute nella giurisprudenza costituzionale circa la necessità di considerare lo stretto nesso intercorrente tra l’intrinseca coerenza </w:t>
      </w:r>
      <w:r w:rsidRPr="00541B8B">
        <w:lastRenderedPageBreak/>
        <w:t xml:space="preserve">delle norme contenute nel decreto-legge e la ricorrenza dei presupposti fattuali indicati al secondo comma dell’articolo 77 della Costituzione; </w:t>
      </w:r>
      <w:hyperlink w:anchor="premessa16" w:history="1">
        <w:r w:rsidRPr="00541B8B">
          <w:rPr>
            <w:rFonts w:cs="Arial"/>
            <w:color w:val="0000FF"/>
            <w:szCs w:val="22"/>
            <w:u w:val="single"/>
          </w:rPr>
          <w:t xml:space="preserve"> [torna su]</w:t>
        </w:r>
      </w:hyperlink>
    </w:p>
    <w:p w:rsidR="00541B8B" w:rsidRPr="00541B8B" w:rsidRDefault="00541B8B" w:rsidP="00541B8B">
      <w:pPr>
        <w:keepNext/>
        <w:numPr>
          <w:ilvl w:val="0"/>
          <w:numId w:val="18"/>
        </w:numPr>
        <w:spacing w:before="60" w:after="60"/>
        <w:contextualSpacing/>
        <w:rPr>
          <w:rFonts w:cs="Arial"/>
          <w:color w:val="0000FF"/>
          <w:szCs w:val="22"/>
          <w:u w:val="single"/>
        </w:rPr>
      </w:pPr>
      <w:bookmarkStart w:id="320" w:name="S16r01b"/>
      <w:r w:rsidRPr="00541B8B">
        <w:t xml:space="preserve">di astenersi </w:t>
      </w:r>
      <w:bookmarkEnd w:id="320"/>
      <w:r w:rsidRPr="00541B8B">
        <w:t>dal rilegificare materie disciplinate da fonti secondarie del diritto e di non assegnare a fonti atipiche compiti di tipo normativo che l’ordinamento riserva alle fonti secondarie del diritto."</w:t>
      </w:r>
      <w:hyperlink w:anchor="premessa16" w:history="1">
        <w:r w:rsidRPr="00541B8B">
          <w:rPr>
            <w:rFonts w:cs="Arial"/>
            <w:color w:val="0000FF"/>
            <w:szCs w:val="22"/>
            <w:u w:val="single"/>
          </w:rPr>
          <w:t xml:space="preserve"> [torna su]</w:t>
        </w:r>
      </w:hyperlink>
      <w:r w:rsidRPr="00541B8B">
        <w:rPr>
          <w:rFonts w:cs="Arial"/>
          <w:color w:val="0000FF"/>
          <w:szCs w:val="22"/>
          <w:u w:val="single"/>
        </w:rPr>
        <w:t xml:space="preserve"> </w:t>
      </w:r>
    </w:p>
    <w:p w:rsidR="00541B8B" w:rsidRPr="00541B8B" w:rsidRDefault="00541B8B" w:rsidP="00541B8B">
      <w:pPr>
        <w:keepNext/>
        <w:spacing w:before="60" w:after="60"/>
        <w:ind w:left="1080" w:firstLine="0"/>
        <w:contextualSpacing/>
        <w:rPr>
          <w:rFonts w:cs="Arial"/>
          <w:color w:val="0000FF"/>
          <w:szCs w:val="22"/>
          <w:u w:val="single"/>
        </w:rPr>
      </w:pPr>
    </w:p>
    <w:p w:rsidR="00541B8B" w:rsidRPr="00541B8B" w:rsidRDefault="00541B8B" w:rsidP="00541B8B">
      <w:pPr>
        <w:spacing w:before="60" w:after="60"/>
        <w:ind w:firstLine="0"/>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230"/>
        <w:gridCol w:w="1361"/>
        <w:gridCol w:w="1863"/>
        <w:gridCol w:w="3253"/>
        <w:gridCol w:w="1579"/>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 w:val="24"/>
                <w:szCs w:val="24"/>
              </w:rPr>
            </w:pPr>
            <w:r w:rsidRPr="00541B8B">
              <w:rPr>
                <w:rFonts w:cs="Arial"/>
                <w:b/>
                <w:color w:val="0000FF"/>
                <w:sz w:val="24"/>
                <w:szCs w:val="24"/>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0017</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TU 2839</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07" w:history="1">
              <w:r w:rsidR="00541B8B" w:rsidRPr="00541B8B">
                <w:rPr>
                  <w:rFonts w:cs="Arial"/>
                  <w:color w:val="0000FF"/>
                  <w:szCs w:val="22"/>
                  <w:u w:val="single"/>
                </w:rPr>
                <w:t>pdl</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Disciplina dei partiti politici</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08" w:anchor="data.20160525.com48.bollettino.sede00010.tit00010" w:history="1">
              <w:r w:rsidR="00541B8B" w:rsidRPr="00541B8B">
                <w:rPr>
                  <w:color w:val="0000FF"/>
                  <w:szCs w:val="22"/>
                  <w:u w:val="single"/>
                </w:rPr>
                <w:t>25/05/2016</w:t>
              </w:r>
            </w:hyperlink>
          </w:p>
        </w:tc>
      </w:tr>
    </w:tbl>
    <w:p w:rsidR="00541B8B" w:rsidRPr="00541B8B" w:rsidRDefault="00541B8B" w:rsidP="00541B8B">
      <w:pPr>
        <w:spacing w:before="60" w:after="60" w:line="240" w:lineRule="auto"/>
        <w:ind w:firstLine="0"/>
        <w:contextualSpacing/>
        <w:jc w:val="left"/>
        <w:rPr>
          <w:rFonts w:cs="Arial"/>
          <w:sz w:val="24"/>
          <w:szCs w:val="24"/>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4,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321" w:name="premessa17"/>
            <w:r w:rsidRPr="00541B8B">
              <w:rPr>
                <w:rFonts w:cs="Arial"/>
                <w:b/>
                <w:color w:val="0000FF"/>
                <w:sz w:val="24"/>
                <w:szCs w:val="24"/>
              </w:rPr>
              <w:t>Premessa</w:t>
            </w:r>
            <w:bookmarkEnd w:id="321"/>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Condizioni 1, Osservazioni 1</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7a01" w:history="1">
              <w:r w:rsidR="00541B8B" w:rsidRPr="00541B8B">
                <w:rPr>
                  <w:color w:val="0000FF"/>
                  <w:szCs w:val="22"/>
                  <w:u w:val="single"/>
                </w:rPr>
                <w:t>1</w:t>
              </w:r>
            </w:hyperlink>
            <w:r w:rsidR="00541B8B" w:rsidRPr="00541B8B">
              <w:rPr>
                <w:rFonts w:cs="Arial"/>
                <w:szCs w:val="22"/>
              </w:rPr>
              <w:t xml:space="preserve"> – Contenuto omogeneo </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Contenuto omogeneo e corrispondente al titolo</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7a02" w:history="1">
              <w:r w:rsidR="00541B8B" w:rsidRPr="00541B8B">
                <w:rPr>
                  <w:color w:val="0000FF"/>
                  <w:szCs w:val="22"/>
                  <w:u w:val="single"/>
                </w:rPr>
                <w:t>2</w:t>
              </w:r>
            </w:hyperlink>
            <w:r w:rsidR="00541B8B" w:rsidRPr="00541B8B">
              <w:rPr>
                <w:rFonts w:cs="Arial"/>
                <w:szCs w:val="22"/>
              </w:rPr>
              <w:t xml:space="preserve"> – Coordinamento con la normativa vigente: stratificazione normativa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Alcune disposizioni fanno sistema e si affiancano o si sovrappongono alla normativa vigente, in una materia che è oggetto di una significativa stratificazione normativa.</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1</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Osservazione 1</w:t>
            </w:r>
          </w:p>
        </w:tc>
      </w:tr>
    </w:tbl>
    <w:p w:rsidR="00541B8B" w:rsidRPr="00541B8B" w:rsidRDefault="00541B8B" w:rsidP="00541B8B">
      <w:pPr>
        <w:spacing w:before="60" w:after="60"/>
        <w:contextualSpacing/>
      </w:pPr>
    </w:p>
    <w:p w:rsidR="00541B8B" w:rsidRPr="00541B8B" w:rsidRDefault="00541B8B" w:rsidP="00541B8B">
      <w:pPr>
        <w:spacing w:before="60" w:after="60" w:line="240" w:lineRule="auto"/>
        <w:ind w:firstLine="0"/>
        <w:contextualSpacing/>
        <w:jc w:val="left"/>
        <w:rPr>
          <w:rFonts w:cs="Arial"/>
          <w:sz w:val="24"/>
          <w:szCs w:val="24"/>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 w:val="24"/>
                <w:szCs w:val="24"/>
              </w:rPr>
            </w:pPr>
            <w:r w:rsidRPr="00541B8B">
              <w:rPr>
                <w:rFonts w:cs="Arial"/>
                <w:b/>
                <w:color w:val="0000FF"/>
                <w:sz w:val="24"/>
                <w:szCs w:val="24"/>
              </w:rPr>
              <w:t>Rilievi</w:t>
            </w:r>
          </w:p>
        </w:tc>
      </w:tr>
    </w:tbl>
    <w:tbl>
      <w:tblPr>
        <w:tblW w:w="5140" w:type="pct"/>
        <w:tblLook w:val="01E0" w:firstRow="1" w:lastRow="1" w:firstColumn="1" w:lastColumn="1" w:noHBand="0" w:noVBand="0"/>
      </w:tblPr>
      <w:tblGrid>
        <w:gridCol w:w="4773"/>
        <w:gridCol w:w="4773"/>
      </w:tblGrid>
      <w:tr w:rsidR="00541B8B" w:rsidRPr="00541B8B" w:rsidTr="00D20CCA">
        <w:trPr>
          <w:trHeight w:val="423"/>
        </w:trPr>
        <w:tc>
          <w:tcPr>
            <w:tcW w:w="250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pPr>
            <w:hyperlink w:anchor="S17C" w:history="1">
              <w:r w:rsidR="00541B8B" w:rsidRPr="00541B8B">
                <w:rPr>
                  <w:color w:val="0000FF"/>
                  <w:u w:val="single"/>
                </w:rPr>
                <w:t>C</w:t>
              </w:r>
            </w:hyperlink>
            <w:r w:rsidR="00541B8B" w:rsidRPr="00541B8B">
              <w:rPr>
                <w:color w:val="0000FF"/>
                <w:u w:val="single"/>
              </w:rPr>
              <w:t xml:space="preserve"> Condizioni</w:t>
            </w:r>
          </w:p>
        </w:tc>
        <w:tc>
          <w:tcPr>
            <w:tcW w:w="250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rPr>
            </w:pPr>
          </w:p>
        </w:tc>
      </w:tr>
      <w:tr w:rsidR="00541B8B" w:rsidRPr="00541B8B" w:rsidTr="00D20CCA">
        <w:trPr>
          <w:trHeight w:val="423"/>
        </w:trPr>
        <w:tc>
          <w:tcPr>
            <w:tcW w:w="2500" w:type="pct"/>
            <w:tcBorders>
              <w:top w:val="nil"/>
              <w:left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pPr>
            <w:hyperlink w:anchor="S17O" w:history="1">
              <w:r w:rsidR="00541B8B" w:rsidRPr="00541B8B">
                <w:rPr>
                  <w:color w:val="0000FF"/>
                  <w:u w:val="single"/>
                </w:rPr>
                <w:t>O</w:t>
              </w:r>
            </w:hyperlink>
            <w:r w:rsidR="00541B8B" w:rsidRPr="00541B8B">
              <w:rPr>
                <w:color w:val="0000FF"/>
                <w:u w:val="single"/>
              </w:rPr>
              <w:t xml:space="preserve"> Osservazioni</w:t>
            </w:r>
          </w:p>
        </w:tc>
        <w:tc>
          <w:tcPr>
            <w:tcW w:w="2500" w:type="pct"/>
            <w:tcBorders>
              <w:top w:val="nil"/>
              <w:left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rPr>
            </w:pPr>
          </w:p>
        </w:tc>
      </w:tr>
    </w:tbl>
    <w:p w:rsidR="00541B8B" w:rsidRPr="00541B8B" w:rsidRDefault="00541B8B" w:rsidP="00541B8B">
      <w:pPr>
        <w:spacing w:before="60" w:after="60"/>
        <w:ind w:firstLine="0"/>
        <w:contextualSpacing/>
        <w:rPr>
          <w:b/>
        </w:rPr>
      </w:pPr>
    </w:p>
    <w:p w:rsidR="00541B8B" w:rsidRPr="00541B8B" w:rsidRDefault="00541B8B" w:rsidP="00541B8B">
      <w:pPr>
        <w:spacing w:before="60" w:after="60"/>
        <w:ind w:firstLine="0"/>
        <w:contextualSpacing/>
        <w:rPr>
          <w:b/>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b/>
                <w:color w:val="0000FF"/>
                <w:sz w:val="24"/>
                <w:szCs w:val="24"/>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 w:val="24"/>
              </w:rPr>
            </w:pPr>
            <w:r w:rsidRPr="00541B8B">
              <w:rPr>
                <w:rFonts w:cs="Arial"/>
                <w:i/>
              </w:rPr>
              <w:t>nessuno.</w:t>
            </w:r>
          </w:p>
        </w:tc>
      </w:tr>
    </w:tbl>
    <w:p w:rsidR="00541B8B" w:rsidRPr="00541B8B" w:rsidRDefault="00541B8B" w:rsidP="00541B8B">
      <w:pPr>
        <w:spacing w:before="60" w:after="60" w:line="240" w:lineRule="auto"/>
        <w:ind w:firstLine="0"/>
        <w:contextualSpacing/>
        <w:jc w:val="left"/>
        <w:rPr>
          <w:rFonts w:cs="Arial"/>
          <w:sz w:val="24"/>
          <w:szCs w:val="24"/>
        </w:rPr>
      </w:pPr>
    </w:p>
    <w:p w:rsidR="00541B8B" w:rsidRPr="00541B8B" w:rsidRDefault="00541B8B" w:rsidP="00541B8B">
      <w:pPr>
        <w:spacing w:before="60" w:after="60" w:line="240" w:lineRule="auto"/>
        <w:ind w:firstLine="0"/>
        <w:contextualSpacing/>
        <w:jc w:val="left"/>
        <w:rPr>
          <w:rFonts w:cs="Arial"/>
          <w:sz w:val="24"/>
          <w:szCs w:val="24"/>
        </w:rPr>
      </w:pPr>
    </w:p>
    <w:p w:rsidR="00541B8B" w:rsidRPr="00541B8B" w:rsidRDefault="00541B8B" w:rsidP="00541B8B">
      <w:pPr>
        <w:spacing w:before="60" w:after="120"/>
        <w:contextualSpacing/>
        <w:rPr>
          <w:rFonts w:cs="Arial"/>
          <w:szCs w:val="22"/>
        </w:rPr>
      </w:pPr>
      <w:bookmarkStart w:id="322" w:name="S17a01"/>
      <w:r w:rsidRPr="00541B8B">
        <w:rPr>
          <w:rFonts w:cs="Arial"/>
          <w:szCs w:val="22"/>
        </w:rPr>
        <w:t>1</w:t>
      </w:r>
      <w:bookmarkEnd w:id="322"/>
      <w:r w:rsidRPr="00541B8B">
        <w:rPr>
          <w:rFonts w:cs="Arial"/>
          <w:szCs w:val="22"/>
        </w:rPr>
        <w:t xml:space="preserve"> – </w:t>
      </w:r>
      <w:hyperlink w:anchor="premessa17"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w:t>
      </w:r>
      <w:r w:rsidRPr="00541B8B">
        <w:t xml:space="preserve">il testo unificato all’esame presenta un </w:t>
      </w:r>
      <w:r w:rsidRPr="00541B8B">
        <w:rPr>
          <w:b/>
        </w:rPr>
        <w:t>contenuto omogeneo e corrispondente al titolo</w:t>
      </w:r>
      <w:r w:rsidRPr="00541B8B">
        <w:t xml:space="preserve"> in quanto reca un complesso di interventi in materia di disciplina dei partiti politici e contiene in particolare misure volte a favorire la partecipazione democratica, disposizioni finalizzate ad incentivare la trasparenza dell’attività e del finanziamento dei partiti politici, nonché a favorire la trasparenza in occasione della presentazione, da parte dei partiti medesimi, delle liste in competizioni elettorali</w:t>
      </w:r>
      <w:r w:rsidRPr="00541B8B">
        <w:rPr>
          <w:rFonts w:cs="Arial"/>
          <w:szCs w:val="22"/>
        </w:rPr>
        <w:t xml:space="preserve">»; </w:t>
      </w: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ind w:firstLine="397"/>
        <w:contextualSpacing/>
        <w:rPr>
          <w:szCs w:val="22"/>
        </w:rPr>
      </w:pPr>
      <w:bookmarkStart w:id="323" w:name="S17a02"/>
      <w:r w:rsidRPr="00541B8B">
        <w:rPr>
          <w:rFonts w:cs="Arial"/>
          <w:szCs w:val="22"/>
        </w:rPr>
        <w:t>2</w:t>
      </w:r>
      <w:bookmarkEnd w:id="323"/>
      <w:r w:rsidRPr="00541B8B">
        <w:rPr>
          <w:rFonts w:cs="Arial"/>
          <w:szCs w:val="22"/>
        </w:rPr>
        <w:t xml:space="preserve"> – </w:t>
      </w:r>
      <w:hyperlink w:anchor="premessa17"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szCs w:val="22"/>
        </w:rPr>
        <w:t xml:space="preserve">il testo unificato interviene su una materia oggetto di una significativa </w:t>
      </w:r>
      <w:r w:rsidRPr="00541B8B">
        <w:rPr>
          <w:b/>
          <w:szCs w:val="22"/>
        </w:rPr>
        <w:t>stratificazione normativa</w:t>
      </w:r>
      <w:r w:rsidRPr="00541B8B">
        <w:rPr>
          <w:szCs w:val="22"/>
        </w:rPr>
        <w:t>, essendo stata investita, negli ultimi anni, da profonde rivisitazioni in particolare ad opera della legge 6 luglio 2012, n. 96 e del decreto-legge 28 dicembre 2013, n. 149; al riguardo, si segnala che talune delle disposizioni del testo e, in particolare, l’articolo 2, comma 3, l’articolo 3, l’articolo 6, comma 8 e gli articoli 7-</w:t>
      </w:r>
      <w:r w:rsidRPr="00541B8B">
        <w:rPr>
          <w:i/>
          <w:szCs w:val="22"/>
        </w:rPr>
        <w:t>bis</w:t>
      </w:r>
      <w:r w:rsidRPr="00541B8B">
        <w:rPr>
          <w:szCs w:val="22"/>
        </w:rPr>
        <w:t xml:space="preserve"> e 8 sono opportunamente formulati in termini di novella e che l’articolo 9 abroga alcune delle disposizioni contenute nei due atti legislativi già richiamati, nonché nelle leggi 18 novembre </w:t>
      </w:r>
      <w:r w:rsidRPr="00541B8B">
        <w:rPr>
          <w:szCs w:val="22"/>
        </w:rPr>
        <w:lastRenderedPageBreak/>
        <w:t xml:space="preserve">1981, n. 659 e 5 luglio 1982, n. 441, in quanto superate dalle disposizioni del testo all’esame. Altre disposizioni fanno invece sistema e talora si affiancano o </w:t>
      </w:r>
      <w:r w:rsidRPr="00541B8B">
        <w:rPr>
          <w:b/>
          <w:szCs w:val="22"/>
        </w:rPr>
        <w:t>si sovrappongono alla normativa vigente</w:t>
      </w:r>
      <w:r w:rsidRPr="00541B8B">
        <w:rPr>
          <w:szCs w:val="22"/>
        </w:rPr>
        <w:t>; in particolare:</w:t>
      </w:r>
    </w:p>
    <w:p w:rsidR="00541B8B" w:rsidRPr="00541B8B" w:rsidRDefault="00541B8B" w:rsidP="00541B8B">
      <w:pPr>
        <w:spacing w:before="60" w:after="60"/>
        <w:ind w:firstLine="397"/>
        <w:contextualSpacing/>
        <w:rPr>
          <w:szCs w:val="22"/>
        </w:rPr>
      </w:pPr>
      <w:r w:rsidRPr="00541B8B">
        <w:rPr>
          <w:szCs w:val="22"/>
        </w:rPr>
        <w:t>l’articolo 2, comma 4, con riferimento all’applicazione ai partiti, movimenti e gruppi politici delle norme che disciplinano le associazioni non riconosciute, si affianca, allargandone l’ambito soggettivo di applicazione (attualmente limitato ai soli partiti) e con formulazione leggermente difforme, all’articolo 3, comma 4, del citato decreto-legge n. 149 del 2013, che non risulta oggetto di abrogazione da parte dell’articolo 9;</w:t>
      </w:r>
    </w:p>
    <w:p w:rsidR="00541B8B" w:rsidRPr="00541B8B" w:rsidRDefault="00541B8B" w:rsidP="00541B8B">
      <w:pPr>
        <w:spacing w:before="60" w:after="60"/>
        <w:ind w:firstLine="397"/>
        <w:contextualSpacing/>
        <w:rPr>
          <w:szCs w:val="22"/>
        </w:rPr>
      </w:pPr>
      <w:r w:rsidRPr="00541B8B">
        <w:rPr>
          <w:szCs w:val="22"/>
        </w:rPr>
        <w:t>l’articolo 4, che detta talune disposizioni in materia di trasparenza nelle elezioni, incide sull’ambito applicativo del testo unico delle leggi recanti norme per l’elezione della Camera dei deputati, di cui al decreto del Presidente della Repubblica 30 marzo 1957, n. 361, senza essere tuttavia formulato – come invece l’articolo 3 - in termini di novella;</w:t>
      </w:r>
    </w:p>
    <w:p w:rsidR="00541B8B" w:rsidRPr="00541B8B" w:rsidRDefault="00541B8B" w:rsidP="00541B8B">
      <w:pPr>
        <w:spacing w:before="60" w:after="60"/>
        <w:ind w:firstLine="397"/>
        <w:contextualSpacing/>
        <w:rPr>
          <w:szCs w:val="22"/>
        </w:rPr>
      </w:pPr>
      <w:r w:rsidRPr="00541B8B">
        <w:rPr>
          <w:szCs w:val="22"/>
        </w:rPr>
        <w:t xml:space="preserve">l’articolo 6, operando al di fuori di un idoneo contesto normativo, ai commi da 2 a 6, interviene in materia di obblighi dichiarativi dei partiti e degli altri soggetti indicati al comma 2. Alla luce della nuova disciplina, l’articolo 9, comma 1, lettera </w:t>
      </w:r>
      <w:r w:rsidRPr="00541B8B">
        <w:rPr>
          <w:i/>
          <w:szCs w:val="22"/>
        </w:rPr>
        <w:t>a</w:t>
      </w:r>
      <w:r w:rsidRPr="00541B8B">
        <w:rPr>
          <w:szCs w:val="22"/>
        </w:rPr>
        <w:t>), abroga i commi terzo, quarto e quinto dell’articolo 4 della legge n. 659 del 1981, intervenendo tuttavia sulla sola norma incriminatrice e non anche sulla norma sanzionatoria, contenuta al sesto comma dell’articolo 4 della richiamata legge - della quale andrebbe pertanto valutata l’abrogazione - i cui contenuti vengono riprodotti dal comma 12 dell’articolo 6;</w:t>
      </w:r>
    </w:p>
    <w:p w:rsidR="00541B8B" w:rsidRPr="00541B8B" w:rsidRDefault="00541B8B" w:rsidP="00541B8B">
      <w:pPr>
        <w:spacing w:before="60" w:after="60"/>
        <w:contextualSpacing/>
        <w:rPr>
          <w:rFonts w:cs="Arial"/>
          <w:szCs w:val="22"/>
        </w:rPr>
      </w:pPr>
      <w:r w:rsidRPr="00541B8B">
        <w:rPr>
          <w:szCs w:val="22"/>
        </w:rPr>
        <w:t>infine, l’articolo 6, comma 14, in materia di collegamento dei partiti, movimenti e gruppi politici con fondazioni o associazioni, fa sistema con l’articolo 3, comma 4, del già citato decreto-legge n. 149 del 2013, nel cui ambito avrebbe dovuto essere inserito</w:t>
      </w:r>
      <w:r w:rsidRPr="00541B8B">
        <w:rPr>
          <w:rFonts w:cs="Arial"/>
          <w:szCs w:val="22"/>
        </w:rPr>
        <w:t>» (</w:t>
      </w:r>
      <w:hyperlink w:anchor="S17c01" w:history="1">
        <w:r w:rsidRPr="00541B8B">
          <w:rPr>
            <w:rFonts w:cs="Arial"/>
            <w:b/>
            <w:color w:val="0000FF"/>
            <w:szCs w:val="22"/>
            <w:u w:val="single"/>
          </w:rPr>
          <w:t>conseguente condizione</w:t>
        </w:r>
      </w:hyperlink>
      <w:r w:rsidRPr="00541B8B">
        <w:rPr>
          <w:rFonts w:cs="Arial"/>
          <w:szCs w:val="22"/>
        </w:rPr>
        <w:t>) (</w:t>
      </w:r>
      <w:hyperlink w:anchor="S17o01"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324" w:name="S17C"/>
      <w:r w:rsidRPr="00541B8B">
        <w:rPr>
          <w:rFonts w:cs="Arial"/>
          <w:b/>
          <w:szCs w:val="22"/>
        </w:rPr>
        <w:t>Condizioni</w:t>
      </w:r>
      <w:r w:rsidRPr="00541B8B">
        <w:rPr>
          <w:rFonts w:cs="Arial"/>
          <w:szCs w:val="22"/>
        </w:rPr>
        <w:t xml:space="preserve">: </w:t>
      </w:r>
    </w:p>
    <w:bookmarkEnd w:id="324"/>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szCs w:val="22"/>
          <w:u w:val="single"/>
        </w:rPr>
      </w:pPr>
      <w:bookmarkStart w:id="325" w:name="S17c01"/>
      <w:r w:rsidRPr="00541B8B">
        <w:t>1)</w:t>
      </w:r>
      <w:r w:rsidRPr="00541B8B">
        <w:tab/>
        <w:t>considerato c</w:t>
      </w:r>
      <w:bookmarkEnd w:id="325"/>
      <w:r w:rsidRPr="00541B8B">
        <w:t>he il testo unificato interviene su di un settore che ha formato</w:t>
      </w:r>
      <w:r w:rsidRPr="00541B8B">
        <w:rPr>
          <w:szCs w:val="22"/>
        </w:rPr>
        <w:t xml:space="preserve"> oggetto, anche in tempi recenti, di una significativa stratificazione normativa, che rende in alcuni casi difficoltosa l’individuazione della disciplina concretamente applicabile, si verifichi l’opportunità - come peraltro previsto da talune delle proposte di legge confluite nel testo - di delegare il Governo all’elaborazione di un testo unico di natura ricognitiva che raccolga in un organico contesto la normativa in materia di disciplina, contribuzione e trasparenza dei partiti, movimenti e gruppi politici; </w:t>
      </w:r>
      <w:hyperlink w:anchor="premessa17" w:history="1">
        <w:r w:rsidRPr="00541B8B">
          <w:rPr>
            <w:rFonts w:cs="Arial"/>
            <w:color w:val="0000FF"/>
            <w:szCs w:val="22"/>
          </w:rPr>
          <w:t>[</w:t>
        </w:r>
        <w:r w:rsidRPr="00541B8B">
          <w:rPr>
            <w:rFonts w:cs="Arial"/>
            <w:color w:val="0000FF"/>
            <w:szCs w:val="22"/>
            <w:u w:val="single"/>
          </w:rPr>
          <w:t>torna su</w:t>
        </w:r>
        <w:r w:rsidRPr="00541B8B">
          <w:rPr>
            <w:rFonts w:cs="Arial"/>
            <w:color w:val="0000FF"/>
            <w:szCs w:val="22"/>
          </w:rPr>
          <w:t>]</w:t>
        </w:r>
      </w:hyperlink>
      <w:r w:rsidRPr="00541B8B">
        <w:rPr>
          <w:rFonts w:cs="Arial"/>
          <w:color w:val="0000FF"/>
          <w:szCs w:val="22"/>
        </w:rPr>
        <w:t xml:space="preserve"> </w:t>
      </w: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keepNext/>
        <w:spacing w:before="60" w:after="60"/>
        <w:ind w:firstLine="0"/>
        <w:contextualSpacing/>
        <w:rPr>
          <w:rFonts w:cs="Arial"/>
          <w:szCs w:val="22"/>
        </w:rPr>
      </w:pPr>
      <w:bookmarkStart w:id="326" w:name="S17O"/>
      <w:r w:rsidRPr="00541B8B">
        <w:rPr>
          <w:rFonts w:cs="Arial"/>
          <w:b/>
          <w:szCs w:val="22"/>
        </w:rPr>
        <w:t>Osservazioni</w:t>
      </w:r>
      <w:r w:rsidRPr="00541B8B">
        <w:rPr>
          <w:rFonts w:cs="Arial"/>
          <w:szCs w:val="22"/>
        </w:rPr>
        <w:t xml:space="preserve">: </w:t>
      </w:r>
    </w:p>
    <w:bookmarkEnd w:id="326"/>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keepNext/>
        <w:spacing w:before="60" w:after="60"/>
        <w:ind w:left="567" w:hanging="283"/>
        <w:contextualSpacing/>
        <w:rPr>
          <w:rFonts w:cs="Arial"/>
          <w:szCs w:val="22"/>
        </w:rPr>
      </w:pPr>
      <w:r w:rsidRPr="00541B8B">
        <w:rPr>
          <w:szCs w:val="22"/>
        </w:rPr>
        <w:t>1)</w:t>
      </w:r>
      <w:r w:rsidRPr="00541B8B">
        <w:rPr>
          <w:szCs w:val="22"/>
        </w:rPr>
        <w:tab/>
      </w:r>
      <w:bookmarkStart w:id="327" w:name="S17o01"/>
      <w:r w:rsidRPr="00541B8B">
        <w:rPr>
          <w:szCs w:val="22"/>
        </w:rPr>
        <w:t xml:space="preserve"> si dovrebbero </w:t>
      </w:r>
      <w:bookmarkEnd w:id="327"/>
      <w:r w:rsidRPr="00541B8B">
        <w:rPr>
          <w:szCs w:val="22"/>
        </w:rPr>
        <w:t xml:space="preserve">effettuare i coordinamenti e le abrogazioni indicate in premessa </w:t>
      </w:r>
      <w:hyperlink w:anchor="premessa17" w:history="1">
        <w:r w:rsidRPr="00541B8B">
          <w:rPr>
            <w:rFonts w:cs="Arial"/>
            <w:color w:val="0000FF"/>
            <w:szCs w:val="22"/>
          </w:rPr>
          <w:t>[</w:t>
        </w:r>
        <w:r w:rsidRPr="00541B8B">
          <w:rPr>
            <w:rFonts w:cs="Arial"/>
            <w:color w:val="0000FF"/>
            <w:szCs w:val="22"/>
            <w:u w:val="single"/>
          </w:rPr>
          <w:t>torna su</w:t>
        </w:r>
        <w:r w:rsidRPr="00541B8B">
          <w:rPr>
            <w:rFonts w:cs="Arial"/>
            <w:color w:val="0000FF"/>
            <w:szCs w:val="22"/>
          </w:rPr>
          <w:t>]</w:t>
        </w:r>
      </w:hyperlink>
      <w:r w:rsidRPr="00541B8B">
        <w:rPr>
          <w:rFonts w:cs="Arial"/>
          <w:szCs w:val="22"/>
        </w:rPr>
        <w:t xml:space="preserve"> </w:t>
      </w:r>
    </w:p>
    <w:p w:rsidR="00541B8B" w:rsidRPr="00541B8B" w:rsidRDefault="00541B8B" w:rsidP="00541B8B">
      <w:pPr>
        <w:keepNext/>
        <w:spacing w:before="60" w:after="60"/>
        <w:ind w:left="360" w:firstLine="0"/>
        <w:contextualSpacing/>
        <w:rPr>
          <w:szCs w:val="22"/>
        </w:rPr>
      </w:pPr>
    </w:p>
    <w:p w:rsidR="00541B8B" w:rsidRPr="00541B8B" w:rsidRDefault="00541B8B" w:rsidP="00541B8B">
      <w:pPr>
        <w:spacing w:before="60" w:after="60"/>
        <w:contextualSpacing/>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0018</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3594</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09" w:history="1">
              <w:r w:rsidR="00541B8B" w:rsidRPr="00541B8B">
                <w:rPr>
                  <w:rFonts w:cs="Arial"/>
                  <w:color w:val="0000FF"/>
                  <w:szCs w:val="22"/>
                  <w:u w:val="single"/>
                </w:rPr>
                <w:t>ddl Gov</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Delega contrasto alla povertà</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10" w:anchor="data.20160608.com48.bollettino.sede00010.tit00010" w:history="1">
              <w:r w:rsidR="00541B8B" w:rsidRPr="00541B8B">
                <w:rPr>
                  <w:rFonts w:cs="Arial"/>
                  <w:color w:val="0000FF"/>
                  <w:szCs w:val="22"/>
                  <w:u w:val="single"/>
                </w:rPr>
                <w:t>08/06/2016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328" w:name="premessa18"/>
            <w:r w:rsidRPr="00541B8B">
              <w:rPr>
                <w:rFonts w:cs="Arial"/>
                <w:b/>
                <w:color w:val="0000FF"/>
                <w:sz w:val="24"/>
                <w:szCs w:val="24"/>
              </w:rPr>
              <w:t>Premessa</w:t>
            </w:r>
            <w:bookmarkEnd w:id="328"/>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3 Condizioni, 1 Osservazione</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8a01" w:history="1">
              <w:r w:rsidR="00541B8B" w:rsidRPr="00541B8B">
                <w:rPr>
                  <w:rFonts w:cs="Arial"/>
                  <w:color w:val="0000FF"/>
                  <w:szCs w:val="22"/>
                  <w:u w:val="single"/>
                </w:rPr>
                <w:t>1</w:t>
              </w:r>
            </w:hyperlink>
            <w:r w:rsidR="00541B8B" w:rsidRPr="00541B8B">
              <w:rPr>
                <w:rFonts w:cs="Arial"/>
                <w:szCs w:val="22"/>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Contenuto puntuale e corrispondente al titolo</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8a02" w:history="1">
              <w:r w:rsidR="00541B8B" w:rsidRPr="00541B8B">
                <w:rPr>
                  <w:rFonts w:cs="Arial"/>
                  <w:color w:val="0000FF"/>
                  <w:szCs w:val="22"/>
                  <w:u w:val="single"/>
                </w:rPr>
                <w:t>2</w:t>
              </w:r>
            </w:hyperlink>
            <w:r w:rsidR="00541B8B" w:rsidRPr="00541B8B">
              <w:rPr>
                <w:rFonts w:cs="Arial"/>
                <w:szCs w:val="22"/>
              </w:rPr>
              <w:t xml:space="preserve"> – 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Alcuni principi e criteri direttivi risultano di immediata applicabilità e fanno sistema con norme vigenti.</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60" w:after="60"/>
              <w:ind w:firstLine="0"/>
              <w:contextualSpacing/>
              <w:jc w:val="left"/>
              <w:rPr>
                <w:szCs w:val="22"/>
              </w:rPr>
            </w:pPr>
            <w:hyperlink w:anchor="S18a02bis" w:history="1">
              <w:r w:rsidR="00541B8B" w:rsidRPr="00541B8B">
                <w:rPr>
                  <w:color w:val="0000FF"/>
                  <w:szCs w:val="22"/>
                  <w:u w:val="single"/>
                </w:rPr>
                <w:t>2-bis</w:t>
              </w:r>
            </w:hyperlink>
            <w:r w:rsidR="00541B8B" w:rsidRPr="00541B8B">
              <w:rPr>
                <w:szCs w:val="22"/>
              </w:rPr>
              <w:t xml:space="preserve"> – Disposizioni di delega: oggetto,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Oggetto non ben determinato e principi e criteri direttivi generici.</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8a03" w:history="1">
              <w:r w:rsidR="00541B8B" w:rsidRPr="00541B8B">
                <w:rPr>
                  <w:rFonts w:cs="Arial"/>
                  <w:color w:val="0000FF"/>
                  <w:szCs w:val="22"/>
                  <w:u w:val="single"/>
                </w:rPr>
                <w:t>3</w:t>
              </w:r>
            </w:hyperlink>
            <w:r w:rsidR="00541B8B" w:rsidRPr="00541B8B">
              <w:rPr>
                <w:rFonts w:cs="Arial"/>
                <w:szCs w:val="22"/>
              </w:rPr>
              <w:t xml:space="preserve"> – 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Scorrimento del termine per l’esercizio della delega (“tecnica dello scorrimento”).</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2</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8a04" w:history="1">
              <w:r w:rsidR="00541B8B" w:rsidRPr="00541B8B">
                <w:rPr>
                  <w:rFonts w:cs="Arial"/>
                  <w:color w:val="0000FF"/>
                  <w:szCs w:val="22"/>
                  <w:u w:val="single"/>
                </w:rPr>
                <w:t>4</w:t>
              </w:r>
            </w:hyperlink>
            <w:r w:rsidR="00541B8B" w:rsidRPr="00541B8B">
              <w:rPr>
                <w:rFonts w:cs="Arial"/>
                <w:szCs w:val="22"/>
              </w:rPr>
              <w:t xml:space="preserve"> – 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La formulazione usata per disporre il termine entro il quale adottare decreti legislativi correttivi e integrativi genera incertezza circa il termine ultimo effettivo.</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3</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8a05" w:history="1">
              <w:r w:rsidR="00541B8B" w:rsidRPr="00541B8B">
                <w:rPr>
                  <w:rFonts w:cs="Arial"/>
                  <w:color w:val="0000FF"/>
                  <w:szCs w:val="22"/>
                  <w:u w:val="single"/>
                </w:rPr>
                <w:t>5</w:t>
              </w:r>
            </w:hyperlink>
            <w:r w:rsidR="00541B8B" w:rsidRPr="00541B8B">
              <w:rPr>
                <w:rFonts w:cs="Arial"/>
                <w:szCs w:val="22"/>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Cs w:val="22"/>
              </w:rPr>
            </w:pPr>
            <w:r w:rsidRPr="00541B8B">
              <w:rPr>
                <w:rFonts w:cs="Arial"/>
                <w:szCs w:val="22"/>
              </w:rPr>
              <w:t>Presenti.</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8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18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Nessun riferimento.</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29" w:name="S18a01"/>
      <w:r w:rsidRPr="00541B8B">
        <w:rPr>
          <w:rFonts w:cs="Arial"/>
          <w:szCs w:val="22"/>
        </w:rPr>
        <w:lastRenderedPageBreak/>
        <w:t>1</w:t>
      </w:r>
      <w:bookmarkEnd w:id="329"/>
      <w:r w:rsidRPr="00541B8B">
        <w:rPr>
          <w:rFonts w:cs="Arial"/>
          <w:szCs w:val="22"/>
        </w:rPr>
        <w:t xml:space="preserve"> – </w:t>
      </w:r>
      <w:hyperlink w:anchor="premessa18"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disegno di legge, che si compone di un articolo unico, reca un contenuto puntuale e corrispondente al titolo, in quanto delega il Governo all’adozione di uno o più decreti legislativi in materia di contrasto alla povertà, di razionalizzazione delle prestazioni di natura assistenziale e di quelle di natura previdenziale sottoposte alla prova dei mezzi, nonché di riordino del sistema degli interventi e dei servizi sociali»;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30" w:name="S18a02"/>
      <w:r w:rsidRPr="00541B8B">
        <w:rPr>
          <w:rFonts w:cs="Arial"/>
          <w:szCs w:val="22"/>
        </w:rPr>
        <w:t>2</w:t>
      </w:r>
      <w:bookmarkEnd w:id="330"/>
      <w:r w:rsidRPr="00541B8B">
        <w:rPr>
          <w:rFonts w:cs="Arial"/>
          <w:szCs w:val="22"/>
        </w:rPr>
        <w:t xml:space="preserve"> – </w:t>
      </w:r>
      <w:hyperlink w:anchor="premessa1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rFonts w:cs="Arial"/>
          <w:bCs/>
          <w:iCs/>
          <w:szCs w:val="22"/>
        </w:rPr>
        <w:t xml:space="preserve">l’unico articolo del disegno di legge individua, al comma 1, tre distinti oggetti della delega, mentre i commi 2, 3 e 4 dettano i principi e criteri direttivi per ciascuno di essi; in relazione alla formulazione di tali principi e criteri direttivi, taluni di essi appaiono già definiti e non sembrano necessitare di ulteriori specificazioni ai fini della loro applicabilità. In particolare, al comma 2, riguardante l'introduzione di una misura nazionale di contrasto alla povertà, i principi e criteri contenuti alle lettere </w:t>
      </w:r>
      <w:r w:rsidRPr="00541B8B">
        <w:rPr>
          <w:rFonts w:cs="Arial"/>
          <w:bCs/>
          <w:i/>
          <w:iCs/>
          <w:szCs w:val="22"/>
        </w:rPr>
        <w:t>a</w:t>
      </w:r>
      <w:r w:rsidRPr="00541B8B">
        <w:rPr>
          <w:rFonts w:cs="Arial"/>
          <w:bCs/>
          <w:iCs/>
          <w:szCs w:val="22"/>
        </w:rPr>
        <w:t xml:space="preserve">) </w:t>
      </w:r>
      <w:r w:rsidRPr="00541B8B">
        <w:rPr>
          <w:rFonts w:cs="Arial"/>
          <w:bCs/>
          <w:i/>
          <w:iCs/>
          <w:szCs w:val="22"/>
        </w:rPr>
        <w:t>c</w:t>
      </w:r>
      <w:r w:rsidRPr="00541B8B">
        <w:rPr>
          <w:rFonts w:cs="Arial"/>
          <w:bCs/>
          <w:iCs/>
          <w:szCs w:val="22"/>
        </w:rPr>
        <w:t xml:space="preserve">), e </w:t>
      </w:r>
      <w:r w:rsidRPr="00541B8B">
        <w:rPr>
          <w:rFonts w:cs="Arial"/>
          <w:bCs/>
          <w:i/>
          <w:iCs/>
          <w:szCs w:val="22"/>
        </w:rPr>
        <w:t>d</w:t>
      </w:r>
      <w:r w:rsidRPr="00541B8B">
        <w:rPr>
          <w:rFonts w:cs="Arial"/>
          <w:bCs/>
          <w:iCs/>
          <w:szCs w:val="22"/>
        </w:rPr>
        <w:t xml:space="preserve">) fanno sistema con l’articolo 1, commi 386 e 387, della legge n. 208 del 2015 - che, in attuazione del Piano nazionale per la lotta alla povertà e all'esclusione sociale, reca una serie di misure in parte coincidenti o comunque connesse a quelle indicate nelle sopracitate lettere; </w:t>
      </w:r>
      <w:r w:rsidRPr="00541B8B">
        <w:rPr>
          <w:rFonts w:cs="Arial"/>
          <w:b/>
          <w:bCs/>
          <w:iCs/>
          <w:szCs w:val="22"/>
        </w:rPr>
        <w:t>di immediata applicabilità</w:t>
      </w:r>
      <w:r w:rsidRPr="00541B8B">
        <w:rPr>
          <w:rFonts w:cs="Arial"/>
          <w:bCs/>
          <w:iCs/>
          <w:szCs w:val="22"/>
        </w:rPr>
        <w:t xml:space="preserve"> appaiono altresì i principi e i criteri direttivi contenuti alle lettere </w:t>
      </w:r>
      <w:r w:rsidRPr="00541B8B">
        <w:rPr>
          <w:rFonts w:cs="Arial"/>
          <w:bCs/>
          <w:i/>
          <w:iCs/>
          <w:szCs w:val="22"/>
        </w:rPr>
        <w:t>b</w:t>
      </w:r>
      <w:r w:rsidRPr="00541B8B">
        <w:rPr>
          <w:rFonts w:cs="Arial"/>
          <w:bCs/>
          <w:iCs/>
          <w:szCs w:val="22"/>
        </w:rPr>
        <w:t xml:space="preserve">) ed </w:t>
      </w:r>
      <w:r w:rsidRPr="00541B8B">
        <w:rPr>
          <w:rFonts w:cs="Arial"/>
          <w:bCs/>
          <w:i/>
          <w:iCs/>
          <w:szCs w:val="22"/>
        </w:rPr>
        <w:t>e</w:t>
      </w:r>
      <w:r w:rsidRPr="00541B8B">
        <w:rPr>
          <w:rFonts w:cs="Arial"/>
          <w:bCs/>
          <w:iCs/>
          <w:szCs w:val="22"/>
        </w:rPr>
        <w:t>) del comma 4, recanti, rispettivamente, attribuzione di funzioni al Ministero del lavoro e delle politiche sociali e previsione della promozione di accordi territoriali</w:t>
      </w:r>
      <w:r w:rsidRPr="00541B8B">
        <w:rPr>
          <w:rFonts w:cs="Arial"/>
          <w:szCs w:val="22"/>
        </w:rPr>
        <w:t>» (</w:t>
      </w:r>
      <w:hyperlink w:anchor="S18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31" w:name="S18a02bis"/>
      <w:r w:rsidRPr="00541B8B">
        <w:rPr>
          <w:rFonts w:cs="Arial"/>
          <w:szCs w:val="22"/>
        </w:rPr>
        <w:t>2-</w:t>
      </w:r>
      <w:r w:rsidRPr="00541B8B">
        <w:rPr>
          <w:rFonts w:cs="Arial"/>
          <w:i/>
          <w:szCs w:val="22"/>
        </w:rPr>
        <w:t>bis</w:t>
      </w:r>
      <w:r w:rsidRPr="00541B8B">
        <w:rPr>
          <w:rFonts w:cs="Arial"/>
          <w:szCs w:val="22"/>
        </w:rPr>
        <w:t xml:space="preserve"> </w:t>
      </w:r>
      <w:bookmarkEnd w:id="331"/>
      <w:r w:rsidRPr="00541B8B">
        <w:rPr>
          <w:rFonts w:cs="Arial"/>
          <w:szCs w:val="22"/>
        </w:rPr>
        <w:t xml:space="preserve">– </w:t>
      </w:r>
      <w:hyperlink w:anchor="premessa1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w:t>
      </w:r>
      <w:r w:rsidRPr="00541B8B">
        <w:rPr>
          <w:rFonts w:cs="Arial"/>
          <w:b/>
          <w:szCs w:val="22"/>
        </w:rPr>
        <w:t>principio e criterio direttivo</w:t>
      </w:r>
      <w:r w:rsidRPr="00541B8B">
        <w:rPr>
          <w:rFonts w:cs="Arial"/>
          <w:szCs w:val="22"/>
        </w:rPr>
        <w:t xml:space="preserve"> contenuto alla lettera </w:t>
      </w:r>
      <w:r w:rsidRPr="00541B8B">
        <w:rPr>
          <w:rFonts w:cs="Arial"/>
          <w:i/>
          <w:szCs w:val="22"/>
        </w:rPr>
        <w:t>a</w:t>
      </w:r>
      <w:r w:rsidRPr="00541B8B">
        <w:rPr>
          <w:rFonts w:cs="Arial"/>
          <w:szCs w:val="22"/>
        </w:rPr>
        <w:t>) del comma 3 (delega volta alla razionalizzazione delle prestazioni di natura assistenziale e di quelle di natura previdenziale sottoposte alla prova dei mezzi), meriterebbe invece un’ulteriore specificazione, anche alla luce dei contenuti della stessa relazione sull’analisi di impatto della regolamentazione AIR, dove vengono esplicitate le principali prestazioni che si intendono razionalizzare» (</w:t>
      </w:r>
      <w:hyperlink w:anchor="S18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32" w:name="S18a03"/>
      <w:r w:rsidRPr="00541B8B">
        <w:rPr>
          <w:rFonts w:cs="Arial"/>
          <w:szCs w:val="22"/>
        </w:rPr>
        <w:t>3</w:t>
      </w:r>
      <w:bookmarkEnd w:id="332"/>
      <w:r w:rsidRPr="00541B8B">
        <w:rPr>
          <w:rFonts w:cs="Arial"/>
          <w:szCs w:val="22"/>
        </w:rPr>
        <w:t xml:space="preserve"> - </w:t>
      </w:r>
      <w:hyperlink w:anchor="premessa1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«con riferimento al computo dei </w:t>
      </w:r>
      <w:r w:rsidRPr="00541B8B">
        <w:rPr>
          <w:rFonts w:cs="Arial"/>
          <w:b/>
          <w:szCs w:val="22"/>
        </w:rPr>
        <w:t>termini per l’esercizio della delega</w:t>
      </w:r>
      <w:r w:rsidRPr="00541B8B">
        <w:rPr>
          <w:rFonts w:cs="Arial"/>
          <w:szCs w:val="22"/>
        </w:rPr>
        <w:t xml:space="preserve">, il disegno di legge, all’articolo 1, comma 1, prevede che la delega al Governo debba essere esercitata nel termine di sei mesi dalla data di entrata in vigore della legge all’esame; al riguardo, il comma 5 prevede che </w:t>
      </w:r>
      <w:r w:rsidRPr="00541B8B">
        <w:rPr>
          <w:rFonts w:cs="Arial"/>
          <w:iCs/>
          <w:szCs w:val="22"/>
        </w:rPr>
        <w:t xml:space="preserve">qualora </w:t>
      </w:r>
      <w:r w:rsidRPr="00541B8B">
        <w:rPr>
          <w:rFonts w:cs="Arial"/>
          <w:szCs w:val="22"/>
        </w:rPr>
        <w:t xml:space="preserve">il termine per l'espressione del parere parlamentare scada nei trenta giorni che precedono la scadenza del termine di delega o successivamente, tale termine sia </w:t>
      </w:r>
      <w:r w:rsidRPr="00541B8B">
        <w:rPr>
          <w:rFonts w:cs="Arial"/>
          <w:iCs/>
          <w:szCs w:val="22"/>
        </w:rPr>
        <w:t xml:space="preserve">prorogato per un periodo di tre mesi, sulla base di un meccanismo, la </w:t>
      </w:r>
      <w:r w:rsidRPr="00541B8B">
        <w:rPr>
          <w:rFonts w:cs="Arial"/>
          <w:szCs w:val="22"/>
        </w:rPr>
        <w:t xml:space="preserve">cosiddetta «tecnica dello scorrimento»”, che non permette di individuare il termine per l’esercizio della delega in modo univoco; a tale proposito, si segnala che, secondo una costante linea di indirizzo, il Comitato per la legislazione, nei propri pareri, ha sempre </w:t>
      </w:r>
      <w:r w:rsidRPr="00541B8B">
        <w:rPr>
          <w:rFonts w:cs="Arial"/>
          <w:bCs/>
          <w:szCs w:val="22"/>
        </w:rPr>
        <w:t>segnalato che “</w:t>
      </w:r>
      <w:r w:rsidRPr="00541B8B">
        <w:rPr>
          <w:rFonts w:cs="Arial"/>
          <w:szCs w:val="22"/>
        </w:rPr>
        <w:t>appare opportuno individuare univocamente i termini per l'esercizio della delega principale e di quelle integrative e correttive, rinunziando alla «tecnica dello scorrimento»” e che, in numerose recenti circostanze, a seguito dell’espressione di rilievi in tal senso, sono stati approvati emendamenti volti a prevedere, in luogo dello scorrimento del termine di delega, termini certi entro i quali il Governo deve trasmettere alle Camere gli schemi dei decreti legislativi» (</w:t>
      </w:r>
      <w:hyperlink w:anchor="S18c02"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33" w:name="S18a04"/>
      <w:r w:rsidRPr="00541B8B">
        <w:rPr>
          <w:rFonts w:cs="Arial"/>
          <w:szCs w:val="22"/>
        </w:rPr>
        <w:lastRenderedPageBreak/>
        <w:t>4</w:t>
      </w:r>
      <w:bookmarkEnd w:id="333"/>
      <w:r w:rsidRPr="00541B8B">
        <w:rPr>
          <w:rFonts w:cs="Arial"/>
          <w:szCs w:val="22"/>
        </w:rPr>
        <w:t xml:space="preserve"> - </w:t>
      </w:r>
      <w:hyperlink w:anchor="premessa1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al comma 7, dispone inoltre che l’adozione di eventuali decreti legislativi correttivi e integrativi debba avvenire “Entro dodici mesi dalla data di entrata in vigore dell’ultimo dei decreti legislativi di cui al presente articolo”, utilizzando dunque una formulazione che genera incertezza circa il termine ultimo per l’esercizio della delega integrativa e correttiva, e </w:t>
      </w:r>
      <w:r w:rsidRPr="00541B8B">
        <w:rPr>
          <w:rFonts w:cs="Arial"/>
          <w:bCs/>
          <w:iCs/>
          <w:szCs w:val="22"/>
        </w:rPr>
        <w:t>che dovrebbe essere sostituito con un termine certo</w:t>
      </w:r>
      <w:r w:rsidRPr="00541B8B">
        <w:rPr>
          <w:rFonts w:cs="Arial"/>
          <w:szCs w:val="22"/>
        </w:rPr>
        <w:t>» (</w:t>
      </w:r>
      <w:hyperlink w:anchor="S18c03"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34" w:name="S18a05"/>
      <w:r w:rsidRPr="00541B8B">
        <w:rPr>
          <w:rFonts w:cs="Arial"/>
          <w:szCs w:val="22"/>
        </w:rPr>
        <w:t>5</w:t>
      </w:r>
      <w:bookmarkEnd w:id="334"/>
      <w:r w:rsidRPr="00541B8B">
        <w:rPr>
          <w:rFonts w:cs="Arial"/>
          <w:szCs w:val="22"/>
        </w:rPr>
        <w:t xml:space="preserve"> - </w:t>
      </w:r>
      <w:hyperlink w:anchor="premessa1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rFonts w:ascii="Times New Roman" w:hAnsi="Times New Roman"/>
          <w:sz w:val="24"/>
        </w:rPr>
        <w:t xml:space="preserve"> </w:t>
      </w:r>
      <w:r w:rsidRPr="00541B8B">
        <w:rPr>
          <w:rFonts w:cs="Arial"/>
          <w:szCs w:val="22"/>
        </w:rPr>
        <w:t>il disegno di legge reca sia l’analisi tecnico-normativa (</w:t>
      </w:r>
      <w:r w:rsidRPr="00541B8B">
        <w:rPr>
          <w:rFonts w:cs="Arial"/>
          <w:b/>
          <w:szCs w:val="22"/>
        </w:rPr>
        <w:t>ATN</w:t>
      </w:r>
      <w:r w:rsidRPr="00541B8B">
        <w:rPr>
          <w:rFonts w:cs="Arial"/>
          <w:szCs w:val="22"/>
        </w:rPr>
        <w:t>) sia l’analisi di impatto della regolamentazione (</w:t>
      </w:r>
      <w:r w:rsidRPr="00541B8B">
        <w:rPr>
          <w:rFonts w:cs="Arial"/>
          <w:b/>
          <w:szCs w:val="22"/>
        </w:rPr>
        <w:t>AIR</w:t>
      </w:r>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335" w:name="S18C"/>
      <w:r w:rsidRPr="00541B8B">
        <w:rPr>
          <w:rFonts w:cs="Arial"/>
          <w:b/>
          <w:szCs w:val="22"/>
        </w:rPr>
        <w:t>Condizioni:</w:t>
      </w:r>
    </w:p>
    <w:bookmarkEnd w:id="335"/>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bookmarkStart w:id="336" w:name="S18c01"/>
      <w:r w:rsidRPr="00541B8B">
        <w:rPr>
          <w:rFonts w:cs="Arial"/>
          <w:szCs w:val="22"/>
        </w:rPr>
        <w:t xml:space="preserve">1) all’articolo 1, </w:t>
      </w:r>
      <w:bookmarkEnd w:id="336"/>
      <w:r w:rsidRPr="00541B8B">
        <w:rPr>
          <w:rFonts w:cs="Arial"/>
          <w:szCs w:val="22"/>
        </w:rPr>
        <w:t xml:space="preserve">comma 3, lettera </w:t>
      </w:r>
      <w:r w:rsidRPr="00541B8B">
        <w:rPr>
          <w:rFonts w:cs="Arial"/>
          <w:i/>
          <w:szCs w:val="22"/>
        </w:rPr>
        <w:t>a)</w:t>
      </w:r>
      <w:r w:rsidRPr="00541B8B">
        <w:rPr>
          <w:rFonts w:cs="Arial"/>
          <w:szCs w:val="22"/>
        </w:rPr>
        <w:t xml:space="preserve">, che reca un principio e criterio direttivo di delega che appare formulato in modo generico, al fine di circoscrivere adeguatamente la discrezionalità del legislatore delegato, si provveda a meglio specificarlo, nonché a meglio definire l’oggetto della stessa delega come definito dal comma 1, lettera </w:t>
      </w:r>
      <w:r w:rsidRPr="00541B8B">
        <w:rPr>
          <w:rFonts w:cs="Arial"/>
          <w:i/>
          <w:szCs w:val="22"/>
        </w:rPr>
        <w:t>b)</w:t>
      </w:r>
      <w:r w:rsidRPr="00541B8B">
        <w:rPr>
          <w:rFonts w:cs="Arial"/>
          <w:szCs w:val="22"/>
        </w:rPr>
        <w:t xml:space="preserve"> del medesimo articolo; [</w:t>
      </w:r>
      <w:hyperlink w:anchor="premessa1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60"/>
        <w:ind w:left="567" w:hanging="283"/>
        <w:contextualSpacing/>
        <w:rPr>
          <w:rFonts w:cs="Arial"/>
          <w:szCs w:val="22"/>
        </w:rPr>
      </w:pPr>
      <w:bookmarkStart w:id="337" w:name="S18c02"/>
      <w:r w:rsidRPr="00541B8B">
        <w:rPr>
          <w:rFonts w:cs="Arial"/>
          <w:szCs w:val="22"/>
        </w:rPr>
        <w:t>2) per quanto detto in premessa</w:t>
      </w:r>
      <w:bookmarkEnd w:id="337"/>
      <w:r w:rsidRPr="00541B8B">
        <w:rPr>
          <w:rFonts w:cs="Arial"/>
          <w:szCs w:val="22"/>
        </w:rPr>
        <w:t>, al fine di meglio individuare il termine ultimo per l’esercizio della delega principale, al comma 5, si valuti la soppressione del terzo periodo, che consente il ricorso alla “tecnica dello scorrimento” del termine per l’esercizio della delega, contestualmente individuando in modo univoco, al comma 1, il termine ultimo per il suo esercizio</w:t>
      </w:r>
    </w:p>
    <w:p w:rsidR="00541B8B" w:rsidRPr="00541B8B" w:rsidRDefault="00541B8B" w:rsidP="00541B8B">
      <w:pPr>
        <w:spacing w:before="60" w:after="60"/>
        <w:ind w:left="567" w:hanging="283"/>
        <w:contextualSpacing/>
        <w:rPr>
          <w:rFonts w:cs="Arial"/>
          <w:szCs w:val="22"/>
        </w:rPr>
      </w:pPr>
      <w:bookmarkStart w:id="338" w:name="S18c03"/>
      <w:r w:rsidRPr="00541B8B">
        <w:rPr>
          <w:rFonts w:cs="Arial"/>
          <w:szCs w:val="22"/>
        </w:rPr>
        <w:t xml:space="preserve">3) analogamente, </w:t>
      </w:r>
      <w:bookmarkEnd w:id="338"/>
      <w:r w:rsidRPr="00541B8B">
        <w:rPr>
          <w:rFonts w:cs="Arial"/>
          <w:szCs w:val="22"/>
        </w:rPr>
        <w:t xml:space="preserve">al fine di individuare con certezza il termine ultimo per l’esercizio della delega correttiva ed integrativa, al comma 7, si valuti di individuare il suddetto termine facendo riferimento alla </w:t>
      </w:r>
      <w:r w:rsidRPr="00541B8B">
        <w:rPr>
          <w:rFonts w:cs="Arial"/>
          <w:bCs/>
          <w:iCs/>
          <w:szCs w:val="22"/>
        </w:rPr>
        <w:t>somma del termine ultimo per l’esercizio della delega principale e di quello fissato per la delega integrativa e correttiva (6 + 12 mesi)</w:t>
      </w:r>
      <w:r w:rsidRPr="00541B8B">
        <w:rPr>
          <w:rFonts w:cs="Arial"/>
          <w:szCs w:val="22"/>
        </w:rPr>
        <w:t>; [</w:t>
      </w:r>
      <w:hyperlink w:anchor="premessa1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60"/>
        <w:ind w:firstLine="0"/>
        <w:contextualSpacing/>
        <w:rPr>
          <w:rFonts w:cs="Arial"/>
          <w:b/>
          <w:szCs w:val="22"/>
        </w:rPr>
      </w:pPr>
      <w:bookmarkStart w:id="339" w:name="S18O"/>
      <w:r w:rsidRPr="00541B8B">
        <w:rPr>
          <w:rFonts w:cs="Arial"/>
          <w:b/>
          <w:szCs w:val="22"/>
        </w:rPr>
        <w:t>Osservazioni:</w:t>
      </w:r>
    </w:p>
    <w:bookmarkEnd w:id="339"/>
    <w:p w:rsidR="00541B8B" w:rsidRPr="00541B8B" w:rsidRDefault="00541B8B" w:rsidP="00541B8B">
      <w:pPr>
        <w:keepNext/>
        <w:spacing w:before="60" w:after="60"/>
        <w:ind w:firstLine="0"/>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ind w:left="567" w:hanging="283"/>
        <w:contextualSpacing/>
        <w:rPr>
          <w:rFonts w:cs="Arial"/>
          <w:szCs w:val="22"/>
        </w:rPr>
      </w:pPr>
      <w:bookmarkStart w:id="340" w:name="S18o01"/>
      <w:r w:rsidRPr="00541B8B">
        <w:rPr>
          <w:rFonts w:cs="Arial"/>
          <w:szCs w:val="22"/>
        </w:rPr>
        <w:t xml:space="preserve">1) per quanto </w:t>
      </w:r>
      <w:bookmarkEnd w:id="340"/>
      <w:r w:rsidRPr="00541B8B">
        <w:rPr>
          <w:rFonts w:cs="Arial"/>
          <w:szCs w:val="22"/>
        </w:rPr>
        <w:t xml:space="preserve">detto in premessa, si valuti l’opportunità di riformulare i principi e i criteri direttivi contenuti </w:t>
      </w:r>
      <w:r w:rsidRPr="00541B8B">
        <w:rPr>
          <w:rFonts w:cs="Arial"/>
          <w:bCs/>
          <w:iCs/>
          <w:szCs w:val="22"/>
        </w:rPr>
        <w:t xml:space="preserve">alle lettere </w:t>
      </w:r>
      <w:r w:rsidRPr="00541B8B">
        <w:rPr>
          <w:rFonts w:cs="Arial"/>
          <w:bCs/>
          <w:i/>
          <w:iCs/>
          <w:szCs w:val="22"/>
        </w:rPr>
        <w:t>a</w:t>
      </w:r>
      <w:r w:rsidRPr="00541B8B">
        <w:rPr>
          <w:rFonts w:cs="Arial"/>
          <w:bCs/>
          <w:iCs/>
          <w:szCs w:val="22"/>
        </w:rPr>
        <w:t xml:space="preserve">) </w:t>
      </w:r>
      <w:r w:rsidRPr="00541B8B">
        <w:rPr>
          <w:rFonts w:cs="Arial"/>
          <w:bCs/>
          <w:i/>
          <w:iCs/>
          <w:szCs w:val="22"/>
        </w:rPr>
        <w:t>c</w:t>
      </w:r>
      <w:r w:rsidRPr="00541B8B">
        <w:rPr>
          <w:rFonts w:cs="Arial"/>
          <w:bCs/>
          <w:iCs/>
          <w:szCs w:val="22"/>
        </w:rPr>
        <w:t xml:space="preserve">), e </w:t>
      </w:r>
      <w:r w:rsidRPr="00541B8B">
        <w:rPr>
          <w:rFonts w:cs="Arial"/>
          <w:bCs/>
          <w:i/>
          <w:iCs/>
          <w:szCs w:val="22"/>
        </w:rPr>
        <w:t>d</w:t>
      </w:r>
      <w:r w:rsidRPr="00541B8B">
        <w:rPr>
          <w:rFonts w:cs="Arial"/>
          <w:bCs/>
          <w:iCs/>
          <w:szCs w:val="22"/>
        </w:rPr>
        <w:t>) del comma 2 in termini di norme direttamente applicabili ed in forma di novelle all’articolo 1, commi 386 e 387 della legge n. 208 del 2015</w:t>
      </w:r>
      <w:r w:rsidRPr="00541B8B">
        <w:rPr>
          <w:rFonts w:cs="Arial"/>
          <w:szCs w:val="22"/>
        </w:rPr>
        <w:t>; [</w:t>
      </w:r>
      <w:hyperlink w:anchor="premessa18"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left="720" w:firstLine="0"/>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0019</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3209</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11" w:history="1">
              <w:r w:rsidR="00541B8B" w:rsidRPr="00541B8B">
                <w:rPr>
                  <w:rFonts w:cs="Arial"/>
                  <w:color w:val="0000FF"/>
                  <w:szCs w:val="22"/>
                  <w:u w:val="single"/>
                </w:rPr>
                <w:t>pdl</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Delega riforma sistema dei confidi</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12" w:anchor="data.20160608.com48.bollettino.sede00010.tit00020" w:history="1">
              <w:r w:rsidR="00541B8B" w:rsidRPr="00541B8B">
                <w:rPr>
                  <w:rFonts w:cs="Arial"/>
                  <w:color w:val="0000FF"/>
                  <w:szCs w:val="22"/>
                  <w:u w:val="single"/>
                </w:rPr>
                <w:t>08/06/2016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r w:rsidRPr="00541B8B">
              <w:rPr>
                <w:rFonts w:cs="Arial"/>
                <w:b/>
                <w:color w:val="0000FF"/>
                <w:sz w:val="24"/>
                <w:szCs w:val="24"/>
              </w:rPr>
              <w:t>Premessa</w:t>
            </w:r>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nessuno</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8a01" w:history="1">
              <w:r w:rsidR="00541B8B" w:rsidRPr="00541B8B">
                <w:rPr>
                  <w:rFonts w:cs="Arial"/>
                  <w:color w:val="0000FF"/>
                  <w:szCs w:val="22"/>
                  <w:u w:val="single"/>
                </w:rPr>
                <w:t>1</w:t>
              </w:r>
            </w:hyperlink>
            <w:r w:rsidR="00541B8B" w:rsidRPr="00541B8B">
              <w:rPr>
                <w:rFonts w:cs="Arial"/>
                <w:szCs w:val="22"/>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Contenuto puntuale e corrispondente al titolo</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18a02" w:history="1">
              <w:r w:rsidR="00541B8B" w:rsidRPr="00541B8B">
                <w:rPr>
                  <w:rFonts w:cs="Arial"/>
                  <w:color w:val="0000FF"/>
                  <w:szCs w:val="22"/>
                  <w:u w:val="single"/>
                </w:rPr>
                <w:t>2</w:t>
              </w:r>
            </w:hyperlink>
            <w:r w:rsidR="00541B8B" w:rsidRPr="00541B8B">
              <w:rPr>
                <w:rFonts w:cs="Arial"/>
                <w:szCs w:val="22"/>
              </w:rPr>
              <w:t xml:space="preserve"> – 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Eventuale doppio parere parlamentare nel breve termine di sei mesi.</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2449" w:type="pct"/>
        <w:tblLook w:val="01E0" w:firstRow="1" w:lastRow="1" w:firstColumn="1" w:lastColumn="1" w:noHBand="0" w:noVBand="0"/>
      </w:tblPr>
      <w:tblGrid>
        <w:gridCol w:w="4548"/>
      </w:tblGrid>
      <w:tr w:rsidR="00541B8B" w:rsidRPr="00541B8B" w:rsidTr="00D20CCA">
        <w:trPr>
          <w:trHeight w:val="423"/>
        </w:trPr>
        <w:tc>
          <w:tcPr>
            <w:tcW w:w="500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szCs w:val="22"/>
              </w:rPr>
              <w:t>nessun rilievo.</w:t>
            </w: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Nessun riferimento.</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r w:rsidRPr="00541B8B">
        <w:rPr>
          <w:rFonts w:cs="Arial"/>
          <w:szCs w:val="22"/>
        </w:rPr>
        <w:t xml:space="preserve">1 – </w:t>
      </w:r>
      <w:hyperlink w:anchor="premessa18"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«la proposta di legge, che si compone di un unico articolo, reca un </w:t>
      </w:r>
      <w:r w:rsidRPr="00541B8B">
        <w:rPr>
          <w:rFonts w:cs="Arial"/>
          <w:b/>
          <w:szCs w:val="22"/>
        </w:rPr>
        <w:t>contenuto puntuale e corrispondente al titolo</w:t>
      </w:r>
      <w:r w:rsidRPr="00541B8B">
        <w:rPr>
          <w:rFonts w:cs="Arial"/>
          <w:szCs w:val="22"/>
        </w:rPr>
        <w:t xml:space="preserve">, in quanto delega il Governo all’adozione di uno o più decreti legislativi in materia di riforma della normativa in materia di confidi»;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r w:rsidRPr="00541B8B">
        <w:rPr>
          <w:rFonts w:cs="Arial"/>
          <w:szCs w:val="22"/>
        </w:rPr>
        <w:t xml:space="preserve">2 – </w:t>
      </w:r>
      <w:hyperlink w:anchor="premessa18"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rFonts w:cs="Arial"/>
          <w:bCs/>
          <w:iCs/>
          <w:szCs w:val="22"/>
        </w:rPr>
        <w:t>l’unico articolo della proposta di legge, al comma 1, individua analiticamente i principi e criteri direttivi ai quali il Governo deve attenersi nell’esercizio della delega, da esercitare nel breve termine di sei mesi, mentre, al comma 2, disciplina le procedure, prevedendo, tra l’altro, l’espressione del parere da parte delle Commissioni parlamentari competenti per materia e per i profili finanziari, e l’onere per il Governo, qualora non intenda conformarsi ai suddetti pareri, di trasmettere nuovamente il testo alle Camere con osservazioni ed eventuali modificazioni, perché su di esso venga espresso, sempre nel termine di trenta giorni, un nuovo parere</w:t>
      </w:r>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left="720" w:firstLine="0"/>
        <w:contextualSpacing/>
        <w:rPr>
          <w:rFonts w:cs="Arial"/>
          <w:szCs w:val="22"/>
        </w:r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0020</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3821</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13" w:history="1">
              <w:r w:rsidR="00541B8B" w:rsidRPr="00541B8B">
                <w:rPr>
                  <w:rFonts w:cs="Arial"/>
                  <w:color w:val="0000FF"/>
                  <w:szCs w:val="22"/>
                  <w:u w:val="single"/>
                </w:rPr>
                <w:t>ddl Gov</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Legge europea 2015-2016 (con delega)</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14" w:anchor="data.20160621.com48.bollettino.sede00010.tit00010" w:history="1">
              <w:r w:rsidR="00541B8B" w:rsidRPr="00541B8B">
                <w:rPr>
                  <w:rFonts w:cs="Arial"/>
                  <w:color w:val="0000FF"/>
                  <w:szCs w:val="22"/>
                  <w:u w:val="single"/>
                </w:rPr>
                <w:t>21/06/2016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341" w:name="premessa20"/>
            <w:r w:rsidRPr="00541B8B">
              <w:rPr>
                <w:rFonts w:cs="Arial"/>
                <w:b/>
                <w:color w:val="0000FF"/>
                <w:sz w:val="24"/>
                <w:szCs w:val="24"/>
              </w:rPr>
              <w:t>Premessa</w:t>
            </w:r>
            <w:bookmarkEnd w:id="341"/>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3 Condizioni, 1 Osservazione</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0a01" w:history="1">
              <w:r w:rsidR="00541B8B" w:rsidRPr="00541B8B">
                <w:rPr>
                  <w:rFonts w:cs="Arial"/>
                  <w:color w:val="0000FF"/>
                  <w:szCs w:val="22"/>
                  <w:u w:val="single"/>
                </w:rPr>
                <w:t>1</w:t>
              </w:r>
            </w:hyperlink>
            <w:r w:rsidR="00541B8B" w:rsidRPr="00541B8B">
              <w:rPr>
                <w:rFonts w:cs="Arial"/>
                <w:szCs w:val="22"/>
              </w:rPr>
              <w:t xml:space="preserve"> – Legge europea: contenuto corrispondente a legge n. 234, salvo art. 24, commi 11 e seguenti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Ai contenuti propri della legge europea (articolo 30, comma 3, legge n. 234/2012) non appare riconducibile la disposizione di delega al Governo contenuta all’articolo 24, commi 11 e seguenti.</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13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0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 xml:space="preserve">Modifiche non testuali </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0a03" w:history="1">
              <w:r w:rsidR="00541B8B" w:rsidRPr="00541B8B">
                <w:rPr>
                  <w:rFonts w:cs="Arial"/>
                  <w:color w:val="0000FF"/>
                  <w:szCs w:val="22"/>
                  <w:u w:val="single"/>
                </w:rPr>
                <w:t>3</w:t>
              </w:r>
            </w:hyperlink>
            <w:r w:rsidR="00541B8B" w:rsidRPr="00541B8B">
              <w:rPr>
                <w:rFonts w:cs="Arial"/>
                <w:szCs w:val="22"/>
              </w:rPr>
              <w:t xml:space="preserve"> – Procedure di delega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Scorrimento del termine per l’esercizio della delega (“tecnica dello scorrimento”).</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0a04" w:history="1">
              <w:r w:rsidR="00541B8B" w:rsidRPr="00541B8B">
                <w:rPr>
                  <w:rFonts w:cs="Arial"/>
                  <w:color w:val="0000FF"/>
                  <w:szCs w:val="22"/>
                  <w:u w:val="single"/>
                </w:rPr>
                <w:t>4</w:t>
              </w:r>
            </w:hyperlink>
            <w:r w:rsidR="00541B8B" w:rsidRPr="00541B8B">
              <w:rPr>
                <w:rFonts w:cs="Arial"/>
                <w:szCs w:val="22"/>
              </w:rPr>
              <w:t xml:space="preserve"> – Coerente utilizzo delle fonti normative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Adempimenti atipici. Previsione di un DPCM in luogo di un regolamento emanato ai sensi dell’articolo 17, comma 1, della L. n. 400/1988. Richiamo all’articolo 17 della L. n. 400/1988.</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3</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0a05" w:history="1">
              <w:r w:rsidR="00541B8B" w:rsidRPr="00541B8B">
                <w:rPr>
                  <w:rFonts w:cs="Arial"/>
                  <w:color w:val="0000FF"/>
                  <w:szCs w:val="22"/>
                  <w:u w:val="single"/>
                </w:rPr>
                <w:t>5</w:t>
              </w:r>
            </w:hyperlink>
            <w:r w:rsidR="00541B8B" w:rsidRPr="00541B8B">
              <w:rPr>
                <w:rFonts w:cs="Arial"/>
                <w:szCs w:val="22"/>
              </w:rPr>
              <w:t xml:space="preserve"> – Efficacia retroattiva </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 xml:space="preserve">Disposizioni che derogano implicitamente all’articolo 3, comma 1, della legge n. 212/2000 (Statuto del contribuente). </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2</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0a06" w:history="1">
              <w:r w:rsidR="00541B8B" w:rsidRPr="00541B8B">
                <w:rPr>
                  <w:rFonts w:cs="Arial"/>
                  <w:color w:val="0000FF"/>
                  <w:szCs w:val="22"/>
                  <w:u w:val="single"/>
                </w:rPr>
                <w:t>6</w:t>
              </w:r>
            </w:hyperlink>
            <w:r w:rsidR="00541B8B" w:rsidRPr="00541B8B">
              <w:rPr>
                <w:rFonts w:cs="Arial"/>
                <w:szCs w:val="22"/>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Assenti. Presente esenzione dall’obbligo di redigere AIR, con giustificazione che fa riferimento alla relazione illustrativa.</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0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0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lastRenderedPageBreak/>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Articolo 17 in generale e articolo 17, comma 1, della legge n. 400/1988; articolo 3, comma 1, della legge n. 212/2000 (Statuto del contribuente).</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42" w:name="S20a01"/>
      <w:r w:rsidRPr="00541B8B">
        <w:rPr>
          <w:rFonts w:cs="Arial"/>
          <w:szCs w:val="22"/>
        </w:rPr>
        <w:t>1</w:t>
      </w:r>
      <w:bookmarkEnd w:id="342"/>
      <w:r w:rsidRPr="00541B8B">
        <w:rPr>
          <w:rFonts w:cs="Arial"/>
          <w:szCs w:val="22"/>
        </w:rPr>
        <w:t xml:space="preserve"> – </w:t>
      </w:r>
      <w:hyperlink w:anchor="premessa20"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disegno di legge, che si compone di 37 articoli, reca un </w:t>
      </w:r>
      <w:r w:rsidRPr="00541B8B">
        <w:rPr>
          <w:rFonts w:cs="Arial"/>
          <w:b/>
          <w:szCs w:val="22"/>
        </w:rPr>
        <w:t>contenuto in larghissima parte corrispondente al modello delineato dalla legge n. 234 del 2012</w:t>
      </w:r>
      <w:r w:rsidRPr="00541B8B">
        <w:rPr>
          <w:rFonts w:cs="Arial"/>
          <w:szCs w:val="22"/>
        </w:rPr>
        <w:t xml:space="preserve"> - che ha riformato il procedimento per l’adempimento degli obblighi europei e l’adeguamento dell’ordinamento interno a quello dell’Unione Europea, prevedendo tra l’altro una separazione in due distinti atti dei contenuti della legge comunitaria prevista dalla legge n. 11 del 2005 - e contiene, in conformità a quanto stabilito dall’articolo 30, comma 3, della succitata legge n. 234 del 2012, norme di immediata applicazione del diritto europeo, anche per far fronte alle procedure di infrazione ed al contenzioso, mediante uno strumento che fisiologicamente interviene su diversi settori normativi;</w:t>
      </w:r>
    </w:p>
    <w:p w:rsidR="00541B8B" w:rsidRPr="00541B8B" w:rsidRDefault="00541B8B" w:rsidP="00541B8B">
      <w:pPr>
        <w:spacing w:before="60" w:after="60"/>
        <w:contextualSpacing/>
        <w:rPr>
          <w:rFonts w:cs="Arial"/>
          <w:szCs w:val="22"/>
        </w:rPr>
      </w:pPr>
      <w:r w:rsidRPr="00541B8B">
        <w:rPr>
          <w:rFonts w:cs="Arial"/>
          <w:szCs w:val="22"/>
        </w:rPr>
        <w:t xml:space="preserve">ai contenuti propri della legge europea, come disegnati dall’articolo 30, comma 3, della legge n. 234 del 2012, </w:t>
      </w:r>
      <w:r w:rsidRPr="00541B8B">
        <w:rPr>
          <w:rFonts w:cs="Arial"/>
          <w:b/>
          <w:szCs w:val="22"/>
        </w:rPr>
        <w:t>non appare invece riconducibile</w:t>
      </w:r>
      <w:r w:rsidRPr="00541B8B">
        <w:rPr>
          <w:rFonts w:cs="Arial"/>
          <w:szCs w:val="22"/>
        </w:rPr>
        <w:t xml:space="preserve"> la disposizione di delega al Governo contenuta all’articolo 24, comma 11 e seguenti, in materia di incentivi in favore delle imprese marittime che, in base all’articolo 30, comma 2, della richiamata legge n. 234, dovrebbe essere inserita nell’ambito della legge di delegazione europea» (</w:t>
      </w:r>
      <w:hyperlink w:anchor="S20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bCs/>
          <w:iCs/>
          <w:szCs w:val="22"/>
        </w:rPr>
      </w:pPr>
      <w:bookmarkStart w:id="343" w:name="S20a02"/>
      <w:r w:rsidRPr="00541B8B">
        <w:rPr>
          <w:rFonts w:cs="Arial"/>
          <w:szCs w:val="22"/>
        </w:rPr>
        <w:t>2</w:t>
      </w:r>
      <w:bookmarkEnd w:id="343"/>
      <w:r w:rsidRPr="00541B8B">
        <w:rPr>
          <w:rFonts w:cs="Arial"/>
          <w:szCs w:val="22"/>
        </w:rPr>
        <w:t xml:space="preserve"> – </w:t>
      </w:r>
      <w:hyperlink w:anchor="premessa2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rFonts w:cs="Arial"/>
          <w:bCs/>
          <w:iCs/>
          <w:szCs w:val="22"/>
        </w:rPr>
        <w:t xml:space="preserve">il disegno di legge, nel procedere a numerose modifiche della disciplina vigente, generalmente ricorre alla tecnica della novellazione ed effettua gli opportuni coordinamenti con il tessuto normativo preesistente; difetti di coordinamento con l’ordinamento, in ragione del fatto che il disegno di legge incide su di esso mediante </w:t>
      </w:r>
      <w:r w:rsidRPr="00541B8B">
        <w:rPr>
          <w:rFonts w:cs="Arial"/>
          <w:b/>
          <w:bCs/>
          <w:iCs/>
          <w:szCs w:val="22"/>
        </w:rPr>
        <w:t>modifiche non testuali</w:t>
      </w:r>
      <w:r w:rsidRPr="00541B8B">
        <w:rPr>
          <w:rFonts w:cs="Arial"/>
          <w:bCs/>
          <w:iCs/>
          <w:szCs w:val="22"/>
        </w:rPr>
        <w:t>, si riscontrano invece:</w:t>
      </w:r>
    </w:p>
    <w:p w:rsidR="00541B8B" w:rsidRPr="00541B8B" w:rsidRDefault="00541B8B" w:rsidP="00541B8B">
      <w:pPr>
        <w:spacing w:before="60" w:after="60"/>
        <w:contextualSpacing/>
        <w:rPr>
          <w:rFonts w:cs="Arial"/>
          <w:bCs/>
          <w:iCs/>
          <w:szCs w:val="22"/>
        </w:rPr>
      </w:pPr>
      <w:r w:rsidRPr="00541B8B">
        <w:rPr>
          <w:rFonts w:cs="Arial"/>
          <w:bCs/>
          <w:iCs/>
          <w:szCs w:val="22"/>
        </w:rPr>
        <w:t>all’articolo 5, comma 1, che, nel prevedere che le SOA debbano avere una sede nel territorio della Repubblica, interviene in via non testuale sull’ambito applicativo di una norma di recentissima approvazione, ossia sull’articolo 84 del decreto legislativo 18 aprile 2016, n. 50, recante il così detto nuovo codice dei contratti pubblici, nonché sull’articolo 64 del regolamento di attuazione del precedente codice, di cui al decreto del Presidente della Repubblica 5 ottobre 2010, n. 207;</w:t>
      </w:r>
    </w:p>
    <w:p w:rsidR="00541B8B" w:rsidRPr="00541B8B" w:rsidRDefault="00541B8B" w:rsidP="00541B8B">
      <w:pPr>
        <w:spacing w:before="60" w:after="60"/>
        <w:contextualSpacing/>
        <w:rPr>
          <w:rFonts w:cs="Arial"/>
          <w:bCs/>
          <w:iCs/>
          <w:szCs w:val="22"/>
        </w:rPr>
      </w:pPr>
      <w:r w:rsidRPr="00541B8B">
        <w:rPr>
          <w:rFonts w:cs="Arial"/>
          <w:bCs/>
          <w:iCs/>
          <w:szCs w:val="22"/>
        </w:rPr>
        <w:t>all’articolo 18, che, nell’introdurre disposizioni sanzionatorie per i casi di inosservanza delle norme e delle raccomandazioni dell’Agenzia nazionale per la sicurezza delle ferrovie, incide in via non testuale sull’ambito applicativo del decreto legislativo n. 162 del 2007, istitutivo di tale Agenzia;</w:t>
      </w:r>
    </w:p>
    <w:p w:rsidR="00541B8B" w:rsidRPr="00541B8B" w:rsidRDefault="00541B8B" w:rsidP="00541B8B">
      <w:pPr>
        <w:spacing w:before="60" w:after="60"/>
        <w:contextualSpacing/>
        <w:rPr>
          <w:rFonts w:cs="Arial"/>
          <w:bCs/>
          <w:iCs/>
          <w:szCs w:val="22"/>
        </w:rPr>
      </w:pPr>
      <w:r w:rsidRPr="00541B8B">
        <w:rPr>
          <w:rFonts w:cs="Arial"/>
          <w:bCs/>
          <w:iCs/>
          <w:szCs w:val="22"/>
        </w:rPr>
        <w:t>all’articolo 24, dove i commi da 6 a 10 modificano il regime di determinazione della base imponibile per alcune imprese marittime senza intervenire sul testo unico delle imposte sui redditi, di cui al decreto del Presidente della Repubblica n. 917 del 1986 e in particolare sull’articolo 157, comma 3;</w:t>
      </w:r>
    </w:p>
    <w:p w:rsidR="00541B8B" w:rsidRPr="00541B8B" w:rsidRDefault="00541B8B" w:rsidP="00541B8B">
      <w:pPr>
        <w:spacing w:before="60" w:after="60"/>
        <w:contextualSpacing/>
        <w:rPr>
          <w:rFonts w:cs="Arial"/>
          <w:szCs w:val="22"/>
        </w:rPr>
      </w:pPr>
      <w:r w:rsidRPr="00541B8B">
        <w:rPr>
          <w:rFonts w:cs="Arial"/>
          <w:bCs/>
          <w:iCs/>
          <w:szCs w:val="22"/>
        </w:rPr>
        <w:t xml:space="preserve">infine, all’articolo 10 - che modifica la disciplina del permesso di soggiorno individuale per minori stranieri - mentre il comma 1 è formulato in termini di novella al testo unico delle disposizioni concernenti la disciplina dell’immigrazione e norme sulla condizione dello straniero, di cui al decreto legislativo 25 luglio 1998, n. 286, il comma 3 detta una disposizione di carattere transitorio, di cui andrebbe valutata la riformulazione in termini di </w:t>
      </w:r>
      <w:r w:rsidRPr="00541B8B">
        <w:rPr>
          <w:rFonts w:cs="Arial"/>
          <w:bCs/>
          <w:iCs/>
          <w:szCs w:val="22"/>
        </w:rPr>
        <w:lastRenderedPageBreak/>
        <w:t>novella al citato testo unico, per mantenere l’unitarietà della disciplina</w:t>
      </w:r>
      <w:r w:rsidRPr="00541B8B">
        <w:rPr>
          <w:rFonts w:cs="Arial"/>
          <w:szCs w:val="22"/>
        </w:rPr>
        <w:t>» (</w:t>
      </w:r>
      <w:hyperlink w:anchor="S20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44" w:name="S20a03"/>
      <w:r w:rsidRPr="00541B8B">
        <w:rPr>
          <w:rFonts w:cs="Arial"/>
          <w:szCs w:val="22"/>
        </w:rPr>
        <w:t>3</w:t>
      </w:r>
      <w:bookmarkEnd w:id="344"/>
      <w:r w:rsidRPr="00541B8B">
        <w:rPr>
          <w:rFonts w:cs="Arial"/>
          <w:szCs w:val="22"/>
        </w:rPr>
        <w:t xml:space="preserve"> – </w:t>
      </w:r>
      <w:hyperlink w:anchor="premessa2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rFonts w:cs="Arial"/>
          <w:bCs/>
          <w:szCs w:val="22"/>
        </w:rPr>
        <w:t xml:space="preserve">con specifico riguardo al </w:t>
      </w:r>
      <w:r w:rsidRPr="00541B8B">
        <w:rPr>
          <w:rFonts w:cs="Arial"/>
          <w:b/>
          <w:bCs/>
          <w:szCs w:val="22"/>
        </w:rPr>
        <w:t>computo dei termini per l’esercizio della delega</w:t>
      </w:r>
      <w:r w:rsidRPr="00541B8B">
        <w:rPr>
          <w:rFonts w:cs="Arial"/>
          <w:bCs/>
          <w:szCs w:val="22"/>
        </w:rPr>
        <w:t xml:space="preserve">, il disegno di legge, all’articolo 24, comma 11, prevede che la delega al Governo in materia di incentivi in favore delle imprese marittime debba essere esercitata entro il 31 luglio 2016; al comma 13, ultimo periodo, stabilisce che - </w:t>
      </w:r>
      <w:r w:rsidRPr="00541B8B">
        <w:rPr>
          <w:rFonts w:cs="Arial"/>
          <w:bCs/>
          <w:iCs/>
          <w:szCs w:val="22"/>
        </w:rPr>
        <w:t xml:space="preserve">qualora </w:t>
      </w:r>
      <w:r w:rsidRPr="00541B8B">
        <w:rPr>
          <w:rFonts w:cs="Arial"/>
          <w:bCs/>
          <w:szCs w:val="22"/>
        </w:rPr>
        <w:t xml:space="preserve">il termine per l'espressione del parere parlamentare scada nei trenta giorni che precedono la scadenza del termine di delega o successivamente - tale termine sia </w:t>
      </w:r>
      <w:r w:rsidRPr="00541B8B">
        <w:rPr>
          <w:rFonts w:cs="Arial"/>
          <w:bCs/>
          <w:iCs/>
          <w:szCs w:val="22"/>
        </w:rPr>
        <w:t xml:space="preserve">prorogato per un periodo di tre mesi; </w:t>
      </w:r>
      <w:r w:rsidRPr="00541B8B">
        <w:rPr>
          <w:rFonts w:cs="Arial"/>
          <w:bCs/>
          <w:szCs w:val="22"/>
        </w:rPr>
        <w:t xml:space="preserve">al comma 14, prevede che la delega integrativa e correttiva possa essere esercitata nel termine di ventiquattro mesi dalla data di entrata in vigore del decreto legislativo di cui al comma 11. A tale proposito, si osserva che la congruità del termine a data fissa del 31 luglio 2016 andrebbe valutata alla luce della data di approvazione e di entrata in vigore della legge; con riferimento invece alla previsione del ricorso alla così detta </w:t>
      </w:r>
      <w:r w:rsidRPr="00541B8B">
        <w:rPr>
          <w:rFonts w:cs="Arial"/>
          <w:b/>
          <w:bCs/>
          <w:szCs w:val="22"/>
        </w:rPr>
        <w:t>«tecnica dello scorrimento»</w:t>
      </w:r>
      <w:r w:rsidRPr="00541B8B">
        <w:rPr>
          <w:rFonts w:cs="Arial"/>
          <w:bCs/>
          <w:szCs w:val="22"/>
        </w:rPr>
        <w:t>, che non permette di individuare il termine per l’esercizio della delega in modo univoco, secondo una costante linea di indirizzo, il Comitato per la legislazione, nei propri pareri, ha sempre segnalato che “appare opportuno individuare univocamente i termini per l'esercizio della delega principale e di quelle integrative e correttive, rinunziando alla «tecnica dello scorrimento»” e che, in numerose recenti circostanze, a seguito dell’espressione di rilievi in tal senso, sono stati approvati emendamenti volti a prevedere, in luogo dello scorrimento del termine di delega, termini certi entro i quali il Governo deve trasmettere alle Camere gli schemi dei decreti legislativi</w:t>
      </w:r>
      <w:r w:rsidRPr="00541B8B">
        <w:rPr>
          <w:rFonts w:cs="Arial"/>
          <w:szCs w:val="22"/>
        </w:rPr>
        <w:t>» (</w:t>
      </w:r>
      <w:hyperlink w:anchor="S20c01" w:history="1">
        <w:r w:rsidRPr="00541B8B">
          <w:rPr>
            <w:rFonts w:cs="Arial"/>
            <w:b/>
            <w:color w:val="0000FF"/>
            <w:szCs w:val="22"/>
            <w:u w:val="single"/>
          </w:rPr>
          <w:t>conseguente condizione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45" w:name="S20a04"/>
      <w:r w:rsidRPr="00541B8B">
        <w:rPr>
          <w:rFonts w:cs="Arial"/>
          <w:szCs w:val="22"/>
        </w:rPr>
        <w:t>4</w:t>
      </w:r>
      <w:bookmarkEnd w:id="345"/>
      <w:r w:rsidRPr="00541B8B">
        <w:rPr>
          <w:rFonts w:cs="Arial"/>
          <w:szCs w:val="22"/>
        </w:rPr>
        <w:t xml:space="preserve"> - </w:t>
      </w:r>
      <w:hyperlink w:anchor="premessa2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all’articolo 35, comma 1, lettera </w:t>
      </w:r>
      <w:r w:rsidRPr="00541B8B">
        <w:rPr>
          <w:rFonts w:cs="Arial"/>
          <w:i/>
          <w:szCs w:val="22"/>
        </w:rPr>
        <w:t>b</w:t>
      </w:r>
      <w:r w:rsidRPr="00541B8B">
        <w:rPr>
          <w:rFonts w:cs="Arial"/>
          <w:szCs w:val="22"/>
        </w:rPr>
        <w:t>), sostituisce il comma 3 dell’articolo 45 della legge n. 234 del 2012 - che demanda l’attuazione delle disposizioni recate da tale articolo, in materia di comunicazioni in ordine agli aiuti di Stato, ad un regolamento adottato a norma dell’</w:t>
      </w:r>
      <w:r w:rsidRPr="00541B8B">
        <w:rPr>
          <w:rFonts w:cs="Arial"/>
          <w:b/>
          <w:szCs w:val="22"/>
        </w:rPr>
        <w:t xml:space="preserve">articolo 17, comma 1, della legge n. 400 del 1988 </w:t>
      </w:r>
      <w:r w:rsidRPr="00541B8B">
        <w:rPr>
          <w:rFonts w:cs="Arial"/>
          <w:szCs w:val="22"/>
        </w:rPr>
        <w:t xml:space="preserve">- prevedendo che l’attuazione di tali disposizioni sia invece affidata ad un </w:t>
      </w:r>
      <w:r w:rsidRPr="00541B8B">
        <w:rPr>
          <w:rFonts w:cs="Arial"/>
          <w:b/>
          <w:szCs w:val="22"/>
        </w:rPr>
        <w:t>decreto del Presidente del Consiglio dei ministri</w:t>
      </w:r>
      <w:r w:rsidRPr="00541B8B">
        <w:rPr>
          <w:rFonts w:cs="Arial"/>
          <w:szCs w:val="22"/>
        </w:rPr>
        <w:t>, “da adottare di concerto con il Ministro degli affari esteri e della cooperazione internazionale e con il Ministro dello sviluppo economico, sentita la Conferenza permanente per i rapporti tra lo Stato, le regioni e le province autonome di Trento e di Bolzano”; in proposito, si segnala che, per costante indirizzo del Comitato per la legislazione, tale circostanza non appare coerente con le esigenze di un appropriato utilizzo delle fonti normative, in quanto si demanda ad un atto atipico la definizione di una disciplina che dovrebbe essere oggetto di una fonte secondaria del diritto e, segnatamente, di regolamenti emanati a norma dell'</w:t>
      </w:r>
      <w:r w:rsidRPr="00541B8B">
        <w:rPr>
          <w:rFonts w:cs="Arial"/>
          <w:b/>
          <w:szCs w:val="22"/>
        </w:rPr>
        <w:t>articolo 17 della legge 23 agosto 1988, n. 400</w:t>
      </w:r>
      <w:r w:rsidRPr="00541B8B">
        <w:rPr>
          <w:rFonts w:cs="Arial"/>
          <w:szCs w:val="22"/>
        </w:rPr>
        <w:t>, come peraltro stabiliva la norma novellata» (</w:t>
      </w:r>
      <w:hyperlink w:anchor="S20c02"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46" w:name="S20a05"/>
      <w:r w:rsidRPr="00541B8B">
        <w:rPr>
          <w:rFonts w:cs="Arial"/>
          <w:szCs w:val="22"/>
        </w:rPr>
        <w:t>5</w:t>
      </w:r>
      <w:bookmarkEnd w:id="346"/>
      <w:r w:rsidRPr="00541B8B">
        <w:rPr>
          <w:rFonts w:cs="Arial"/>
          <w:szCs w:val="22"/>
        </w:rPr>
        <w:t xml:space="preserve"> - </w:t>
      </w:r>
      <w:hyperlink w:anchor="premessa2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«alcune delle disposizioni del disegno di legge hanno </w:t>
      </w:r>
      <w:r w:rsidRPr="00541B8B">
        <w:rPr>
          <w:rFonts w:cs="Arial"/>
          <w:b/>
          <w:szCs w:val="22"/>
        </w:rPr>
        <w:t>efficacia retroattiva</w:t>
      </w:r>
      <w:r w:rsidRPr="00541B8B">
        <w:rPr>
          <w:rFonts w:cs="Arial"/>
          <w:szCs w:val="22"/>
        </w:rPr>
        <w:t xml:space="preserve">; tra di esse, quelle che intervengono nella materia tributaria derogano implicitamente all’articolo 3, comma 1, dello </w:t>
      </w:r>
      <w:r w:rsidRPr="00541B8B">
        <w:rPr>
          <w:rFonts w:cs="Arial"/>
          <w:b/>
          <w:szCs w:val="22"/>
        </w:rPr>
        <w:t>statuto del contribuente</w:t>
      </w:r>
      <w:r w:rsidRPr="00541B8B">
        <w:rPr>
          <w:rFonts w:cs="Arial"/>
          <w:szCs w:val="22"/>
        </w:rPr>
        <w:t xml:space="preserve"> di cui alla legge 27 luglio 2000, n. 212, in base al quale “le disposizioni tributarie non hanno effetto retroattivo” (si vedano, in proposito, l’articolo 23, comma 2, l’articolo 26, comma 3, e l’articolo 28); con specifico riguardo all’articolo 28, comma 6, che prevede che le disposizioni dell’articolo 10 </w:t>
      </w:r>
      <w:r w:rsidRPr="00541B8B">
        <w:rPr>
          <w:rFonts w:cs="Arial"/>
          <w:szCs w:val="22"/>
        </w:rPr>
        <w:lastRenderedPageBreak/>
        <w:t>del decreto legislativo 18 aprile 2005, n. 84, di attuazione della direttiva 2003/48/CE, in materia di tassazione dei redditi da risparmio sotto forma di pagamenti di interessi, di cui il medesimo articolo dispone l’abrogazione dal 1° gennaio 2016, “continuano ad applicarsi con riguardo alla ritenuta alla fonte applicata nel 2016 e negli anni precedenti”, non è chiaro a quali anni si intenda fare riferimento e, in particolare, se si intenda fare riferimento a tutti gli anni di vigenza del decreto legislativo n. 84 del 2005» (</w:t>
      </w:r>
      <w:hyperlink w:anchor="S20c03"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47" w:name="S20a06"/>
      <w:r w:rsidRPr="00541B8B">
        <w:rPr>
          <w:rFonts w:cs="Arial"/>
          <w:szCs w:val="22"/>
        </w:rPr>
        <w:t>6</w:t>
      </w:r>
      <w:bookmarkEnd w:id="347"/>
      <w:r w:rsidRPr="00541B8B">
        <w:rPr>
          <w:rFonts w:cs="Arial"/>
          <w:szCs w:val="22"/>
        </w:rPr>
        <w:t xml:space="preserve"> - </w:t>
      </w:r>
      <w:hyperlink w:anchor="premessa20"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 il disegno di legge, nel testo presentato al Senato, non è corredato della relazione sull’analisi tecnico-normativa (ATN); reca invece in allegato l’esenzione dall’obbligo di redigere la relazione per l’analisi di impatto della regolamentazione (AIR), nella quale si precisa che: “</w:t>
      </w:r>
      <w:r w:rsidRPr="00541B8B">
        <w:rPr>
          <w:rFonts w:cs="Arial"/>
          <w:i/>
          <w:szCs w:val="22"/>
        </w:rPr>
        <w:t>Nella relazione illustrativa sono indicati, per ciascun articolo, gli impatti e le motivazioni delle opzioni regolatorie adottate, coerenti con le osservazioni e le specifiche richieste di modifica delle disposizioni nazionali rappresentate dalla Commissione europea. [….]</w:t>
      </w:r>
      <w:r w:rsidRPr="00541B8B">
        <w:rPr>
          <w:rFonts w:cs="Arial"/>
          <w:szCs w:val="22"/>
        </w:rPr>
        <w:t>” e che, “</w:t>
      </w:r>
      <w:r w:rsidRPr="00541B8B">
        <w:rPr>
          <w:rFonts w:cs="Arial"/>
          <w:i/>
          <w:szCs w:val="22"/>
        </w:rPr>
        <w:t>Successivamente all’entrata in vigore della legge, si potrà procedere allo svolgimento della VIR [verifica di impatto della regolamentazione] sulle normative oggetto di modifica, con specifica considerazione degli effetti derivanti dalle misure anti infrazione</w:t>
      </w:r>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348" w:name="S20C"/>
      <w:r w:rsidRPr="00541B8B">
        <w:rPr>
          <w:rFonts w:cs="Arial"/>
          <w:b/>
          <w:szCs w:val="22"/>
        </w:rPr>
        <w:t>Condizioni:</w:t>
      </w:r>
    </w:p>
    <w:bookmarkEnd w:id="348"/>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della specificità e omogeneità di contenuto e della proprietà e della chiarezza della formulazione:</w:t>
      </w:r>
    </w:p>
    <w:p w:rsidR="00541B8B" w:rsidRPr="00541B8B" w:rsidRDefault="00541B8B" w:rsidP="00541B8B">
      <w:pPr>
        <w:spacing w:before="60" w:afterLines="60" w:after="144" w:line="300" w:lineRule="exact"/>
        <w:ind w:left="284"/>
        <w:contextualSpacing/>
        <w:rPr>
          <w:rFonts w:cs="Arial"/>
          <w:szCs w:val="22"/>
        </w:rPr>
      </w:pPr>
      <w:bookmarkStart w:id="349" w:name="S20c01"/>
      <w:r w:rsidRPr="00541B8B">
        <w:rPr>
          <w:szCs w:val="22"/>
        </w:rPr>
        <w:t>1)</w:t>
      </w:r>
      <w:bookmarkEnd w:id="349"/>
      <w:r w:rsidRPr="00541B8B">
        <w:rPr>
          <w:szCs w:val="22"/>
        </w:rPr>
        <w:tab/>
        <w:t>per quanto detto in premessa, ove non sia possibile trasferire nell’ambito del disegno di legge di delegazione europea (S. 2345), all’esame del Senato, i contenuti dell’articolo 24, commi da 11 a 15 – che, recando una disposizione di delega al Governo, non appaiono riconducibili ai contenuti propri della legge europea, come disegnati dall’articolo 30, comma 3, della legge n. 234 del 2012 – al fine di meglio individuare il termine ultimo per l’esercizio della suddetta delega, al comma 13, si valuti la soppressione dell’ultimo periodo, che consente il ricorso alla “tecnica dello scorrimento” del termine per l’esercizio della delega, contestualmente individuando in modo univoco, al comma 11, un termine congruo per il suo esercizio;</w:t>
      </w:r>
      <w:r w:rsidRPr="00541B8B">
        <w:rPr>
          <w:rFonts w:cs="Arial"/>
          <w:szCs w:val="22"/>
        </w:rPr>
        <w:t xml:space="preserve"> [</w:t>
      </w:r>
      <w:hyperlink w:anchor="premessa2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bookmarkStart w:id="350" w:name="S20c02"/>
      <w:r w:rsidRPr="00541B8B">
        <w:rPr>
          <w:rFonts w:cs="Arial"/>
          <w:szCs w:val="22"/>
        </w:rPr>
        <w:t>2)</w:t>
      </w:r>
      <w:bookmarkEnd w:id="350"/>
      <w:r w:rsidRPr="00541B8B">
        <w:rPr>
          <w:rFonts w:cs="Arial"/>
          <w:szCs w:val="22"/>
        </w:rPr>
        <w:tab/>
        <w:t>per quanto detto in premessa, all’articolo 28, comma 6, si dovrebbe chiarire a quali anni si intenda fare riferimento; [</w:t>
      </w:r>
      <w:hyperlink w:anchor="premessa2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Lines="60" w:after="144" w:line="300" w:lineRule="exact"/>
        <w:ind w:left="284"/>
        <w:contextualSpacing/>
        <w:rPr>
          <w:rFonts w:cs="Arial"/>
          <w:szCs w:val="22"/>
        </w:rPr>
      </w:pPr>
      <w:bookmarkStart w:id="351" w:name="S20c03"/>
      <w:r w:rsidRPr="00541B8B">
        <w:rPr>
          <w:rFonts w:cs="Arial"/>
          <w:szCs w:val="22"/>
        </w:rPr>
        <w:t>3)</w:t>
      </w:r>
      <w:bookmarkEnd w:id="351"/>
      <w:r w:rsidRPr="00541B8B">
        <w:rPr>
          <w:rFonts w:cs="Arial"/>
          <w:szCs w:val="22"/>
        </w:rPr>
        <w:tab/>
        <w:t xml:space="preserve">per quanto detto in premessa, si sopprima la disposizione contenuta all’articolo 35, comma 1, lettera </w:t>
      </w:r>
      <w:r w:rsidRPr="00541B8B">
        <w:rPr>
          <w:rFonts w:cs="Arial"/>
          <w:i/>
          <w:szCs w:val="22"/>
        </w:rPr>
        <w:t>b</w:t>
      </w:r>
      <w:r w:rsidRPr="00541B8B">
        <w:rPr>
          <w:rFonts w:cs="Arial"/>
          <w:szCs w:val="22"/>
        </w:rPr>
        <w:t>), capoverso 3, che sostituisce il vigente comma 3 dell’articolo 45 della legge n. 234 del 2012 - che affida l’attuazione delle disposizioni da esso recate ad un regolamento da adottare a norma dell’articolo 17, comma 1, della legge n. 400 del 1988 – prevedendo invece che l’attuazione delle medesime disposizioni sia disposta con una fonte atipica del diritto, ovvero con un decreto del Presidente del Consiglio dei ministri [</w:t>
      </w:r>
      <w:hyperlink w:anchor="premessa2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352" w:name="S20O"/>
      <w:r w:rsidRPr="00541B8B">
        <w:rPr>
          <w:rFonts w:cs="Arial"/>
          <w:b/>
          <w:szCs w:val="22"/>
        </w:rPr>
        <w:lastRenderedPageBreak/>
        <w:t>Osservazioni</w:t>
      </w:r>
      <w:bookmarkEnd w:id="352"/>
      <w:r w:rsidRPr="00541B8B">
        <w:rPr>
          <w:rFonts w:cs="Arial"/>
          <w:b/>
          <w:szCs w:val="22"/>
        </w:rPr>
        <w:t>:</w:t>
      </w:r>
    </w:p>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Lines="60" w:after="144" w:line="300" w:lineRule="exact"/>
        <w:ind w:left="284"/>
        <w:contextualSpacing/>
        <w:rPr>
          <w:rFonts w:cs="Arial"/>
          <w:szCs w:val="22"/>
        </w:rPr>
      </w:pPr>
      <w:bookmarkStart w:id="353" w:name="S20o01"/>
      <w:r w:rsidRPr="00541B8B">
        <w:rPr>
          <w:rFonts w:cs="Arial"/>
          <w:szCs w:val="22"/>
        </w:rPr>
        <w:t>1)</w:t>
      </w:r>
      <w:bookmarkEnd w:id="353"/>
      <w:r w:rsidRPr="00541B8B">
        <w:rPr>
          <w:rFonts w:cs="Arial"/>
          <w:szCs w:val="22"/>
        </w:rPr>
        <w:tab/>
        <w:t>si dovrebbero riformulare le disposizioni indicate in premessa che incidono in via non testuale sull’ordinamento vigente in termini di novella del medesimo [</w:t>
      </w:r>
      <w:hyperlink w:anchor="premessa20"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0021</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3892</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15" w:history="1">
              <w:r w:rsidR="00541B8B" w:rsidRPr="00541B8B">
                <w:rPr>
                  <w:rFonts w:cs="Arial"/>
                  <w:color w:val="0000FF"/>
                  <w:szCs w:val="22"/>
                  <w:u w:val="single"/>
                </w:rPr>
                <w:t>DL 59/2016</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Investitori banche in liquidazione</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16" w:anchor="data.20160622.com48.bollettino.sede00010.tit00010" w:history="1">
              <w:r w:rsidR="00541B8B" w:rsidRPr="00541B8B">
                <w:rPr>
                  <w:rFonts w:cs="Arial"/>
                  <w:color w:val="0000FF"/>
                  <w:szCs w:val="22"/>
                  <w:u w:val="single"/>
                </w:rPr>
                <w:t>22/06/2016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96-</w:t>
            </w:r>
            <w:r w:rsidRPr="00541B8B">
              <w:rPr>
                <w:rFonts w:cs="Arial"/>
                <w:b/>
                <w:bCs/>
                <w:i/>
                <w:sz w:val="24"/>
                <w:szCs w:val="24"/>
              </w:rPr>
              <w:t>BIS</w:t>
            </w:r>
            <w:r w:rsidRPr="00541B8B">
              <w:rPr>
                <w:rFonts w:cs="Arial"/>
                <w:b/>
                <w:bCs/>
                <w:sz w:val="24"/>
                <w:szCs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354" w:name="premessa21"/>
            <w:r w:rsidRPr="00541B8B">
              <w:rPr>
                <w:rFonts w:cs="Arial"/>
                <w:b/>
                <w:color w:val="0000FF"/>
                <w:sz w:val="24"/>
                <w:szCs w:val="24"/>
              </w:rPr>
              <w:t>Premessa</w:t>
            </w:r>
            <w:bookmarkEnd w:id="354"/>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1 Condizione, 1 Osservazione</w:t>
            </w:r>
          </w:p>
        </w:tc>
      </w:tr>
      <w:tr w:rsidR="00541B8B" w:rsidRPr="00541B8B" w:rsidTr="00D20CCA">
        <w:trPr>
          <w:trHeight w:val="994"/>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1a01" w:history="1">
              <w:r w:rsidR="00541B8B" w:rsidRPr="00541B8B">
                <w:rPr>
                  <w:rFonts w:cs="Arial"/>
                  <w:color w:val="0000FF"/>
                  <w:szCs w:val="22"/>
                  <w:u w:val="single"/>
                </w:rPr>
                <w:t>1</w:t>
              </w:r>
            </w:hyperlink>
            <w:r w:rsidR="00541B8B" w:rsidRPr="00541B8B">
              <w:rPr>
                <w:rFonts w:cs="Arial"/>
                <w:szCs w:val="22"/>
              </w:rPr>
              <w:t xml:space="preserve"> – Contenuto sostanzialmente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Contiene un complesso di misure complessivamente riconducibili al titolo e al preambolo del decreto-legge.</w:t>
            </w:r>
          </w:p>
        </w:tc>
      </w:tr>
      <w:tr w:rsidR="00541B8B" w:rsidRPr="00541B8B" w:rsidTr="00D20CCA">
        <w:trPr>
          <w:trHeight w:val="13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1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Disposizioni che fanno sistema con norme vigenti. Stratificazione normativa</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107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1a03" w:history="1">
              <w:r w:rsidR="00541B8B" w:rsidRPr="00541B8B">
                <w:rPr>
                  <w:rFonts w:cs="Arial"/>
                  <w:color w:val="0000FF"/>
                  <w:szCs w:val="22"/>
                  <w:u w:val="single"/>
                </w:rPr>
                <w:t>3</w:t>
              </w:r>
            </w:hyperlink>
            <w:r w:rsidR="00541B8B" w:rsidRPr="00541B8B">
              <w:rPr>
                <w:rFonts w:cs="Arial"/>
                <w:szCs w:val="22"/>
              </w:rPr>
              <w:t xml:space="preserve"> – Efficacia retroattiva delle disposizioni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Disposizioni che derogano implicitamente all’articolo 3, comma 1, della legge n. 212/2000 (Statuto del contribuente).</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1a04" w:history="1">
              <w:r w:rsidR="00541B8B" w:rsidRPr="00541B8B">
                <w:rPr>
                  <w:rFonts w:cs="Arial"/>
                  <w:color w:val="0000FF"/>
                  <w:szCs w:val="22"/>
                  <w:u w:val="single"/>
                </w:rPr>
                <w:t>4</w:t>
              </w:r>
            </w:hyperlink>
            <w:r w:rsidR="00541B8B" w:rsidRPr="00541B8B">
              <w:rPr>
                <w:rFonts w:cs="Arial"/>
                <w:szCs w:val="22"/>
              </w:rPr>
              <w:t xml:space="preserve"> – Coerente utilizzo delle fonti normative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Adempimenti atipici. Previsione di un decreto ministeriale non regolamentare. Richiami alla sentenza n. 116/2006 della Corte costituzionale e alla sentenza n. 9/2012 del Consiglio di Stato.</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1a05" w:history="1">
              <w:r w:rsidR="00541B8B" w:rsidRPr="00541B8B">
                <w:rPr>
                  <w:rFonts w:cs="Arial"/>
                  <w:color w:val="0000FF"/>
                  <w:szCs w:val="22"/>
                  <w:u w:val="single"/>
                </w:rPr>
                <w:t>5</w:t>
              </w:r>
            </w:hyperlink>
            <w:r w:rsidR="00541B8B" w:rsidRPr="00541B8B">
              <w:rPr>
                <w:rFonts w:cs="Arial"/>
                <w:szCs w:val="22"/>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Presentate nel corso dell’esame del decreto-legge alla Camera dei Deputati.</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1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1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Articolo 17, comma 3, della legge n. 400/1988; articolo 3, comma 1, della legge n. 212/2000 (Statuto del contribuente); sentenza n. 116/2006 della Corte costituzionale; sentenza n. 9/2012 del Consiglio di Stato.</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55" w:name="S21a01"/>
      <w:r w:rsidRPr="00541B8B">
        <w:rPr>
          <w:rFonts w:cs="Arial"/>
          <w:szCs w:val="22"/>
        </w:rPr>
        <w:t>1</w:t>
      </w:r>
      <w:bookmarkEnd w:id="355"/>
      <w:r w:rsidRPr="00541B8B">
        <w:rPr>
          <w:rFonts w:cs="Arial"/>
          <w:szCs w:val="22"/>
        </w:rPr>
        <w:t xml:space="preserve"> – </w:t>
      </w:r>
      <w:hyperlink w:anchor="premessa21"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decreto-legge che, a seguito dell’approvazione, presso l’altro ramo del Parlamento, di 2 articoli aggiuntivi, si compone di 16 articoli, reca un complesso di misure a sostegno delle imprese e per l’accelerazione del recupero dei crediti, contenute al Capo I; </w:t>
      </w:r>
      <w:r w:rsidRPr="00541B8B">
        <w:rPr>
          <w:rFonts w:cs="Arial"/>
          <w:szCs w:val="22"/>
        </w:rPr>
        <w:lastRenderedPageBreak/>
        <w:t xml:space="preserve">misure in favore degli investitori in banche in liquidazione (Capo II); ulteriori disposizioni finanziarie (Capo III) e la Copertura finanziaria (Capo IV); i suddetti interventi appaiono complessivamente riconducibili al titolo e al preambolo del decreto-legge»;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bCs/>
          <w:iCs/>
          <w:szCs w:val="22"/>
        </w:rPr>
      </w:pPr>
      <w:bookmarkStart w:id="356" w:name="S21a02"/>
      <w:r w:rsidRPr="00541B8B">
        <w:rPr>
          <w:rFonts w:cs="Arial"/>
          <w:szCs w:val="22"/>
        </w:rPr>
        <w:t>2</w:t>
      </w:r>
      <w:bookmarkEnd w:id="356"/>
      <w:r w:rsidRPr="00541B8B">
        <w:rPr>
          <w:rFonts w:cs="Arial"/>
          <w:szCs w:val="22"/>
        </w:rPr>
        <w:t xml:space="preserve"> – </w:t>
      </w:r>
      <w:hyperlink w:anchor="premessa2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rFonts w:ascii="Times New Roman" w:hAnsi="Times New Roman"/>
          <w:sz w:val="24"/>
        </w:rPr>
        <w:t xml:space="preserve"> </w:t>
      </w:r>
      <w:r w:rsidRPr="00541B8B">
        <w:rPr>
          <w:rFonts w:cs="Arial"/>
          <w:bCs/>
          <w:iCs/>
          <w:szCs w:val="22"/>
        </w:rPr>
        <w:t xml:space="preserve">sul piano della tecnica normativa utilizzata, le disposizioni contenute nel decreto-legge effettuano perlopiù gli opportuni coordinamenti con l’ordinamento vigente. Con riferimento alle disposizioni contenute all’articolo 11, si osserva invece che esse, concernendo le imprese interessate dalle norme che consentono di trasformare le DTA (attività per imposte anticipate) in crediti d’imposta, </w:t>
      </w:r>
      <w:r w:rsidRPr="00541B8B">
        <w:rPr>
          <w:rFonts w:cs="Arial"/>
          <w:b/>
          <w:bCs/>
          <w:iCs/>
          <w:szCs w:val="22"/>
        </w:rPr>
        <w:t>fanno sistema</w:t>
      </w:r>
      <w:r w:rsidRPr="00541B8B">
        <w:rPr>
          <w:rFonts w:cs="Arial"/>
          <w:bCs/>
          <w:iCs/>
          <w:szCs w:val="22"/>
        </w:rPr>
        <w:t xml:space="preserve"> con le norme di cui all’articolo 2, commi da 55 a 57 del decreto-legge n. 225 del 2010, nel cui ambito potrebbero essere inserite; </w:t>
      </w:r>
    </w:p>
    <w:p w:rsidR="00541B8B" w:rsidRPr="00541B8B" w:rsidRDefault="00541B8B" w:rsidP="00541B8B">
      <w:pPr>
        <w:spacing w:before="60" w:after="60"/>
        <w:contextualSpacing/>
        <w:rPr>
          <w:rFonts w:cs="Arial"/>
          <w:szCs w:val="22"/>
        </w:rPr>
      </w:pPr>
      <w:r w:rsidRPr="00541B8B">
        <w:rPr>
          <w:rFonts w:cs="Arial"/>
          <w:bCs/>
          <w:iCs/>
          <w:szCs w:val="22"/>
        </w:rPr>
        <w:t xml:space="preserve">le disposizioni contenute all’articolo 4, comma 2, in materia di deposito telematico degli atti processuali, intervengono invece su una normativa oggetto di una significativa </w:t>
      </w:r>
      <w:r w:rsidRPr="00541B8B">
        <w:rPr>
          <w:rFonts w:cs="Arial"/>
          <w:b/>
          <w:bCs/>
          <w:iCs/>
          <w:szCs w:val="22"/>
        </w:rPr>
        <w:t>stratificazione normativa</w:t>
      </w:r>
      <w:r w:rsidRPr="00541B8B">
        <w:rPr>
          <w:rFonts w:cs="Arial"/>
          <w:bCs/>
          <w:iCs/>
          <w:szCs w:val="22"/>
        </w:rPr>
        <w:t>, in quanto modificano l’articolo 16-</w:t>
      </w:r>
      <w:r w:rsidRPr="00541B8B">
        <w:rPr>
          <w:rFonts w:cs="Arial"/>
          <w:bCs/>
          <w:i/>
          <w:iCs/>
          <w:szCs w:val="22"/>
        </w:rPr>
        <w:t>bis</w:t>
      </w:r>
      <w:r w:rsidRPr="00541B8B">
        <w:rPr>
          <w:rFonts w:cs="Arial"/>
          <w:bCs/>
          <w:iCs/>
          <w:szCs w:val="22"/>
        </w:rPr>
        <w:t xml:space="preserve"> del decreto-legge 18 ottobre 2012, n. 179, introdotto dalla legge di conversione 17 dicembre 2012, n. 221 e successivamente modificato in più punti dai decreti-legge 90 e 132 del 2014 e 83 del 2015</w:t>
      </w:r>
      <w:r w:rsidRPr="00541B8B">
        <w:rPr>
          <w:rFonts w:cs="Arial"/>
          <w:szCs w:val="22"/>
        </w:rPr>
        <w:t>» (</w:t>
      </w:r>
      <w:hyperlink w:anchor="S21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57" w:name="S21a03"/>
      <w:r w:rsidRPr="00541B8B">
        <w:rPr>
          <w:rFonts w:cs="Arial"/>
          <w:szCs w:val="22"/>
        </w:rPr>
        <w:t>3</w:t>
      </w:r>
      <w:bookmarkEnd w:id="357"/>
      <w:r w:rsidRPr="00541B8B">
        <w:rPr>
          <w:rFonts w:cs="Arial"/>
          <w:szCs w:val="22"/>
        </w:rPr>
        <w:t xml:space="preserve"> – </w:t>
      </w:r>
      <w:hyperlink w:anchor="premessa2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«le disposizioni contenute all’articolo 11, comma 7, dispongono </w:t>
      </w:r>
      <w:r w:rsidRPr="00541B8B">
        <w:rPr>
          <w:rFonts w:cs="Arial"/>
          <w:b/>
          <w:szCs w:val="22"/>
        </w:rPr>
        <w:t>retroattivamente</w:t>
      </w:r>
      <w:r w:rsidRPr="00541B8B">
        <w:rPr>
          <w:rFonts w:cs="Arial"/>
          <w:szCs w:val="22"/>
        </w:rPr>
        <w:t>, a decorrere dal periodo d’imposta in corso al 31 dicembre 2015, il versamento di un canone annuo a carico delle imprese che intendano continuare ad avvalersi della trasformabilità in credito di imposta delle DTA qualificate (imposte differite attive), ove ad esse non corrisponda un effettivo pagamento anticipato di imposte, derogando così implicitamente all’</w:t>
      </w:r>
      <w:r w:rsidRPr="00541B8B">
        <w:rPr>
          <w:rFonts w:cs="Arial"/>
          <w:b/>
          <w:szCs w:val="22"/>
        </w:rPr>
        <w:t xml:space="preserve">articolo 3, comma 1, dello statuto del contribuente di cui alla legge 27 luglio 2000, n. 212, </w:t>
      </w:r>
      <w:r w:rsidRPr="00541B8B">
        <w:rPr>
          <w:rFonts w:cs="Arial"/>
          <w:szCs w:val="22"/>
        </w:rPr>
        <w:t xml:space="preserve">in base al quale “le disposizioni tributarie non hanno effetto retroattivo” nonché all’articolo 4 del medesimo statuto, in base al quale “Non si può disporre con decreto-legge l'istituzione di nuovi tributi ne' prevedere l'applicazione di tributi esistenti ad altre categorie di soggetti”»;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58" w:name="S21a04"/>
      <w:r w:rsidRPr="00541B8B">
        <w:rPr>
          <w:rFonts w:cs="Arial"/>
          <w:szCs w:val="22"/>
        </w:rPr>
        <w:t>4</w:t>
      </w:r>
      <w:bookmarkEnd w:id="358"/>
      <w:r w:rsidRPr="00541B8B">
        <w:rPr>
          <w:rFonts w:cs="Arial"/>
          <w:szCs w:val="22"/>
        </w:rPr>
        <w:t xml:space="preserve"> - </w:t>
      </w:r>
      <w:hyperlink w:anchor="premessa2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decreto-legge, all’articolo 5-</w:t>
      </w:r>
      <w:r w:rsidRPr="00541B8B">
        <w:rPr>
          <w:rFonts w:cs="Arial"/>
          <w:i/>
          <w:szCs w:val="22"/>
        </w:rPr>
        <w:t>bis</w:t>
      </w:r>
      <w:r w:rsidRPr="00541B8B">
        <w:rPr>
          <w:rFonts w:cs="Arial"/>
          <w:szCs w:val="22"/>
        </w:rPr>
        <w:t>, comma 1, capoverso Art. 179-</w:t>
      </w:r>
      <w:r w:rsidRPr="00541B8B">
        <w:rPr>
          <w:rFonts w:cs="Arial"/>
          <w:i/>
          <w:szCs w:val="22"/>
        </w:rPr>
        <w:t>ter</w:t>
      </w:r>
      <w:r w:rsidRPr="00541B8B">
        <w:rPr>
          <w:rFonts w:cs="Arial"/>
          <w:szCs w:val="22"/>
        </w:rPr>
        <w:t xml:space="preserve">-1, introdotto al Senato, demanda ad un </w:t>
      </w:r>
      <w:r w:rsidRPr="00541B8B">
        <w:rPr>
          <w:rFonts w:cs="Arial"/>
          <w:b/>
          <w:szCs w:val="22"/>
        </w:rPr>
        <w:t>decreto di natura non regolamentare</w:t>
      </w:r>
      <w:r w:rsidRPr="00541B8B">
        <w:rPr>
          <w:rFonts w:cs="Arial"/>
          <w:szCs w:val="22"/>
        </w:rPr>
        <w:t xml:space="preserve"> del Ministro della giustizia la definizione degli obblighi di prima formazione per l’iscrizione all’</w:t>
      </w:r>
      <w:r w:rsidRPr="00541B8B">
        <w:rPr>
          <w:rFonts w:cs="Arial"/>
          <w:bCs/>
          <w:szCs w:val="22"/>
        </w:rPr>
        <w:t xml:space="preserve">elenco dei professionisti che provvedono alle operazioni di vendita dei beni pignorati, la definizione degli obblighi di formazione periodica da assolvere ai fini della conferma dell'iscrizione, nonché delle modalità per la verifica dell'effettivo assolvimento degli obblighi formativi e l’individuazione del contenuto e delle modalità di presentazione delle domande. </w:t>
      </w:r>
      <w:r w:rsidRPr="00541B8B">
        <w:rPr>
          <w:rFonts w:cs="Arial"/>
          <w:szCs w:val="22"/>
        </w:rPr>
        <w:t xml:space="preserve">A tale proposito, come più volte segnalato dal Comitato, si ricorda che la </w:t>
      </w:r>
      <w:r w:rsidRPr="00541B8B">
        <w:rPr>
          <w:rFonts w:cs="Arial"/>
          <w:b/>
          <w:szCs w:val="22"/>
        </w:rPr>
        <w:t>Corte costituzionale, nella sentenza n. 116 del 2006</w:t>
      </w:r>
      <w:r w:rsidRPr="00541B8B">
        <w:rPr>
          <w:rFonts w:cs="Arial"/>
          <w:szCs w:val="22"/>
        </w:rPr>
        <w:t>, con riferimento ad un decreto ministeriale del quale si esplicitava la natura non regolamentare, lo qualificava come «</w:t>
      </w:r>
      <w:r w:rsidRPr="00541B8B">
        <w:rPr>
          <w:rFonts w:cs="Arial"/>
          <w:i/>
          <w:szCs w:val="22"/>
        </w:rPr>
        <w:t>un atto statale dalla indefinibile natura giuridica</w:t>
      </w:r>
      <w:r w:rsidRPr="00541B8B">
        <w:rPr>
          <w:rFonts w:cs="Arial"/>
          <w:szCs w:val="22"/>
        </w:rPr>
        <w:t xml:space="preserve">» e che, più recentemente, l’Adunanza Plenaria del </w:t>
      </w:r>
      <w:r w:rsidRPr="00541B8B">
        <w:rPr>
          <w:rFonts w:cs="Arial"/>
          <w:b/>
          <w:szCs w:val="22"/>
        </w:rPr>
        <w:t>Consiglio di Stato, con sentenza 4 maggio 2012, n. 9</w:t>
      </w:r>
      <w:r w:rsidRPr="00541B8B">
        <w:rPr>
          <w:rFonts w:cs="Arial"/>
          <w:szCs w:val="22"/>
        </w:rPr>
        <w:t>, sulla natura giuridica dell’articolo 4 del decreto ministeriale 6 febbraio 2006, ha osservato che: «</w:t>
      </w:r>
      <w:r w:rsidRPr="00541B8B">
        <w:rPr>
          <w:rFonts w:cs="Arial"/>
          <w:i/>
          <w:szCs w:val="22"/>
        </w:rPr>
        <w:t xml:space="preserve">deve rilevarsi che, nonostante la crescente diffusione di quel fenomeno efficacemente descritto in termini di “fuga dal regolamento” (che si manifesta, talvolta anche in base ad esplicite indicazioni legislative, tramite l’adozione di atti normativi </w:t>
      </w:r>
      <w:r w:rsidRPr="00541B8B">
        <w:rPr>
          <w:rFonts w:cs="Arial"/>
          <w:i/>
          <w:szCs w:val="22"/>
        </w:rPr>
        <w:lastRenderedPageBreak/>
        <w:t>secondari che si autoqualificano in termini non regolamentari) deve, in linea di principio, escludersi che il potere normativo dei Ministri e, più in generale, del Governo possa esercitarsi medianti atti “atipici”, di natura non regolamentare</w:t>
      </w:r>
      <w:r w:rsidRPr="00541B8B">
        <w:rPr>
          <w:rFonts w:cs="Arial"/>
          <w:szCs w:val="22"/>
        </w:rPr>
        <w:t>»» (</w:t>
      </w:r>
      <w:hyperlink w:anchor="S21c01"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59" w:name="S21a05"/>
      <w:r w:rsidRPr="00541B8B">
        <w:rPr>
          <w:rFonts w:cs="Arial"/>
          <w:szCs w:val="22"/>
        </w:rPr>
        <w:t>5</w:t>
      </w:r>
      <w:bookmarkEnd w:id="359"/>
      <w:r w:rsidRPr="00541B8B">
        <w:rPr>
          <w:rFonts w:cs="Arial"/>
          <w:szCs w:val="22"/>
        </w:rPr>
        <w:t xml:space="preserve"> - </w:t>
      </w:r>
      <w:hyperlink w:anchor="premessa21"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«le relazioni sull’analisi tecnico-normativa (</w:t>
      </w:r>
      <w:r w:rsidRPr="00541B8B">
        <w:rPr>
          <w:rFonts w:cs="Arial"/>
          <w:b/>
          <w:szCs w:val="22"/>
        </w:rPr>
        <w:t>ATN</w:t>
      </w:r>
      <w:r w:rsidRPr="00541B8B">
        <w:rPr>
          <w:rFonts w:cs="Arial"/>
          <w:szCs w:val="22"/>
        </w:rPr>
        <w:t>) e la relazione sull’analisi di impatto della regolamentazione (</w:t>
      </w:r>
      <w:r w:rsidRPr="00541B8B">
        <w:rPr>
          <w:rFonts w:cs="Arial"/>
          <w:b/>
          <w:szCs w:val="22"/>
        </w:rPr>
        <w:t>AIR</w:t>
      </w:r>
      <w:r w:rsidRPr="00541B8B">
        <w:rPr>
          <w:rFonts w:cs="Arial"/>
          <w:szCs w:val="22"/>
        </w:rPr>
        <w:t>) sono state presentate nel corso dell’esame del decreto-legge alla Camera dei deputati»;</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360" w:name="S21C"/>
      <w:r w:rsidRPr="00541B8B">
        <w:rPr>
          <w:rFonts w:cs="Arial"/>
          <w:b/>
          <w:szCs w:val="22"/>
        </w:rPr>
        <w:t>Condizioni:</w:t>
      </w:r>
    </w:p>
    <w:bookmarkEnd w:id="360"/>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Lines="60" w:after="144" w:line="300" w:lineRule="exact"/>
        <w:ind w:left="284"/>
        <w:contextualSpacing/>
        <w:rPr>
          <w:rFonts w:cs="Arial"/>
          <w:szCs w:val="22"/>
        </w:rPr>
      </w:pPr>
      <w:bookmarkStart w:id="361" w:name="S21c01"/>
      <w:r w:rsidRPr="00541B8B">
        <w:rPr>
          <w:szCs w:val="22"/>
        </w:rPr>
        <w:t>1)</w:t>
      </w:r>
      <w:bookmarkEnd w:id="361"/>
      <w:r w:rsidRPr="00541B8B">
        <w:rPr>
          <w:szCs w:val="22"/>
        </w:rPr>
        <w:tab/>
      </w:r>
      <w:r w:rsidRPr="00541B8B">
        <w:t>all’articolo 5-</w:t>
      </w:r>
      <w:r w:rsidRPr="00541B8B">
        <w:rPr>
          <w:i/>
        </w:rPr>
        <w:t>bis</w:t>
      </w:r>
      <w:r w:rsidRPr="00541B8B">
        <w:t>, comma 1, capoverso Art. 179-</w:t>
      </w:r>
      <w:r w:rsidRPr="00541B8B">
        <w:rPr>
          <w:i/>
        </w:rPr>
        <w:t>ter</w:t>
      </w:r>
      <w:r w:rsidRPr="00541B8B">
        <w:t>-1, che demanda compiti attuativi a un decreto ministeriale del quale viene specificata la natura non regolamentare, per quanto detto in premessa, si dovrebbe riformulare la disposizione nel senso di prevedere che la disciplina attuativa sia introdotta da un regolamento adottato ai sensi dell’articolo 17, comma 3, della legge n. 400 del 1988</w:t>
      </w:r>
      <w:r w:rsidRPr="00541B8B">
        <w:rPr>
          <w:szCs w:val="22"/>
        </w:rPr>
        <w:t>;</w:t>
      </w:r>
      <w:r w:rsidRPr="00541B8B">
        <w:rPr>
          <w:rFonts w:cs="Arial"/>
          <w:szCs w:val="22"/>
        </w:rPr>
        <w:t xml:space="preserve"> [</w:t>
      </w:r>
      <w:hyperlink w:anchor="premessa21"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362" w:name="S21O"/>
      <w:r w:rsidRPr="00541B8B">
        <w:rPr>
          <w:rFonts w:cs="Arial"/>
          <w:b/>
          <w:szCs w:val="22"/>
        </w:rPr>
        <w:t>Osservazioni:</w:t>
      </w:r>
    </w:p>
    <w:bookmarkEnd w:id="362"/>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Lines="60" w:after="144" w:line="300" w:lineRule="exact"/>
        <w:ind w:left="284"/>
        <w:contextualSpacing/>
        <w:rPr>
          <w:rFonts w:cs="Arial"/>
          <w:szCs w:val="22"/>
        </w:rPr>
      </w:pPr>
      <w:bookmarkStart w:id="363" w:name="S21o01"/>
      <w:r w:rsidRPr="00541B8B">
        <w:rPr>
          <w:rFonts w:cs="Arial"/>
          <w:szCs w:val="22"/>
        </w:rPr>
        <w:t>1)</w:t>
      </w:r>
      <w:bookmarkEnd w:id="363"/>
      <w:r w:rsidRPr="00541B8B">
        <w:rPr>
          <w:rFonts w:cs="Arial"/>
          <w:szCs w:val="22"/>
        </w:rPr>
        <w:tab/>
      </w:r>
      <w:r w:rsidRPr="00541B8B">
        <w:t>si valuti l’opportunità di riformulare le disposizioni indicate in premessa che incidono in via non testuale sull’ordinamento vigente in termini di novella al medesimo</w:t>
      </w:r>
      <w:r w:rsidRPr="00541B8B">
        <w:rPr>
          <w:rFonts w:cs="Arial"/>
          <w:szCs w:val="22"/>
        </w:rPr>
        <w:t xml:space="preserve"> [</w:t>
      </w:r>
      <w:hyperlink w:anchor="premessa21"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0022</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3886</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17" w:history="1">
              <w:r w:rsidR="00541B8B" w:rsidRPr="00541B8B">
                <w:rPr>
                  <w:rFonts w:cs="Arial"/>
                  <w:color w:val="0000FF"/>
                  <w:szCs w:val="22"/>
                  <w:u w:val="single"/>
                </w:rPr>
                <w:t>DL 98/2016</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Cessione complessi aziendali ILVA</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18" w:anchor="data.20160622.com48.bollettino.sede00010.tit00020" w:history="1">
              <w:r w:rsidR="00541B8B" w:rsidRPr="00541B8B">
                <w:rPr>
                  <w:rFonts w:cs="Arial"/>
                  <w:color w:val="0000FF"/>
                  <w:szCs w:val="22"/>
                  <w:u w:val="single"/>
                </w:rPr>
                <w:t>22/06/2016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96-</w:t>
            </w:r>
            <w:r w:rsidRPr="00541B8B">
              <w:rPr>
                <w:rFonts w:cs="Arial"/>
                <w:b/>
                <w:bCs/>
                <w:i/>
                <w:sz w:val="24"/>
                <w:szCs w:val="24"/>
              </w:rPr>
              <w:t>BIS</w:t>
            </w:r>
            <w:r w:rsidRPr="00541B8B">
              <w:rPr>
                <w:rFonts w:cs="Arial"/>
                <w:b/>
                <w:bCs/>
                <w:sz w:val="24"/>
                <w:szCs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364" w:name="premessa22"/>
            <w:r w:rsidRPr="00541B8B">
              <w:rPr>
                <w:rFonts w:cs="Arial"/>
                <w:b/>
                <w:color w:val="0000FF"/>
                <w:sz w:val="24"/>
                <w:szCs w:val="24"/>
              </w:rPr>
              <w:t>Premessa</w:t>
            </w:r>
            <w:bookmarkEnd w:id="364"/>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2 Osservazioni, 1 Raccomandazione</w:t>
            </w:r>
          </w:p>
        </w:tc>
      </w:tr>
      <w:tr w:rsidR="00541B8B" w:rsidRPr="00541B8B" w:rsidTr="00D20CCA">
        <w:trPr>
          <w:trHeight w:val="71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2a01" w:history="1">
              <w:r w:rsidR="00541B8B" w:rsidRPr="00541B8B">
                <w:rPr>
                  <w:rFonts w:cs="Arial"/>
                  <w:color w:val="0000FF"/>
                  <w:szCs w:val="22"/>
                  <w:u w:val="single"/>
                </w:rPr>
                <w:t>1</w:t>
              </w:r>
            </w:hyperlink>
            <w:r w:rsidR="00541B8B" w:rsidRPr="00541B8B">
              <w:rPr>
                <w:rFonts w:cs="Arial"/>
                <w:szCs w:val="22"/>
              </w:rPr>
              <w:t xml:space="preserve"> – Contenuto omogeneo </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Contenuto omogeneo e corrispondente al titolo</w:t>
            </w:r>
          </w:p>
        </w:tc>
      </w:tr>
      <w:tr w:rsidR="00541B8B" w:rsidRPr="00541B8B" w:rsidTr="00D20CCA">
        <w:trPr>
          <w:trHeight w:val="13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2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Stratificazione normativa; modifica di norme di recente approvazione.</w:t>
            </w:r>
          </w:p>
        </w:tc>
      </w:tr>
      <w:tr w:rsidR="00541B8B" w:rsidRPr="00541B8B" w:rsidTr="00D20CCA">
        <w:trPr>
          <w:trHeight w:val="1916"/>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2a03" w:history="1">
              <w:r w:rsidR="00541B8B" w:rsidRPr="00541B8B">
                <w:rPr>
                  <w:rFonts w:cs="Arial"/>
                  <w:color w:val="0000FF"/>
                  <w:szCs w:val="22"/>
                  <w:u w:val="single"/>
                </w:rPr>
                <w:t>3</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Disposizione qualificata nella relazione illustrativa come “interpretazione autentica”, ma non formulata come tale, opera modifiche normative in modo non testuale.</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107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2a04" w:history="1">
              <w:r w:rsidR="00541B8B" w:rsidRPr="00541B8B">
                <w:rPr>
                  <w:rFonts w:cs="Arial"/>
                  <w:color w:val="0000FF"/>
                  <w:szCs w:val="22"/>
                  <w:u w:val="single"/>
                </w:rPr>
                <w:t>4</w:t>
              </w:r>
            </w:hyperlink>
            <w:r w:rsidR="00541B8B" w:rsidRPr="00541B8B">
              <w:rPr>
                <w:rFonts w:cs="Arial"/>
                <w:szCs w:val="22"/>
              </w:rPr>
              <w:t xml:space="preserve"> – Coerente utilizzo delle fonti normative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 xml:space="preserve">Adempimenti atipici. DPCM a carattere normativo. Richiami alla legge n. 400/1988 e all’articolo 1, comma 1, lettera </w:t>
            </w:r>
            <w:r w:rsidRPr="00541B8B">
              <w:rPr>
                <w:rFonts w:cs="Arial"/>
                <w:i/>
                <w:szCs w:val="22"/>
              </w:rPr>
              <w:t>ii)</w:t>
            </w:r>
            <w:r w:rsidRPr="00541B8B">
              <w:rPr>
                <w:rFonts w:cs="Arial"/>
                <w:szCs w:val="22"/>
              </w:rPr>
              <w:t xml:space="preserve">, della legge n. 13/1991. </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Raccomandazione 1</w:t>
            </w:r>
          </w:p>
        </w:tc>
      </w:tr>
      <w:tr w:rsidR="00541B8B" w:rsidRPr="00541B8B" w:rsidTr="00D20CCA">
        <w:trPr>
          <w:trHeight w:val="1317"/>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2a05" w:history="1">
              <w:r w:rsidR="00541B8B" w:rsidRPr="00541B8B">
                <w:rPr>
                  <w:rFonts w:cs="Arial"/>
                  <w:color w:val="0000FF"/>
                  <w:szCs w:val="22"/>
                  <w:u w:val="single"/>
                </w:rPr>
                <w:t>5</w:t>
              </w:r>
            </w:hyperlink>
            <w:r w:rsidR="00541B8B" w:rsidRPr="00541B8B">
              <w:rPr>
                <w:rFonts w:cs="Arial"/>
                <w:szCs w:val="22"/>
              </w:rPr>
              <w:t xml:space="preserve"> – Delegificazione spuria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 xml:space="preserve">DPCM abilitato a prorogare il termine fissato in una disposizione di rango primario. Richiamo all’articolo 17, comma 2, della legge n. 400/1988. </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Raccomandazione 1</w:t>
            </w:r>
          </w:p>
        </w:tc>
      </w:tr>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2a06" w:history="1">
              <w:r w:rsidR="00541B8B" w:rsidRPr="00541B8B">
                <w:rPr>
                  <w:color w:val="0000FF"/>
                  <w:szCs w:val="22"/>
                  <w:u w:val="single"/>
                </w:rPr>
                <w:t>6</w:t>
              </w:r>
            </w:hyperlink>
            <w:r w:rsidR="00541B8B" w:rsidRPr="00541B8B">
              <w:rPr>
                <w:szCs w:val="22"/>
              </w:rPr>
              <w:t xml:space="preserve"> – Formulazione del testo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Osservazione 2</w:t>
            </w:r>
          </w:p>
        </w:tc>
      </w:tr>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2a07" w:history="1">
              <w:r w:rsidR="00541B8B" w:rsidRPr="00541B8B">
                <w:rPr>
                  <w:rFonts w:cs="Arial"/>
                  <w:color w:val="0000FF"/>
                  <w:szCs w:val="22"/>
                  <w:u w:val="single"/>
                </w:rPr>
                <w:t>7</w:t>
              </w:r>
            </w:hyperlink>
            <w:r w:rsidR="00541B8B" w:rsidRPr="00541B8B">
              <w:rPr>
                <w:rFonts w:cs="Arial"/>
                <w:szCs w:val="22"/>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Cs w:val="22"/>
              </w:rPr>
            </w:pPr>
            <w:r w:rsidRPr="00541B8B">
              <w:rPr>
                <w:rFonts w:cs="Arial"/>
                <w:szCs w:val="22"/>
              </w:rPr>
              <w:t>Presenti.</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2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2R" w:history="1">
              <w:r w:rsidR="00541B8B" w:rsidRPr="00541B8B">
                <w:rPr>
                  <w:rFonts w:cs="Arial"/>
                  <w:color w:val="0000FF"/>
                  <w:szCs w:val="22"/>
                  <w:u w:val="single"/>
                </w:rPr>
                <w:t>R</w:t>
              </w:r>
            </w:hyperlink>
            <w:r w:rsidR="00541B8B" w:rsidRPr="00541B8B">
              <w:rPr>
                <w:rFonts w:cs="Arial"/>
                <w:szCs w:val="22"/>
              </w:rPr>
              <w:t xml:space="preserve"> - Raccomandazioni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lastRenderedPageBreak/>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 xml:space="preserve">Articolo 17, comma 2, della legge n. 400/1988, citata anche nel suo insieme; articolo 1, comma 1, lettera </w:t>
            </w:r>
            <w:r w:rsidRPr="00541B8B">
              <w:rPr>
                <w:rFonts w:cs="Arial"/>
                <w:szCs w:val="22"/>
              </w:rPr>
              <w:t>ii)</w:t>
            </w:r>
            <w:r w:rsidRPr="00541B8B">
              <w:rPr>
                <w:rFonts w:cs="Arial"/>
                <w:i/>
                <w:szCs w:val="22"/>
              </w:rPr>
              <w:t>, della legge n. 13/1991.</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65" w:name="S22a01"/>
      <w:r w:rsidRPr="00541B8B">
        <w:rPr>
          <w:rFonts w:cs="Arial"/>
          <w:szCs w:val="22"/>
        </w:rPr>
        <w:t>1</w:t>
      </w:r>
      <w:bookmarkEnd w:id="365"/>
      <w:r w:rsidRPr="00541B8B">
        <w:rPr>
          <w:rFonts w:cs="Arial"/>
          <w:szCs w:val="22"/>
        </w:rPr>
        <w:t xml:space="preserve"> – </w:t>
      </w:r>
      <w:hyperlink w:anchor="premessa22"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decreto-legge, che si compone di due soli articoli di natura sostanziale, reca un </w:t>
      </w:r>
      <w:r w:rsidRPr="00541B8B">
        <w:rPr>
          <w:rFonts w:cs="Arial"/>
          <w:b/>
          <w:szCs w:val="22"/>
        </w:rPr>
        <w:t>contenuto puntuale, omogeneo e corrispondente al titolo</w:t>
      </w:r>
      <w:r w:rsidRPr="00541B8B">
        <w:rPr>
          <w:rFonts w:cs="Arial"/>
          <w:szCs w:val="22"/>
        </w:rPr>
        <w:t xml:space="preserve">, in quanto contiene disposizioni finalizzate a perfezionare il procedimento di trasferimento a terzi delle attività aziendali del gruppo ILVA»;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66" w:name="S22a02"/>
      <w:r w:rsidRPr="00541B8B">
        <w:rPr>
          <w:rFonts w:cs="Arial"/>
          <w:szCs w:val="22"/>
        </w:rPr>
        <w:t>2</w:t>
      </w:r>
      <w:bookmarkEnd w:id="366"/>
      <w:r w:rsidRPr="00541B8B">
        <w:rPr>
          <w:rFonts w:cs="Arial"/>
          <w:szCs w:val="22"/>
        </w:rPr>
        <w:t xml:space="preserve"> – </w:t>
      </w:r>
      <w:hyperlink w:anchor="premessa2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szCs w:val="22"/>
        </w:rPr>
        <w:t xml:space="preserve">[il provvedimento] interviene su una materia che in tempi recenti ha visto la rapida successione di otto decreti-legge, che, da un lato, sono intervenuti a regime sulla normativa in materia di grandi imprese in crisi e, dall’altro, hanno dettato una disciplina specifica e per lo più derogatoria del quadro normativo vigente per risolvere la crisi economica ed ambientale dello stabilimento ILVA di Taranto e del gruppo industriale; in tale quadro normativo, gli articoli 1 e 2 intervengono – rendendola più complessa e spostandone in avanti il termine finale di attuazione – su </w:t>
      </w:r>
      <w:r w:rsidRPr="00541B8B">
        <w:rPr>
          <w:b/>
          <w:szCs w:val="22"/>
        </w:rPr>
        <w:t>una disciplina soggetta a frequenti assestamenti</w:t>
      </w:r>
      <w:r w:rsidRPr="00541B8B">
        <w:rPr>
          <w:szCs w:val="22"/>
        </w:rPr>
        <w:t xml:space="preserve">, </w:t>
      </w:r>
      <w:r w:rsidRPr="00541B8B">
        <w:rPr>
          <w:b/>
          <w:szCs w:val="22"/>
        </w:rPr>
        <w:t>anche di recentissima formulazione</w:t>
      </w:r>
      <w:r w:rsidRPr="00541B8B">
        <w:rPr>
          <w:szCs w:val="22"/>
        </w:rPr>
        <w:t>, tra l’altro modificando in più punti il decreto-legge 4 dicembre 2015, n. 191, convertito, con modificazioni, dalla legge 1° febbraio 2016, n. 13</w:t>
      </w:r>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67" w:name="S22a03"/>
      <w:r w:rsidRPr="00541B8B">
        <w:rPr>
          <w:rFonts w:cs="Arial"/>
          <w:szCs w:val="22"/>
        </w:rPr>
        <w:t>3</w:t>
      </w:r>
      <w:bookmarkEnd w:id="367"/>
      <w:r w:rsidRPr="00541B8B">
        <w:rPr>
          <w:rFonts w:cs="Arial"/>
          <w:szCs w:val="22"/>
        </w:rPr>
        <w:t xml:space="preserve"> – </w:t>
      </w:r>
      <w:hyperlink w:anchor="premessa2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decreto-legge, all’articolo 1, comma 2 – con norma qualificata di interpretazione autentica nella relazione illustrativa ma non formulata come tale – agisce in maniera </w:t>
      </w:r>
      <w:r w:rsidRPr="00541B8B">
        <w:rPr>
          <w:rFonts w:cs="Arial"/>
          <w:b/>
          <w:szCs w:val="22"/>
        </w:rPr>
        <w:t>non testuale</w:t>
      </w:r>
      <w:r w:rsidRPr="00541B8B">
        <w:rPr>
          <w:rFonts w:cs="Arial"/>
          <w:szCs w:val="22"/>
        </w:rPr>
        <w:t xml:space="preserve"> sul combinato disposto dell’articolo 104-</w:t>
      </w:r>
      <w:r w:rsidRPr="00541B8B">
        <w:rPr>
          <w:rFonts w:cs="Arial"/>
          <w:i/>
          <w:szCs w:val="22"/>
        </w:rPr>
        <w:t>bis</w:t>
      </w:r>
      <w:r w:rsidRPr="00541B8B">
        <w:rPr>
          <w:rFonts w:cs="Arial"/>
          <w:szCs w:val="22"/>
        </w:rPr>
        <w:t>, commi terzo e quinto, del regio decreto 16 marzo 1942, n. 267 e dell’articolo 4, comma 4-</w:t>
      </w:r>
      <w:r w:rsidRPr="00541B8B">
        <w:rPr>
          <w:rFonts w:cs="Arial"/>
          <w:i/>
          <w:szCs w:val="22"/>
        </w:rPr>
        <w:t>quater</w:t>
      </w:r>
      <w:r w:rsidRPr="00541B8B">
        <w:rPr>
          <w:rFonts w:cs="Arial"/>
          <w:szCs w:val="22"/>
        </w:rPr>
        <w:t>, del decreto-legge 23 dicembre 2003, n. 347» (</w:t>
      </w:r>
      <w:hyperlink w:anchor="S22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68" w:name="S22a04"/>
      <w:r w:rsidRPr="00541B8B">
        <w:rPr>
          <w:rFonts w:cs="Arial"/>
          <w:szCs w:val="22"/>
        </w:rPr>
        <w:t>4</w:t>
      </w:r>
      <w:bookmarkEnd w:id="368"/>
      <w:r w:rsidRPr="00541B8B">
        <w:rPr>
          <w:rFonts w:cs="Arial"/>
          <w:szCs w:val="22"/>
        </w:rPr>
        <w:t xml:space="preserve"> - </w:t>
      </w:r>
      <w:hyperlink w:anchor="premessa2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decreto-legge, all’articolo 1, comma 1, lettera </w:t>
      </w:r>
      <w:r w:rsidRPr="00541B8B">
        <w:rPr>
          <w:rFonts w:cs="Arial"/>
          <w:i/>
          <w:szCs w:val="22"/>
        </w:rPr>
        <w:t>b</w:t>
      </w:r>
      <w:r w:rsidRPr="00541B8B">
        <w:rPr>
          <w:rFonts w:cs="Arial"/>
          <w:szCs w:val="22"/>
        </w:rPr>
        <w:t xml:space="preserve">), nel novellare l’articolo 1, comma 8, del decreto-legge n. 191 del 2015, perpetua la catena di </w:t>
      </w:r>
      <w:r w:rsidRPr="00541B8B">
        <w:rPr>
          <w:rFonts w:cs="Arial"/>
          <w:b/>
          <w:szCs w:val="22"/>
        </w:rPr>
        <w:t>decreti del Presidente del Consiglio dei ministri</w:t>
      </w:r>
      <w:r w:rsidRPr="00541B8B">
        <w:rPr>
          <w:rFonts w:cs="Arial"/>
          <w:szCs w:val="22"/>
        </w:rPr>
        <w:t xml:space="preserve"> su proposta dei Ministri di settore prevista con riguardo alla vicenda ILVA, prevedendo, in particolare, che eventuali modifiche al Piano delle misure e delle attività di tutela ambientale e sanitaria debbano essere approvate con la stessa procedura prevista per l’adozione del Piano stesso: </w:t>
      </w:r>
      <w:r w:rsidRPr="00541B8B">
        <w:rPr>
          <w:rFonts w:cs="Arial"/>
          <w:b/>
          <w:szCs w:val="22"/>
        </w:rPr>
        <w:t>DPCM su proposta dei Ministri di settore, previa deliberazione del Consiglio dei ministri</w:t>
      </w:r>
      <w:r w:rsidRPr="00541B8B">
        <w:rPr>
          <w:rFonts w:cs="Arial"/>
          <w:szCs w:val="22"/>
        </w:rPr>
        <w:t xml:space="preserve">. In tal modo, si deroga implicitamente alla </w:t>
      </w:r>
      <w:r w:rsidRPr="00541B8B">
        <w:rPr>
          <w:rFonts w:cs="Arial"/>
          <w:b/>
          <w:szCs w:val="22"/>
        </w:rPr>
        <w:t>legge n. 400 del 1988</w:t>
      </w:r>
      <w:r w:rsidRPr="00541B8B">
        <w:rPr>
          <w:rFonts w:cs="Arial"/>
          <w:szCs w:val="22"/>
        </w:rPr>
        <w:t xml:space="preserve"> (che non prevede in via generale l'adozione di DPCM su proposta di ministri) e all’</w:t>
      </w:r>
      <w:r w:rsidRPr="00541B8B">
        <w:rPr>
          <w:rFonts w:cs="Arial"/>
          <w:b/>
          <w:szCs w:val="22"/>
        </w:rPr>
        <w:t xml:space="preserve">articolo 1, comma 1, lettera </w:t>
      </w:r>
      <w:r w:rsidRPr="00541B8B">
        <w:rPr>
          <w:rFonts w:cs="Arial"/>
          <w:b/>
          <w:i/>
          <w:szCs w:val="22"/>
        </w:rPr>
        <w:t>ii</w:t>
      </w:r>
      <w:r w:rsidRPr="00541B8B">
        <w:rPr>
          <w:rFonts w:cs="Arial"/>
          <w:b/>
          <w:szCs w:val="22"/>
        </w:rPr>
        <w:t>) della legge 12 gennaio 1991, n. 13</w:t>
      </w:r>
      <w:r w:rsidRPr="00541B8B">
        <w:rPr>
          <w:rFonts w:cs="Arial"/>
          <w:szCs w:val="22"/>
        </w:rPr>
        <w:t>, in base alla quale sono adottati con decreto del Presidente della Repubblica “tutti gli atti per i quali è intervenuta la deliberazione del Consiglio dei Ministri”» (</w:t>
      </w:r>
      <w:hyperlink w:anchor="S22r01" w:history="1">
        <w:r w:rsidRPr="00541B8B">
          <w:rPr>
            <w:rFonts w:cs="Arial"/>
            <w:b/>
            <w:color w:val="0000FF"/>
            <w:szCs w:val="22"/>
            <w:u w:val="single"/>
          </w:rPr>
          <w:t>conseguente raccomandazione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69" w:name="S22a05"/>
      <w:r w:rsidRPr="00541B8B">
        <w:rPr>
          <w:rFonts w:cs="Arial"/>
          <w:szCs w:val="22"/>
        </w:rPr>
        <w:t>5</w:t>
      </w:r>
      <w:bookmarkEnd w:id="369"/>
      <w:r w:rsidRPr="00541B8B">
        <w:rPr>
          <w:rFonts w:cs="Arial"/>
          <w:szCs w:val="22"/>
        </w:rPr>
        <w:t xml:space="preserve"> - </w:t>
      </w:r>
      <w:hyperlink w:anchor="premessa2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«all’articolo 1, comma 4, lettera </w:t>
      </w:r>
      <w:r w:rsidRPr="00541B8B">
        <w:rPr>
          <w:rFonts w:cs="Arial"/>
          <w:i/>
          <w:szCs w:val="22"/>
        </w:rPr>
        <w:t>a</w:t>
      </w:r>
      <w:r w:rsidRPr="00541B8B">
        <w:rPr>
          <w:rFonts w:cs="Arial"/>
          <w:szCs w:val="22"/>
        </w:rPr>
        <w:t xml:space="preserve">), nel novellare il comma 5 dell’articolo 2 del decreto-legge n. 1 del 2015, demanda al sopra citato decreto del Presidente del Consiglio dei ministri, la possibilità di prorogare il termine ultimo per l’attuazione del piano, </w:t>
      </w:r>
      <w:r w:rsidRPr="00541B8B">
        <w:rPr>
          <w:rFonts w:cs="Arial"/>
          <w:szCs w:val="22"/>
        </w:rPr>
        <w:lastRenderedPageBreak/>
        <w:t xml:space="preserve">indicato nel 30 giugno 2017 dalla stessa disposizione, operando così un sorta di </w:t>
      </w:r>
      <w:r w:rsidRPr="00541B8B">
        <w:rPr>
          <w:rFonts w:cs="Arial"/>
          <w:b/>
          <w:szCs w:val="22"/>
        </w:rPr>
        <w:t>delegificazione</w:t>
      </w:r>
      <w:r w:rsidRPr="00541B8B">
        <w:rPr>
          <w:rFonts w:cs="Arial"/>
          <w:szCs w:val="22"/>
        </w:rPr>
        <w:t xml:space="preserve"> secondo una procedura che si discosta dalla procedura delineata dall’</w:t>
      </w:r>
      <w:r w:rsidRPr="00541B8B">
        <w:rPr>
          <w:rFonts w:cs="Arial"/>
          <w:b/>
          <w:szCs w:val="22"/>
        </w:rPr>
        <w:t>articolo 17, comma 2, della legge n. 400 del 1988</w:t>
      </w:r>
      <w:r w:rsidRPr="00541B8B">
        <w:rPr>
          <w:rFonts w:cs="Arial"/>
          <w:szCs w:val="22"/>
        </w:rPr>
        <w:t>, per i regolamenti di delegificazione, e che, per costante indirizzo del Comitato per la legislazione, non corrisponde ad un corretto utilizzo delle fonti normative» (</w:t>
      </w:r>
      <w:hyperlink w:anchor="S22r01" w:history="1">
        <w:r w:rsidRPr="00541B8B">
          <w:rPr>
            <w:rFonts w:cs="Arial"/>
            <w:b/>
            <w:color w:val="0000FF"/>
            <w:szCs w:val="22"/>
            <w:u w:val="single"/>
          </w:rPr>
          <w:t>conseguente raccomandazione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70" w:name="S22a06"/>
      <w:r w:rsidRPr="00541B8B">
        <w:rPr>
          <w:rFonts w:cs="Arial"/>
          <w:szCs w:val="22"/>
        </w:rPr>
        <w:t>6</w:t>
      </w:r>
      <w:bookmarkEnd w:id="370"/>
      <w:r w:rsidRPr="00541B8B">
        <w:rPr>
          <w:rFonts w:cs="Arial"/>
          <w:szCs w:val="22"/>
        </w:rPr>
        <w:t xml:space="preserve"> - </w:t>
      </w:r>
      <w:hyperlink w:anchor="premessa2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«all’articolo 1, comma 1, lettera </w:t>
      </w:r>
      <w:r w:rsidRPr="00541B8B">
        <w:rPr>
          <w:rFonts w:cs="Arial"/>
          <w:i/>
          <w:szCs w:val="22"/>
        </w:rPr>
        <w:t>b</w:t>
      </w:r>
      <w:r w:rsidRPr="00541B8B">
        <w:rPr>
          <w:rFonts w:cs="Arial"/>
          <w:szCs w:val="22"/>
        </w:rPr>
        <w:t xml:space="preserve">), capoverso comma 8 terzo periodo, dovrebbe infine essere espunto </w:t>
      </w:r>
      <w:r w:rsidRPr="00541B8B">
        <w:rPr>
          <w:rFonts w:cs="Arial"/>
          <w:b/>
          <w:szCs w:val="22"/>
        </w:rPr>
        <w:t>il riferimento</w:t>
      </w:r>
      <w:r w:rsidRPr="00541B8B">
        <w:rPr>
          <w:rFonts w:cs="Arial"/>
          <w:szCs w:val="22"/>
        </w:rPr>
        <w:t xml:space="preserve"> ivi contenuto al parere “del comitato degli esperti”, tenuto conto che, in base alla nuova disciplina, il parere è espresso dal Ministro dell’ambiente, previa istruttoria del Comitato» (</w:t>
      </w:r>
      <w:hyperlink w:anchor="S22o02"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71" w:name="S22a07"/>
      <w:r w:rsidRPr="00541B8B">
        <w:rPr>
          <w:rFonts w:cs="Arial"/>
          <w:szCs w:val="22"/>
        </w:rPr>
        <w:t>7</w:t>
      </w:r>
      <w:bookmarkEnd w:id="371"/>
      <w:r w:rsidRPr="00541B8B">
        <w:rPr>
          <w:rFonts w:cs="Arial"/>
          <w:szCs w:val="22"/>
        </w:rPr>
        <w:t xml:space="preserve"> - </w:t>
      </w:r>
      <w:hyperlink w:anchor="premessa22"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 </w:t>
      </w:r>
      <w:r w:rsidRPr="00541B8B">
        <w:rPr>
          <w:rFonts w:cs="Arial"/>
          <w:szCs w:val="22"/>
        </w:rPr>
        <w:t>il disegno di legge non è corredato né della relazione sull’analisi tecnico-normativa (</w:t>
      </w:r>
      <w:r w:rsidRPr="00541B8B">
        <w:rPr>
          <w:rFonts w:cs="Arial"/>
          <w:b/>
          <w:szCs w:val="22"/>
        </w:rPr>
        <w:t>ATN</w:t>
      </w:r>
      <w:r w:rsidRPr="00541B8B">
        <w:rPr>
          <w:rFonts w:cs="Arial"/>
          <w:szCs w:val="22"/>
        </w:rPr>
        <w:t>), né della relazione sull’analisi di impatto della regolamentazione (</w:t>
      </w:r>
      <w:r w:rsidRPr="00541B8B">
        <w:rPr>
          <w:rFonts w:cs="Arial"/>
          <w:b/>
          <w:szCs w:val="22"/>
        </w:rPr>
        <w:t>AIR</w:t>
      </w:r>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372" w:name="S22O"/>
      <w:r w:rsidRPr="00541B8B">
        <w:rPr>
          <w:rFonts w:cs="Arial"/>
          <w:b/>
          <w:szCs w:val="22"/>
        </w:rPr>
        <w:t>Osservazioni</w:t>
      </w:r>
      <w:bookmarkEnd w:id="372"/>
      <w:r w:rsidRPr="00541B8B">
        <w:rPr>
          <w:rFonts w:cs="Arial"/>
          <w:b/>
          <w:szCs w:val="22"/>
        </w:rPr>
        <w:t>:</w:t>
      </w:r>
    </w:p>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Lines="60" w:after="144" w:line="300" w:lineRule="exact"/>
        <w:ind w:left="284"/>
        <w:contextualSpacing/>
        <w:rPr>
          <w:rFonts w:cs="Arial"/>
          <w:szCs w:val="22"/>
        </w:rPr>
      </w:pPr>
      <w:bookmarkStart w:id="373" w:name="S22o01"/>
      <w:r w:rsidRPr="00541B8B">
        <w:rPr>
          <w:szCs w:val="22"/>
        </w:rPr>
        <w:t>1)</w:t>
      </w:r>
      <w:bookmarkEnd w:id="373"/>
      <w:r w:rsidRPr="00541B8B">
        <w:rPr>
          <w:szCs w:val="22"/>
        </w:rPr>
        <w:tab/>
        <w:t>per quanto detto in premessa, si dovrebbe riformulare la norma contenuta all’articolo 1, comma 2, in termini di novella all’articolo 104-</w:t>
      </w:r>
      <w:r w:rsidRPr="00541B8B">
        <w:rPr>
          <w:i/>
          <w:szCs w:val="22"/>
        </w:rPr>
        <w:t>bis</w:t>
      </w:r>
      <w:r w:rsidRPr="00541B8B">
        <w:rPr>
          <w:szCs w:val="22"/>
        </w:rPr>
        <w:t>, commi terzo e quinto, del regio decreto 16 marzo 1942, n. 267;</w:t>
      </w:r>
      <w:r w:rsidRPr="00541B8B">
        <w:rPr>
          <w:rFonts w:cs="Arial"/>
          <w:szCs w:val="22"/>
        </w:rPr>
        <w:t xml:space="preserve"> [</w:t>
      </w:r>
      <w:hyperlink w:anchor="premessa2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Lines="60" w:after="144" w:line="300" w:lineRule="exact"/>
        <w:ind w:left="284"/>
        <w:contextualSpacing/>
        <w:rPr>
          <w:rFonts w:cs="Arial"/>
          <w:szCs w:val="22"/>
        </w:rPr>
      </w:pPr>
      <w:bookmarkStart w:id="374" w:name="S22o02"/>
      <w:r w:rsidRPr="00541B8B">
        <w:rPr>
          <w:rFonts w:cs="Arial"/>
          <w:szCs w:val="22"/>
        </w:rPr>
        <w:t>2)</w:t>
      </w:r>
      <w:bookmarkEnd w:id="374"/>
      <w:r w:rsidRPr="00541B8B">
        <w:rPr>
          <w:rFonts w:cs="Arial"/>
          <w:szCs w:val="22"/>
        </w:rPr>
        <w:tab/>
      </w:r>
      <w:r w:rsidRPr="00541B8B">
        <w:rPr>
          <w:szCs w:val="22"/>
        </w:rPr>
        <w:t xml:space="preserve">per quanto detto in premessa, all’articolo 1, comma 1, lettera </w:t>
      </w:r>
      <w:r w:rsidRPr="00541B8B">
        <w:rPr>
          <w:i/>
          <w:szCs w:val="22"/>
        </w:rPr>
        <w:t>b</w:t>
      </w:r>
      <w:r w:rsidRPr="00541B8B">
        <w:rPr>
          <w:szCs w:val="22"/>
        </w:rPr>
        <w:t xml:space="preserve">), capoverso articolo 1, comma 8, terzo periodo, si dovrebbe sopprimere l’inciso “del comitato degli esperti”; </w:t>
      </w:r>
      <w:r w:rsidRPr="00541B8B">
        <w:rPr>
          <w:rFonts w:cs="Arial"/>
          <w:szCs w:val="22"/>
        </w:rPr>
        <w:t>[</w:t>
      </w:r>
      <w:hyperlink w:anchor="premessa2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375" w:name="S22R"/>
      <w:r w:rsidRPr="00541B8B">
        <w:rPr>
          <w:rFonts w:cs="Arial"/>
          <w:b/>
          <w:szCs w:val="22"/>
        </w:rPr>
        <w:t>Raccomandazione</w:t>
      </w:r>
      <w:bookmarkEnd w:id="375"/>
      <w:r w:rsidRPr="00541B8B">
        <w:rPr>
          <w:rFonts w:cs="Arial"/>
          <w:b/>
          <w:szCs w:val="22"/>
        </w:rPr>
        <w:t>:</w:t>
      </w:r>
    </w:p>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Lines="60" w:after="144" w:line="300" w:lineRule="exact"/>
        <w:ind w:left="284"/>
        <w:contextualSpacing/>
        <w:rPr>
          <w:rFonts w:cs="Arial"/>
          <w:szCs w:val="22"/>
        </w:rPr>
      </w:pPr>
      <w:bookmarkStart w:id="376" w:name="S22r01"/>
      <w:r w:rsidRPr="00541B8B">
        <w:rPr>
          <w:rFonts w:cs="Arial"/>
          <w:szCs w:val="22"/>
        </w:rPr>
        <w:t>1)</w:t>
      </w:r>
      <w:bookmarkEnd w:id="376"/>
      <w:r w:rsidRPr="00541B8B">
        <w:rPr>
          <w:rFonts w:cs="Arial"/>
          <w:szCs w:val="22"/>
        </w:rPr>
        <w:tab/>
      </w:r>
      <w:r w:rsidRPr="00541B8B">
        <w:rPr>
          <w:szCs w:val="22"/>
        </w:rPr>
        <w:t>ribadendo il rilievo già più volte formulato sulla necessità che sia assicurata la coerenza degli strumenti normativi impiegati con particolare riguardo all’esigenza di garantire che ciascuno di essi sia utilizzato in modo coerente rispetto alle proprie caratteristiche e sia adottato sulla base della procedura per esso prevista,</w:t>
      </w:r>
      <w:r w:rsidRPr="00541B8B">
        <w:rPr>
          <w:b/>
          <w:szCs w:val="22"/>
        </w:rPr>
        <w:t xml:space="preserve"> </w:t>
      </w:r>
      <w:r w:rsidRPr="00541B8B">
        <w:rPr>
          <w:szCs w:val="22"/>
        </w:rPr>
        <w:t xml:space="preserve">abbia in particolare cura il legislatore di attenersi al procedimento delineato dall’articolo 1, comma 1, lettera </w:t>
      </w:r>
      <w:r w:rsidRPr="00541B8B">
        <w:rPr>
          <w:i/>
          <w:szCs w:val="22"/>
        </w:rPr>
        <w:t>ii</w:t>
      </w:r>
      <w:r w:rsidRPr="00541B8B">
        <w:rPr>
          <w:szCs w:val="22"/>
        </w:rPr>
        <w:t>) della legge 12 gennaio 1991, n. 13, in base alla quale “tutti gli atti per i quali è intervenuta la deliberazione del Consiglio dei Ministri” sono adottati con decreto del Presidente della Repubblica, astenendosi conseguentemente dal prevedere l’adozione di decreti del Presidente del Consiglio previa delibera del Consiglio dei ministri e dall’assegnare a tali fonti compiti normativi di tipi primario.</w:t>
      </w:r>
      <w:r w:rsidRPr="00541B8B">
        <w:rPr>
          <w:rFonts w:cs="Arial"/>
          <w:szCs w:val="22"/>
        </w:rPr>
        <w:t xml:space="preserve"> [</w:t>
      </w:r>
      <w:hyperlink w:anchor="premessa22"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0023</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1460-B</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19" w:history="1">
              <w:r w:rsidR="00541B8B" w:rsidRPr="00541B8B">
                <w:rPr>
                  <w:rFonts w:cs="Arial"/>
                  <w:color w:val="0000FF"/>
                  <w:szCs w:val="22"/>
                  <w:u w:val="single"/>
                </w:rPr>
                <w:t>pdl</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Ratifica Convenzione assistenza giudiziaria penale</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20" w:anchor="data.20160629.com48.bollettino.sede00010.tit00010" w:history="1">
              <w:r w:rsidR="00541B8B" w:rsidRPr="00541B8B">
                <w:rPr>
                  <w:rFonts w:cs="Arial"/>
                  <w:color w:val="0000FF"/>
                  <w:szCs w:val="22"/>
                  <w:u w:val="single"/>
                </w:rPr>
                <w:t>29/06/2016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16-</w:t>
            </w:r>
            <w:r w:rsidRPr="00541B8B">
              <w:rPr>
                <w:rFonts w:cs="Arial"/>
                <w:b/>
                <w:bCs/>
                <w:i/>
                <w:sz w:val="24"/>
                <w:szCs w:val="24"/>
              </w:rPr>
              <w:t>BIS</w:t>
            </w:r>
            <w:r w:rsidRPr="00541B8B">
              <w:rPr>
                <w:rFonts w:cs="Arial"/>
                <w:b/>
                <w:bCs/>
                <w:sz w:val="24"/>
                <w:szCs w:val="24"/>
              </w:rPr>
              <w:t>, COMMA 6-</w:t>
            </w:r>
            <w:r w:rsidRPr="00541B8B">
              <w:rPr>
                <w:rFonts w:cs="Arial"/>
                <w:b/>
                <w:bCs/>
                <w:i/>
                <w:sz w:val="24"/>
                <w:szCs w:val="24"/>
              </w:rPr>
              <w:t>BIS</w:t>
            </w:r>
            <w:r w:rsidRPr="00541B8B">
              <w:rPr>
                <w:rFonts w:cs="Arial"/>
                <w:b/>
                <w:bCs/>
                <w:sz w:val="24"/>
                <w:szCs w:val="24"/>
              </w:rPr>
              <w:t>,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377" w:name="premessa23"/>
            <w:r w:rsidRPr="00541B8B">
              <w:rPr>
                <w:rFonts w:cs="Arial"/>
                <w:b/>
                <w:color w:val="0000FF"/>
                <w:sz w:val="24"/>
                <w:szCs w:val="24"/>
              </w:rPr>
              <w:t>Premessa</w:t>
            </w:r>
            <w:bookmarkEnd w:id="377"/>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Osservazioni 2</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3a01" w:history="1">
              <w:r w:rsidR="00541B8B" w:rsidRPr="00541B8B">
                <w:rPr>
                  <w:rFonts w:cs="Arial"/>
                  <w:color w:val="0000FF"/>
                  <w:szCs w:val="22"/>
                  <w:u w:val="single"/>
                </w:rPr>
                <w:t>1</w:t>
              </w:r>
            </w:hyperlink>
            <w:r w:rsidR="00541B8B" w:rsidRPr="00541B8B">
              <w:rPr>
                <w:rFonts w:cs="Arial"/>
                <w:szCs w:val="22"/>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Cs w:val="22"/>
              </w:rPr>
            </w:pP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3a02" w:history="1">
              <w:r w:rsidR="00541B8B" w:rsidRPr="00541B8B">
                <w:rPr>
                  <w:rFonts w:cs="Arial"/>
                  <w:color w:val="0000FF"/>
                  <w:szCs w:val="22"/>
                  <w:u w:val="single"/>
                </w:rPr>
                <w:t>2</w:t>
              </w:r>
            </w:hyperlink>
            <w:r w:rsidR="00541B8B" w:rsidRPr="00541B8B">
              <w:rPr>
                <w:rFonts w:cs="Arial"/>
                <w:szCs w:val="22"/>
              </w:rPr>
              <w:t xml:space="preserve"> – 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Cs w:val="22"/>
              </w:rPr>
            </w:pPr>
            <w:r w:rsidRPr="00541B8B">
              <w:rPr>
                <w:rFonts w:cs="Arial"/>
                <w:szCs w:val="22"/>
              </w:rPr>
              <w:t>Sovrapposizioni tra principi e criteri direttivi.</w:t>
            </w:r>
          </w:p>
          <w:p w:rsidR="00541B8B" w:rsidRPr="00541B8B" w:rsidRDefault="00541B8B" w:rsidP="00541B8B">
            <w:pPr>
              <w:spacing w:before="100" w:beforeAutospacing="1" w:after="100" w:afterAutospacing="1"/>
              <w:ind w:firstLine="0"/>
              <w:contextualSpacing/>
              <w:jc w:val="left"/>
              <w:rPr>
                <w:rFonts w:cs="Arial"/>
                <w:szCs w:val="22"/>
              </w:rPr>
            </w:pPr>
            <w:r w:rsidRPr="00541B8B">
              <w:rPr>
                <w:rFonts w:cs="Arial"/>
                <w:szCs w:val="22"/>
              </w:rPr>
              <w:t>Osservazione 1</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3a02bis" w:history="1">
              <w:r w:rsidR="00541B8B" w:rsidRPr="00541B8B">
                <w:rPr>
                  <w:color w:val="0000FF"/>
                  <w:szCs w:val="22"/>
                  <w:u w:val="single"/>
                </w:rPr>
                <w:t>2-</w:t>
              </w:r>
              <w:r w:rsidR="00541B8B" w:rsidRPr="00541B8B">
                <w:rPr>
                  <w:i/>
                  <w:color w:val="0000FF"/>
                  <w:szCs w:val="22"/>
                  <w:u w:val="single"/>
                </w:rPr>
                <w:t>bis</w:t>
              </w:r>
            </w:hyperlink>
            <w:r w:rsidR="00541B8B" w:rsidRPr="00541B8B">
              <w:rPr>
                <w:szCs w:val="22"/>
              </w:rPr>
              <w:t xml:space="preserve"> - </w:t>
            </w:r>
            <w:r w:rsidR="00541B8B" w:rsidRPr="00541B8B">
              <w:rPr>
                <w:rFonts w:cs="Arial"/>
                <w:szCs w:val="22"/>
              </w:rPr>
              <w:t>Disposizioni di delega: principi e criteri direttivi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Cs w:val="22"/>
              </w:rPr>
            </w:pPr>
            <w:r w:rsidRPr="00541B8B">
              <w:rPr>
                <w:rFonts w:cs="Arial"/>
                <w:szCs w:val="22"/>
              </w:rPr>
              <w:t>Formulazione del testo. Richiamo all’articolo 26 della Costituzione.</w:t>
            </w:r>
          </w:p>
          <w:p w:rsidR="00541B8B" w:rsidRPr="00541B8B" w:rsidRDefault="00541B8B" w:rsidP="00541B8B">
            <w:pPr>
              <w:spacing w:before="100" w:beforeAutospacing="1" w:after="100" w:afterAutospacing="1"/>
              <w:ind w:firstLine="0"/>
              <w:contextualSpacing/>
              <w:jc w:val="left"/>
              <w:rPr>
                <w:rFonts w:cs="Arial"/>
                <w:szCs w:val="22"/>
              </w:rPr>
            </w:pPr>
            <w:r w:rsidRPr="00541B8B">
              <w:rPr>
                <w:rFonts w:cs="Arial"/>
                <w:szCs w:val="22"/>
              </w:rPr>
              <w:t>Osservazione 2</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2449" w:type="pct"/>
        <w:tblLook w:val="01E0" w:firstRow="1" w:lastRow="1" w:firstColumn="1" w:lastColumn="1" w:noHBand="0" w:noVBand="0"/>
      </w:tblPr>
      <w:tblGrid>
        <w:gridCol w:w="4548"/>
      </w:tblGrid>
      <w:tr w:rsidR="00541B8B" w:rsidRPr="00541B8B" w:rsidTr="00D20CCA">
        <w:trPr>
          <w:trHeight w:val="423"/>
        </w:trPr>
        <w:tc>
          <w:tcPr>
            <w:tcW w:w="500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3O" w:history="1">
              <w:r w:rsidR="00541B8B" w:rsidRPr="00541B8B">
                <w:rPr>
                  <w:rFonts w:cs="Arial"/>
                  <w:color w:val="0000FF"/>
                  <w:szCs w:val="22"/>
                  <w:u w:val="single"/>
                </w:rPr>
                <w:t>O</w:t>
              </w:r>
            </w:hyperlink>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Articolo 26 della Costituzione; parere del Comitato in prima lettura il 22/12/2014 – Scheda 32</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78" w:name="S23a01"/>
      <w:r w:rsidRPr="00541B8B">
        <w:rPr>
          <w:rFonts w:cs="Arial"/>
          <w:szCs w:val="22"/>
        </w:rPr>
        <w:t>1</w:t>
      </w:r>
      <w:bookmarkEnd w:id="378"/>
      <w:r w:rsidRPr="00541B8B">
        <w:rPr>
          <w:rFonts w:cs="Arial"/>
          <w:szCs w:val="22"/>
        </w:rPr>
        <w:t xml:space="preserve"> – </w:t>
      </w:r>
      <w:hyperlink w:anchor="premessa23"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«la proposta di legge reca un </w:t>
      </w:r>
      <w:r w:rsidRPr="00541B8B">
        <w:rPr>
          <w:rFonts w:cs="Arial"/>
          <w:b/>
          <w:szCs w:val="22"/>
        </w:rPr>
        <w:t>contenuto omogeneo</w:t>
      </w:r>
      <w:r w:rsidRPr="00541B8B">
        <w:rPr>
          <w:rFonts w:cs="Arial"/>
          <w:szCs w:val="22"/>
        </w:rPr>
        <w:t xml:space="preserve">, essendo volta a dare applicazione nell’ordinamento interno a una fonte convenzionale europea, mediante la ratifica, l’ordine di esecuzione e il conferimento di una delega legislativa per il conseguente adeguamento e coordinamento dell’ordinamento nazionale»;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79" w:name="S23a02"/>
      <w:r w:rsidRPr="00541B8B">
        <w:rPr>
          <w:rFonts w:cs="Arial"/>
          <w:szCs w:val="22"/>
        </w:rPr>
        <w:t>2</w:t>
      </w:r>
      <w:bookmarkEnd w:id="379"/>
      <w:r w:rsidRPr="00541B8B">
        <w:rPr>
          <w:rFonts w:cs="Arial"/>
          <w:szCs w:val="22"/>
        </w:rPr>
        <w:t xml:space="preserve"> – </w:t>
      </w:r>
      <w:hyperlink w:anchor="premessa2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rFonts w:cs="Arial"/>
          <w:bCs/>
          <w:iCs/>
          <w:szCs w:val="22"/>
        </w:rPr>
        <w:t xml:space="preserve">con riferimento alla </w:t>
      </w:r>
      <w:r w:rsidRPr="00541B8B">
        <w:rPr>
          <w:rFonts w:cs="Arial"/>
          <w:b/>
          <w:bCs/>
          <w:iCs/>
          <w:szCs w:val="22"/>
        </w:rPr>
        <w:t>formulazione delle norme di delega</w:t>
      </w:r>
      <w:r w:rsidRPr="00541B8B">
        <w:rPr>
          <w:rFonts w:cs="Arial"/>
          <w:bCs/>
          <w:iCs/>
          <w:szCs w:val="22"/>
        </w:rPr>
        <w:t xml:space="preserve">, a seguito dell’esame della proposta di legge presso l’altro ramo del Parlamento, molti dei principi e dei criteri direttivi ai quali il Governo deve attenersi nell’esercizio delle deleghe ad esso conferite risultano meglio precisati mentre, con specifico riguardo alla delega al Governo per la riforma del libro XI del codice di procedura penale, contenuta all’articolo 4, comma 1, nel corso dell’esame al Senato sono stati inseriti numerosi nuovi principi e criteri direttivi; per effetto delle anzidette modifiche, risulta meglio circoscritto e definito il potere discrezionale conferito al Governo; tuttavia, il principio introdotto all’articolo 4, comma 1, lettera </w:t>
      </w:r>
      <w:r w:rsidRPr="00541B8B">
        <w:rPr>
          <w:rFonts w:cs="Arial"/>
          <w:bCs/>
          <w:i/>
          <w:iCs/>
          <w:szCs w:val="22"/>
        </w:rPr>
        <w:t>b</w:t>
      </w:r>
      <w:r w:rsidRPr="00541B8B">
        <w:rPr>
          <w:rFonts w:cs="Arial"/>
          <w:bCs/>
          <w:iCs/>
          <w:szCs w:val="22"/>
        </w:rPr>
        <w:t xml:space="preserve">), concernente i limiti del rifiuto – da parte del Ministro della giustizia – della domanda di assistenza giudiziaria, tende a sovrapporsi a quello già contenuto alla lettera </w:t>
      </w:r>
      <w:r w:rsidRPr="00541B8B">
        <w:rPr>
          <w:rFonts w:cs="Arial"/>
          <w:bCs/>
          <w:i/>
          <w:iCs/>
          <w:szCs w:val="22"/>
        </w:rPr>
        <w:t>c</w:t>
      </w:r>
      <w:r w:rsidRPr="00541B8B">
        <w:rPr>
          <w:rFonts w:cs="Arial"/>
          <w:bCs/>
          <w:iCs/>
          <w:szCs w:val="22"/>
        </w:rPr>
        <w:t>), n. 1), con il quale la nuova previsione andrebbe coordinata</w:t>
      </w:r>
      <w:r w:rsidRPr="00541B8B">
        <w:rPr>
          <w:rFonts w:cs="Arial"/>
          <w:szCs w:val="22"/>
        </w:rPr>
        <w:t>» (</w:t>
      </w:r>
      <w:hyperlink w:anchor="S23o01"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80" w:name="S23a02bis"/>
      <w:r w:rsidRPr="00541B8B">
        <w:rPr>
          <w:rFonts w:cs="Arial"/>
          <w:szCs w:val="22"/>
        </w:rPr>
        <w:lastRenderedPageBreak/>
        <w:t>2-</w:t>
      </w:r>
      <w:r w:rsidRPr="00541B8B">
        <w:rPr>
          <w:rFonts w:cs="Arial"/>
          <w:i/>
          <w:szCs w:val="22"/>
        </w:rPr>
        <w:t>bis</w:t>
      </w:r>
      <w:r w:rsidRPr="00541B8B">
        <w:rPr>
          <w:rFonts w:cs="Arial"/>
          <w:szCs w:val="22"/>
        </w:rPr>
        <w:t xml:space="preserve"> </w:t>
      </w:r>
      <w:bookmarkEnd w:id="380"/>
      <w:r w:rsidRPr="00541B8B">
        <w:rPr>
          <w:rFonts w:cs="Arial"/>
          <w:szCs w:val="22"/>
        </w:rPr>
        <w:t xml:space="preserve">– </w:t>
      </w:r>
      <w:hyperlink w:anchor="premessa23"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rFonts w:cs="Arial"/>
          <w:bCs/>
          <w:iCs/>
          <w:szCs w:val="22"/>
        </w:rPr>
        <w:t xml:space="preserve">alla lettera </w:t>
      </w:r>
      <w:r w:rsidRPr="00541B8B">
        <w:rPr>
          <w:rFonts w:cs="Arial"/>
          <w:bCs/>
          <w:i/>
          <w:iCs/>
          <w:szCs w:val="22"/>
        </w:rPr>
        <w:t>d)</w:t>
      </w:r>
      <w:r w:rsidRPr="00541B8B">
        <w:rPr>
          <w:rFonts w:cs="Arial"/>
          <w:bCs/>
          <w:iCs/>
          <w:szCs w:val="22"/>
        </w:rPr>
        <w:t>, numero 6), del medesimo comma, ove si fa riferimento ai casi di estradizione anche in assenza di Convenzione, non risulta invece esplicitato che tali fattispecie, in conformità all’</w:t>
      </w:r>
      <w:r w:rsidRPr="00541B8B">
        <w:rPr>
          <w:rFonts w:cs="Arial"/>
          <w:b/>
          <w:bCs/>
          <w:iCs/>
          <w:szCs w:val="22"/>
        </w:rPr>
        <w:t>articolo 26 della Costituzione</w:t>
      </w:r>
      <w:r w:rsidRPr="00541B8B">
        <w:rPr>
          <w:rFonts w:cs="Arial"/>
          <w:bCs/>
          <w:iCs/>
          <w:szCs w:val="22"/>
        </w:rPr>
        <w:t>, non riguardano i cittadini</w:t>
      </w:r>
      <w:r w:rsidRPr="00541B8B">
        <w:rPr>
          <w:rFonts w:cs="Arial"/>
          <w:szCs w:val="22"/>
        </w:rPr>
        <w:t>» (</w:t>
      </w:r>
      <w:hyperlink w:anchor="S23o02" w:history="1">
        <w:r w:rsidRPr="00541B8B">
          <w:rPr>
            <w:rFonts w:cs="Arial"/>
            <w:b/>
            <w:color w:val="0000FF"/>
            <w:szCs w:val="22"/>
            <w:u w:val="single"/>
          </w:rPr>
          <w:t>conseguente osservazione</w:t>
        </w:r>
      </w:hyperlink>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b/>
          <w:szCs w:val="22"/>
        </w:rPr>
      </w:pPr>
      <w:bookmarkStart w:id="381" w:name="S23O"/>
      <w:r w:rsidRPr="00541B8B">
        <w:rPr>
          <w:rFonts w:cs="Arial"/>
          <w:b/>
          <w:szCs w:val="22"/>
        </w:rPr>
        <w:t>Osservazioni:</w:t>
      </w:r>
    </w:p>
    <w:bookmarkEnd w:id="381"/>
    <w:p w:rsidR="00541B8B" w:rsidRPr="00541B8B" w:rsidRDefault="00541B8B" w:rsidP="00541B8B">
      <w:pPr>
        <w:spacing w:before="60" w:after="60"/>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60"/>
        <w:contextualSpacing/>
        <w:rPr>
          <w:rFonts w:cs="Arial"/>
          <w:szCs w:val="22"/>
        </w:rPr>
      </w:pPr>
      <w:bookmarkStart w:id="382" w:name="S23o01"/>
      <w:r w:rsidRPr="00541B8B">
        <w:rPr>
          <w:rFonts w:cs="Arial"/>
          <w:szCs w:val="22"/>
        </w:rPr>
        <w:t>1</w:t>
      </w:r>
      <w:bookmarkEnd w:id="382"/>
      <w:r w:rsidRPr="00541B8B">
        <w:rPr>
          <w:rFonts w:cs="Arial"/>
          <w:szCs w:val="22"/>
        </w:rPr>
        <w:t>)</w:t>
      </w:r>
      <w:r w:rsidRPr="00541B8B">
        <w:rPr>
          <w:rFonts w:cs="Arial"/>
          <w:szCs w:val="22"/>
        </w:rPr>
        <w:tab/>
        <w:t xml:space="preserve">per quanto detto in premessa, all’articolo 4, comma 1, si dovrebbe verificare l’opportunità di coordinare le disposizioni contenute alle lettere </w:t>
      </w:r>
      <w:r w:rsidRPr="00541B8B">
        <w:rPr>
          <w:rFonts w:cs="Arial"/>
          <w:i/>
          <w:szCs w:val="22"/>
        </w:rPr>
        <w:t>b</w:t>
      </w:r>
      <w:r w:rsidRPr="00541B8B">
        <w:rPr>
          <w:rFonts w:cs="Arial"/>
          <w:szCs w:val="22"/>
        </w:rPr>
        <w:t xml:space="preserve">) e </w:t>
      </w:r>
      <w:r w:rsidRPr="00541B8B">
        <w:rPr>
          <w:rFonts w:cs="Arial"/>
          <w:i/>
          <w:szCs w:val="22"/>
        </w:rPr>
        <w:t>c</w:t>
      </w:r>
      <w:r w:rsidRPr="00541B8B">
        <w:rPr>
          <w:rFonts w:cs="Arial"/>
          <w:szCs w:val="22"/>
        </w:rPr>
        <w:t>) n. 1; [</w:t>
      </w:r>
      <w:hyperlink w:anchor="premessa23"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contextualSpacing/>
        <w:rPr>
          <w:rFonts w:cs="Arial"/>
          <w:szCs w:val="22"/>
        </w:rPr>
      </w:pPr>
      <w:bookmarkStart w:id="383" w:name="S23o02"/>
      <w:r w:rsidRPr="00541B8B">
        <w:rPr>
          <w:rFonts w:cs="Arial"/>
          <w:szCs w:val="22"/>
        </w:rPr>
        <w:t>2</w:t>
      </w:r>
      <w:bookmarkEnd w:id="383"/>
      <w:r w:rsidRPr="00541B8B">
        <w:rPr>
          <w:rFonts w:cs="Arial"/>
          <w:szCs w:val="22"/>
        </w:rPr>
        <w:t>)</w:t>
      </w:r>
      <w:r w:rsidRPr="00541B8B">
        <w:rPr>
          <w:rFonts w:cs="Arial"/>
          <w:szCs w:val="22"/>
        </w:rPr>
        <w:tab/>
        <w:t>all’articolo 4, comma 1, lettera d), numero 6), ove si fa riferimento ai casi di estradizione anche in assenza di Convenzione, si dovrebbe esplicitare, in conformità a quanto stabilito dall’articolo 26 della Costituzione, e come peraltro stabilito in termini generali al numero 2) della medesima lettera d), che tali fattispecie non riguardano i cittadini. [</w:t>
      </w:r>
      <w:hyperlink w:anchor="premessa23"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0024</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3953</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21" w:history="1">
              <w:r w:rsidR="00541B8B" w:rsidRPr="00541B8B">
                <w:rPr>
                  <w:rFonts w:cs="Arial"/>
                  <w:color w:val="0000FF"/>
                  <w:szCs w:val="22"/>
                  <w:u w:val="single"/>
                </w:rPr>
                <w:t>DL 67/2016</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Proroga missioni internazionali</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22" w:anchor="data.20160705.com48.bollettino.sede00010.tit00010" w:history="1">
              <w:r w:rsidR="00541B8B" w:rsidRPr="00541B8B">
                <w:rPr>
                  <w:rFonts w:cs="Arial"/>
                  <w:color w:val="0000FF"/>
                  <w:szCs w:val="22"/>
                  <w:u w:val="single"/>
                </w:rPr>
                <w:t>05/07/2016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96-</w:t>
            </w:r>
            <w:r w:rsidRPr="00541B8B">
              <w:rPr>
                <w:rFonts w:cs="Arial"/>
                <w:b/>
                <w:bCs/>
                <w:i/>
                <w:sz w:val="24"/>
                <w:szCs w:val="24"/>
              </w:rPr>
              <w:t>BIS</w:t>
            </w:r>
            <w:r w:rsidRPr="00541B8B">
              <w:rPr>
                <w:rFonts w:cs="Arial"/>
                <w:b/>
                <w:bCs/>
                <w:sz w:val="24"/>
                <w:szCs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384" w:name="premessa24"/>
            <w:r w:rsidRPr="00541B8B">
              <w:rPr>
                <w:rFonts w:cs="Arial"/>
                <w:b/>
                <w:color w:val="0000FF"/>
                <w:sz w:val="24"/>
                <w:szCs w:val="24"/>
              </w:rPr>
              <w:t>Premessa</w:t>
            </w:r>
            <w:bookmarkEnd w:id="384"/>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1 Condizione, 2 Raccomandazioni</w:t>
            </w:r>
          </w:p>
        </w:tc>
      </w:tr>
      <w:tr w:rsidR="00541B8B" w:rsidRPr="00541B8B" w:rsidTr="00D20CCA">
        <w:trPr>
          <w:trHeight w:val="994"/>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4a01" w:history="1">
              <w:r w:rsidR="00541B8B" w:rsidRPr="00541B8B">
                <w:rPr>
                  <w:rFonts w:cs="Arial"/>
                  <w:color w:val="0000FF"/>
                  <w:szCs w:val="22"/>
                  <w:u w:val="single"/>
                </w:rPr>
                <w:t>1</w:t>
              </w:r>
            </w:hyperlink>
            <w:r w:rsidR="00541B8B" w:rsidRPr="00541B8B">
              <w:rPr>
                <w:rFonts w:cs="Arial"/>
                <w:szCs w:val="22"/>
              </w:rPr>
              <w:t xml:space="preserve"> – Pubblicazione differita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Intercorsi 17 giorni tra l’approvazione del testo del decreto-legge e la pubblicazione sulla Gazzetta Ufficiale.</w:t>
            </w:r>
          </w:p>
        </w:tc>
      </w:tr>
      <w:tr w:rsidR="00541B8B" w:rsidRPr="00541B8B" w:rsidTr="00D20CCA">
        <w:trPr>
          <w:trHeight w:val="13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4a02" w:history="1">
              <w:r w:rsidR="00541B8B" w:rsidRPr="00541B8B">
                <w:rPr>
                  <w:rFonts w:cs="Arial"/>
                  <w:color w:val="0000FF"/>
                  <w:szCs w:val="22"/>
                  <w:u w:val="single"/>
                </w:rPr>
                <w:t>2</w:t>
              </w:r>
            </w:hyperlink>
            <w:r w:rsidR="00541B8B" w:rsidRPr="00541B8B">
              <w:rPr>
                <w:rFonts w:cs="Arial"/>
                <w:szCs w:val="22"/>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 xml:space="preserve">Con l’eccezione della disposizione incidente su delega introdotta al Senato </w:t>
            </w:r>
          </w:p>
        </w:tc>
      </w:tr>
      <w:tr w:rsidR="00541B8B" w:rsidRPr="00541B8B" w:rsidTr="00D20CCA">
        <w:trPr>
          <w:trHeight w:val="107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4a02bis" w:history="1">
              <w:r w:rsidR="00541B8B" w:rsidRPr="00541B8B">
                <w:rPr>
                  <w:color w:val="0000FF"/>
                  <w:szCs w:val="22"/>
                  <w:u w:val="single"/>
                </w:rPr>
                <w:t>2-</w:t>
              </w:r>
              <w:r w:rsidR="00541B8B" w:rsidRPr="00541B8B">
                <w:rPr>
                  <w:i/>
                  <w:color w:val="0000FF"/>
                  <w:szCs w:val="22"/>
                  <w:u w:val="single"/>
                </w:rPr>
                <w:t>bis</w:t>
              </w:r>
            </w:hyperlink>
            <w:r w:rsidR="00541B8B" w:rsidRPr="00541B8B">
              <w:rPr>
                <w:szCs w:val="22"/>
              </w:rPr>
              <w:t xml:space="preserve"> – Limiti di contenuto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 xml:space="preserve">Introduzione al Senato di una norma di carattere sostanziale nel disegno di legge di conversione, per prorogare il termine di esercizio di una delega legislativa. Richiamo all’articolo 15, c. 2, a), della legge n. 400/1988; richiamo all’articolo 76 e al secondo comma dell’articolo 77 della Costituzione; richiamo alle sentenze n. 22/2012, n. 32/2014 e n. 237/2013 della Corte Costituzionale. </w:t>
            </w:r>
          </w:p>
          <w:p w:rsidR="00541B8B" w:rsidRPr="00541B8B" w:rsidRDefault="00541B8B" w:rsidP="00982103">
            <w:pPr>
              <w:spacing w:before="100" w:beforeAutospacing="1" w:after="100" w:afterAutospacing="1"/>
              <w:ind w:firstLine="0"/>
              <w:contextualSpacing/>
              <w:rPr>
                <w:rFonts w:cs="Arial"/>
                <w:szCs w:val="22"/>
              </w:rPr>
            </w:pP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107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4a03" w:history="1">
              <w:r w:rsidR="00541B8B" w:rsidRPr="00541B8B">
                <w:rPr>
                  <w:rFonts w:cs="Arial"/>
                  <w:color w:val="0000FF"/>
                  <w:szCs w:val="22"/>
                  <w:u w:val="single"/>
                </w:rPr>
                <w:t>3</w:t>
              </w:r>
            </w:hyperlink>
            <w:r w:rsidR="00541B8B" w:rsidRPr="00541B8B">
              <w:rPr>
                <w:rFonts w:cs="Arial"/>
                <w:szCs w:val="22"/>
              </w:rPr>
              <w:t xml:space="preserve"> – Coordinamento con le fonti normative vigenti: stratificazione normativa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Catena di rinvii normativi. Rinvii alla normativa vigente in mancanza di una disciplina unitaria della materia trattata, ovvero le missioni militari.</w:t>
            </w:r>
          </w:p>
        </w:tc>
      </w:tr>
      <w:tr w:rsidR="00541B8B" w:rsidRPr="00541B8B" w:rsidTr="00D20CCA">
        <w:trPr>
          <w:trHeight w:val="107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4a04" w:history="1">
              <w:r w:rsidR="00541B8B" w:rsidRPr="00541B8B">
                <w:rPr>
                  <w:rFonts w:cs="Arial"/>
                  <w:color w:val="0000FF"/>
                  <w:szCs w:val="22"/>
                  <w:u w:val="single"/>
                </w:rPr>
                <w:t>4</w:t>
              </w:r>
            </w:hyperlink>
            <w:r w:rsidR="00541B8B" w:rsidRPr="00541B8B">
              <w:rPr>
                <w:rFonts w:cs="Arial"/>
                <w:szCs w:val="22"/>
              </w:rPr>
              <w:t xml:space="preserve"> – Coordinamento con le fonti normative vigenti: disciplina derogatoria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Richiamo all’articolo 13-</w:t>
            </w:r>
            <w:r w:rsidRPr="00541B8B">
              <w:rPr>
                <w:rFonts w:cs="Arial"/>
                <w:i/>
                <w:szCs w:val="22"/>
              </w:rPr>
              <w:t>bis</w:t>
            </w:r>
            <w:r w:rsidRPr="00541B8B">
              <w:rPr>
                <w:rFonts w:cs="Arial"/>
                <w:szCs w:val="22"/>
              </w:rPr>
              <w:t xml:space="preserve"> della legge n. 400/1988.</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Raccomandazione 2</w:t>
            </w:r>
          </w:p>
        </w:tc>
      </w:tr>
      <w:tr w:rsidR="00541B8B" w:rsidRPr="00541B8B" w:rsidTr="00D20CCA">
        <w:trPr>
          <w:trHeight w:val="112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4a05" w:history="1">
              <w:r w:rsidR="00541B8B" w:rsidRPr="00541B8B">
                <w:rPr>
                  <w:rFonts w:cs="Arial"/>
                  <w:color w:val="0000FF"/>
                  <w:szCs w:val="22"/>
                  <w:u w:val="single"/>
                </w:rPr>
                <w:t>5</w:t>
              </w:r>
            </w:hyperlink>
            <w:r w:rsidR="00541B8B" w:rsidRPr="00541B8B">
              <w:rPr>
                <w:rFonts w:cs="Arial"/>
                <w:szCs w:val="22"/>
              </w:rPr>
              <w:t xml:space="preserve"> – Efficacia retroattiva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Il provvedimento proroga le missioni internazionali dal 1° gennaio al 31 dicembre 2016, retroagendo rispetto alla propria entrata in vigore.</w:t>
            </w:r>
          </w:p>
          <w:p w:rsidR="00541B8B" w:rsidRPr="00541B8B" w:rsidRDefault="00541B8B" w:rsidP="00982103">
            <w:pPr>
              <w:spacing w:before="100" w:beforeAutospacing="1" w:after="100" w:afterAutospacing="1"/>
              <w:ind w:firstLine="0"/>
              <w:contextualSpacing/>
              <w:rPr>
                <w:rFonts w:cs="Arial"/>
                <w:szCs w:val="22"/>
              </w:rPr>
            </w:pP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Raccomandazione 1</w:t>
            </w:r>
          </w:p>
        </w:tc>
      </w:tr>
    </w:tbl>
    <w:p w:rsidR="00541B8B" w:rsidRPr="00541B8B" w:rsidRDefault="00541B8B" w:rsidP="00541B8B">
      <w:pPr>
        <w:spacing w:before="60" w:after="60"/>
        <w:contextualSpacing/>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4a06" w:history="1">
              <w:r w:rsidR="00541B8B" w:rsidRPr="00541B8B">
                <w:rPr>
                  <w:rFonts w:cs="Arial"/>
                  <w:color w:val="0000FF"/>
                  <w:szCs w:val="22"/>
                  <w:u w:val="single"/>
                </w:rPr>
                <w:t>6</w:t>
              </w:r>
            </w:hyperlink>
            <w:r w:rsidR="00541B8B" w:rsidRPr="00541B8B">
              <w:rPr>
                <w:rFonts w:cs="Arial"/>
                <w:szCs w:val="22"/>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ATN presente. AIR assente. Presente il riferimento all’esenzione dall’obbligo di redigere l’AIR e la giustificazione quale “atto normativo in materia di sicurezza interna ed esterna dello Stato”.</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4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4R" w:history="1">
              <w:r w:rsidR="00541B8B" w:rsidRPr="00541B8B">
                <w:rPr>
                  <w:rFonts w:cs="Arial"/>
                  <w:color w:val="0000FF"/>
                  <w:szCs w:val="22"/>
                  <w:u w:val="single"/>
                </w:rPr>
                <w:t>R</w:t>
              </w:r>
            </w:hyperlink>
            <w:r w:rsidR="00541B8B" w:rsidRPr="00541B8B">
              <w:rPr>
                <w:rFonts w:cs="Arial"/>
                <w:szCs w:val="22"/>
              </w:rPr>
              <w:t xml:space="preserve"> - Raccomandazioni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 xml:space="preserve">articoli 76 e 77, secondo comma, della Costituzione; articolo 15, comma 2, lettera </w:t>
            </w:r>
            <w:r w:rsidRPr="00541B8B">
              <w:rPr>
                <w:rFonts w:cs="Arial"/>
                <w:szCs w:val="22"/>
              </w:rPr>
              <w:t>a)</w:t>
            </w:r>
            <w:r w:rsidRPr="00541B8B">
              <w:rPr>
                <w:rFonts w:cs="Arial"/>
                <w:i/>
                <w:szCs w:val="22"/>
              </w:rPr>
              <w:t xml:space="preserve"> della legge n. 400/1988; articolo 3, sentenze n. 22/2012, n. 32/2014, n. 237/2013 della Corte costituzionale.</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85" w:name="S24a01"/>
      <w:r w:rsidRPr="00541B8B">
        <w:rPr>
          <w:rFonts w:cs="Arial"/>
          <w:szCs w:val="22"/>
        </w:rPr>
        <w:t>1</w:t>
      </w:r>
      <w:bookmarkEnd w:id="385"/>
      <w:r w:rsidRPr="00541B8B">
        <w:rPr>
          <w:rFonts w:cs="Arial"/>
          <w:szCs w:val="22"/>
        </w:rPr>
        <w:t xml:space="preserve"> – </w:t>
      </w:r>
      <w:hyperlink w:anchor="premessa24"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provvedimento], approvato dal Consiglio dei ministri nella riunione del 29 aprile 2016, è stato pubblicato in “Gazzetta ufficiale” e presentato al Senato, in prima lettura, a distanza di 17 giorni, il 16 maggio 2016»;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86" w:name="S24a02"/>
      <w:r w:rsidRPr="00541B8B">
        <w:rPr>
          <w:rFonts w:cs="Arial"/>
          <w:szCs w:val="22"/>
        </w:rPr>
        <w:t>2</w:t>
      </w:r>
      <w:bookmarkEnd w:id="386"/>
      <w:r w:rsidRPr="00541B8B">
        <w:rPr>
          <w:rFonts w:cs="Arial"/>
          <w:szCs w:val="22"/>
        </w:rPr>
        <w:t xml:space="preserve"> – </w:t>
      </w:r>
      <w:hyperlink w:anchor="premessa2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rPr>
          <w:rFonts w:cs="Arial"/>
          <w:bCs/>
          <w:iCs/>
          <w:szCs w:val="22"/>
        </w:rPr>
        <w:t xml:space="preserve">il decreto-legge reca un </w:t>
      </w:r>
      <w:r w:rsidRPr="00541B8B">
        <w:rPr>
          <w:rFonts w:cs="Arial"/>
          <w:b/>
          <w:bCs/>
          <w:iCs/>
          <w:szCs w:val="22"/>
        </w:rPr>
        <w:t>contenuto omogeneo</w:t>
      </w:r>
      <w:r w:rsidRPr="00541B8B">
        <w:rPr>
          <w:rFonts w:cs="Arial"/>
          <w:bCs/>
          <w:iCs/>
          <w:szCs w:val="22"/>
        </w:rPr>
        <w:t>. Esso è infatti volto ad autorizzare la spesa per la partecipazione di personale italiano alle diverse missioni internazionali ed alle iniziative di cooperazione, opportunamente raggruppate sulla base di criteri geografici, che vedono impegnato il nostro Paese, fino al 31 dicembre 2016, disciplinando i profili normativi connessi alle missioni e prevedendo, per specifici aspetti (quali il trattamento giuridico, economico e previdenziale, la disciplina contabile e penale), una normativa strumentale al loro svolgimento individuata essenzialmente mediante un rinvio all’ordinamento vigente</w:t>
      </w:r>
      <w:r w:rsidRPr="00541B8B">
        <w:rPr>
          <w:rFonts w:cs="Arial"/>
          <w:szCs w:val="22"/>
        </w:rPr>
        <w:t xml:space="preserve">»;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pPr>
      <w:bookmarkStart w:id="387" w:name="S24a02bis"/>
      <w:r w:rsidRPr="00541B8B">
        <w:rPr>
          <w:rFonts w:cs="Arial"/>
          <w:szCs w:val="22"/>
        </w:rPr>
        <w:t>2-</w:t>
      </w:r>
      <w:r w:rsidRPr="00541B8B">
        <w:rPr>
          <w:rFonts w:cs="Arial"/>
          <w:i/>
          <w:szCs w:val="22"/>
        </w:rPr>
        <w:t>bis</w:t>
      </w:r>
      <w:r w:rsidRPr="00541B8B">
        <w:rPr>
          <w:rFonts w:cs="Arial"/>
          <w:szCs w:val="22"/>
        </w:rPr>
        <w:t xml:space="preserve"> </w:t>
      </w:r>
      <w:bookmarkEnd w:id="387"/>
      <w:r w:rsidRPr="00541B8B">
        <w:rPr>
          <w:rFonts w:cs="Arial"/>
          <w:szCs w:val="22"/>
        </w:rPr>
        <w:t xml:space="preserve">– </w:t>
      </w:r>
      <w:hyperlink w:anchor="premessa2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a tale ambito materiale [omogeneo] non appare invece riconducibile la disposizione inserita nel corso dell’esame del decreto-legge presso l’altro ramo del Parlamento all’articolo 1, comma 2, del disegno di legge di conversione, volta a </w:t>
      </w:r>
      <w:r w:rsidRPr="00541B8B">
        <w:rPr>
          <w:b/>
        </w:rPr>
        <w:t>prorogare il termine per l'esercizio della delega</w:t>
      </w:r>
      <w:r w:rsidRPr="00541B8B">
        <w:t xml:space="preserve"> di cui all'articolo 8, comma 1, della legge n. 124 del 2015, che riguarda un ampio novero di interventi riguardanti la disciplina della Presidenza del Consiglio dei ministri, dei Ministeri, delle agenzie governative nazionali e degli enti pubblici non economici nazionali, includendovi il riordino delle Forze di polizia; </w:t>
      </w:r>
      <w:r w:rsidRPr="00541B8B">
        <w:rPr>
          <w:szCs w:val="24"/>
        </w:rPr>
        <w:t xml:space="preserve">in proposito, si ricorda inoltre che, secondo costante orientamento del Comitato per la legislazione </w:t>
      </w:r>
      <w:r w:rsidRPr="00541B8B">
        <w:t>- ed in accordo con la prassi consolidata della Presidenza della Camera in materia di inammissibilità degli emendamenti -</w:t>
      </w:r>
      <w:r w:rsidRPr="00541B8B">
        <w:rPr>
          <w:szCs w:val="24"/>
        </w:rPr>
        <w:t xml:space="preserve"> tale circostanza integra una violazione del </w:t>
      </w:r>
      <w:r w:rsidRPr="00541B8B">
        <w:rPr>
          <w:b/>
          <w:szCs w:val="24"/>
        </w:rPr>
        <w:t xml:space="preserve">limite posto dall’articolo 15, comma 2, lettera </w:t>
      </w:r>
      <w:r w:rsidRPr="00541B8B">
        <w:rPr>
          <w:b/>
          <w:i/>
          <w:szCs w:val="24"/>
        </w:rPr>
        <w:t>a</w:t>
      </w:r>
      <w:r w:rsidRPr="00541B8B">
        <w:rPr>
          <w:b/>
          <w:szCs w:val="24"/>
        </w:rPr>
        <w:t>), della legge n. 400 del 1988</w:t>
      </w:r>
      <w:r w:rsidRPr="00541B8B">
        <w:rPr>
          <w:szCs w:val="24"/>
        </w:rPr>
        <w:t>, secondo il quale Governo non può, mediante decreto-legge, “conferire deleghe legislative ai sensi dell'</w:t>
      </w:r>
      <w:r w:rsidRPr="00541B8B">
        <w:rPr>
          <w:b/>
          <w:szCs w:val="24"/>
        </w:rPr>
        <w:t>articolo 76 della Costituzione</w:t>
      </w:r>
      <w:r w:rsidRPr="00541B8B">
        <w:rPr>
          <w:szCs w:val="24"/>
        </w:rPr>
        <w:t xml:space="preserve">”, e che l’inserimento di </w:t>
      </w:r>
      <w:r w:rsidRPr="00541B8B">
        <w:rPr>
          <w:b/>
          <w:szCs w:val="24"/>
        </w:rPr>
        <w:t>disposizioni di carattere sostanziale</w:t>
      </w:r>
      <w:r w:rsidRPr="00541B8B">
        <w:rPr>
          <w:szCs w:val="24"/>
        </w:rPr>
        <w:t xml:space="preserve"> in un disegno di legge di conversione non appare corrispondente ad un corretto utilizzo dello specifico </w:t>
      </w:r>
      <w:r w:rsidRPr="00541B8B">
        <w:rPr>
          <w:szCs w:val="24"/>
        </w:rPr>
        <w:lastRenderedPageBreak/>
        <w:t>strumento normativo rappresentato da tale tipologia di legge.</w:t>
      </w:r>
      <w:r w:rsidRPr="00541B8B">
        <w:t xml:space="preserve"> Inoltre, la </w:t>
      </w:r>
      <w:r w:rsidRPr="00541B8B">
        <w:rPr>
          <w:b/>
        </w:rPr>
        <w:t>Corte Costituzionale</w:t>
      </w:r>
      <w:r w:rsidRPr="00541B8B">
        <w:t xml:space="preserve">, nella sentenza </w:t>
      </w:r>
      <w:r w:rsidRPr="00541B8B">
        <w:rPr>
          <w:b/>
        </w:rPr>
        <w:t>n. 22 del 2012</w:t>
      </w:r>
      <w:r w:rsidRPr="00541B8B">
        <w:t xml:space="preserve"> (con orientamento confermato dalla sentenza </w:t>
      </w:r>
      <w:r w:rsidRPr="00541B8B">
        <w:rPr>
          <w:b/>
        </w:rPr>
        <w:t>n. 32 del 2014</w:t>
      </w:r>
      <w:r w:rsidRPr="00541B8B">
        <w:t xml:space="preserve">), tenuto conto che il </w:t>
      </w:r>
      <w:r w:rsidRPr="00541B8B">
        <w:rPr>
          <w:b/>
        </w:rPr>
        <w:t>secondo comma dell’articolo 77 della Costituzione</w:t>
      </w:r>
      <w:r w:rsidRPr="00541B8B">
        <w:t xml:space="preserve"> “</w:t>
      </w:r>
      <w:r w:rsidRPr="00541B8B">
        <w:rPr>
          <w:i/>
        </w:rPr>
        <w:t>istituisce un nesso di interrelazione funzionale tra decreto-legge, formato dal Governo ed emanato dal Presidente della Repubblica, e legge di conversione, caratterizzata da un procedimento di approvazione peculiare rispetto a quello ordinario</w:t>
      </w:r>
      <w:r w:rsidRPr="00541B8B">
        <w:t>” ha affermato che “</w:t>
      </w:r>
      <w:r w:rsidRPr="00541B8B">
        <w:rPr>
          <w:i/>
        </w:rPr>
        <w:t>l’esclusione della possibilità di inserire nella legge di conversione di un decreto-legge emendamenti del tutto estranei all’oggetto e alle finalità del testo originario non risponda soltanto ad esigenze di buona tecnica normativa, ma sia imposta</w:t>
      </w:r>
      <w:r w:rsidRPr="00541B8B">
        <w:t>” dalla stessa norma costituzionale;</w:t>
      </w:r>
    </w:p>
    <w:p w:rsidR="00541B8B" w:rsidRPr="00541B8B" w:rsidRDefault="00541B8B" w:rsidP="00541B8B">
      <w:pPr>
        <w:spacing w:before="60" w:after="60"/>
        <w:contextualSpacing/>
        <w:rPr>
          <w:rFonts w:cs="Arial"/>
          <w:szCs w:val="22"/>
        </w:rPr>
      </w:pPr>
      <w:r w:rsidRPr="00541B8B">
        <w:rPr>
          <w:szCs w:val="24"/>
        </w:rPr>
        <w:t xml:space="preserve">peraltro, la Corte costituzionale, con la </w:t>
      </w:r>
      <w:r w:rsidRPr="00541B8B">
        <w:rPr>
          <w:b/>
          <w:szCs w:val="24"/>
        </w:rPr>
        <w:t>sentenza</w:t>
      </w:r>
      <w:r w:rsidRPr="00541B8B">
        <w:rPr>
          <w:szCs w:val="24"/>
        </w:rPr>
        <w:t xml:space="preserve"> </w:t>
      </w:r>
      <w:r w:rsidRPr="00541B8B">
        <w:rPr>
          <w:b/>
          <w:szCs w:val="24"/>
        </w:rPr>
        <w:t>n. 237 del 2013</w:t>
      </w:r>
      <w:r w:rsidRPr="00541B8B">
        <w:rPr>
          <w:szCs w:val="24"/>
        </w:rPr>
        <w:t xml:space="preserve"> si è discostata da tali indirizzi, affermando che il Parlamento, nell’approvare la legge di conversione di un decreto-legge, può esercitare la propria potestà legislativa anche introducendo, con disposizioni aggiuntive, contenuti normativi ulteriori. Ciò, tuttavia, nel rispetto del limite dell’omogeneità complessiva dell’atto normativo rispetto all’oggetto o allo scopo</w:t>
      </w:r>
      <w:r w:rsidRPr="00541B8B">
        <w:rPr>
          <w:rFonts w:cs="Arial"/>
          <w:szCs w:val="22"/>
        </w:rPr>
        <w:t xml:space="preserve">» </w:t>
      </w:r>
      <w:r w:rsidRPr="00541B8B">
        <w:rPr>
          <w:rFonts w:cs="Arial"/>
          <w:szCs w:val="22"/>
          <w:highlight w:val="yellow"/>
        </w:rPr>
        <w:t>Conseguente condizione</w:t>
      </w:r>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88" w:name="S24a03"/>
      <w:r w:rsidRPr="00541B8B">
        <w:rPr>
          <w:rFonts w:cs="Arial"/>
          <w:szCs w:val="22"/>
        </w:rPr>
        <w:t>3</w:t>
      </w:r>
      <w:bookmarkEnd w:id="388"/>
      <w:r w:rsidRPr="00541B8B">
        <w:rPr>
          <w:rFonts w:cs="Arial"/>
          <w:szCs w:val="22"/>
        </w:rPr>
        <w:t xml:space="preserve"> – </w:t>
      </w:r>
      <w:hyperlink w:anchor="premessa2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«secondo un procedimento consueto nei decreti-legge che regolano la partecipazione italiana alle missioni internazionali, il provvedimento – reiterando una modalità di produzione normativa i cui aspetti problematici sono stati più volte segnalati dal Comitato ed in attesa dell’imminente approvazione in via definitiva della proposta di legge C. 45-B, all’esame dell’Assemblea della Camera in seconda lettura – effettua rinvii alla normativa esistente senza potersi però rapportare ad </w:t>
      </w:r>
      <w:r w:rsidRPr="00541B8B">
        <w:rPr>
          <w:rFonts w:cs="Arial"/>
          <w:b/>
          <w:szCs w:val="22"/>
        </w:rPr>
        <w:t>una disciplina unitaria</w:t>
      </w:r>
      <w:r w:rsidRPr="00541B8B">
        <w:rPr>
          <w:rFonts w:cs="Arial"/>
          <w:szCs w:val="22"/>
        </w:rPr>
        <w:t xml:space="preserve"> che regolamenti stabilmente i profili giuridico-economici delle missioni stesse. Ad esempio, per la disciplina in materia penale, il provvedimento perpetua una lunga e complessa catena di </w:t>
      </w:r>
      <w:r w:rsidRPr="00541B8B">
        <w:rPr>
          <w:rFonts w:cs="Arial"/>
          <w:b/>
          <w:szCs w:val="22"/>
        </w:rPr>
        <w:t>rinvii normativi</w:t>
      </w:r>
      <w:r w:rsidRPr="00541B8B">
        <w:rPr>
          <w:rFonts w:cs="Arial"/>
          <w:szCs w:val="22"/>
        </w:rPr>
        <w:t xml:space="preserve"> al decreto-legge n. 152 del 2009 e al decreto-legge n. 209 del 2008, senza al contempo aggiornare - in termini di rinvii alle disposizioni e agli istituti disciplinati dal Codice dell’ordinamento militare, di cui al decreto legislativo 15 marzo 2010, n. 66 - i richiami a quelle disposizioni che, in quanto confluite nel Codice in questione, sono state abrogate nella fonte originarie»;</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89" w:name="S24a04"/>
      <w:r w:rsidRPr="00541B8B">
        <w:rPr>
          <w:rFonts w:cs="Arial"/>
          <w:szCs w:val="22"/>
        </w:rPr>
        <w:t>4</w:t>
      </w:r>
      <w:bookmarkEnd w:id="389"/>
      <w:r w:rsidRPr="00541B8B">
        <w:rPr>
          <w:rFonts w:cs="Arial"/>
          <w:szCs w:val="22"/>
        </w:rPr>
        <w:t xml:space="preserve"> - </w:t>
      </w:r>
      <w:hyperlink w:anchor="premessa2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«in ragione della peculiare fattispecie delle missioni militari e internazionali, il provvedimento si caratterizza come </w:t>
      </w:r>
      <w:r w:rsidRPr="00541B8B">
        <w:rPr>
          <w:rFonts w:cs="Arial"/>
          <w:b/>
          <w:szCs w:val="22"/>
        </w:rPr>
        <w:t>disciplina in più punti derogatoria del diritto vigente</w:t>
      </w:r>
      <w:r w:rsidRPr="00541B8B">
        <w:rPr>
          <w:rFonts w:cs="Arial"/>
          <w:szCs w:val="22"/>
        </w:rPr>
        <w:t>. La relazione sull’analisi tecnico-normativa (ATN) dà conto analiticamente delle norme derogate, anche implicitamente; si rammenta tuttavia che l’</w:t>
      </w:r>
      <w:r w:rsidRPr="00541B8B">
        <w:rPr>
          <w:rFonts w:cs="Arial"/>
          <w:b/>
          <w:szCs w:val="22"/>
        </w:rPr>
        <w:t>articolo 13-</w:t>
      </w:r>
      <w:r w:rsidRPr="00541B8B">
        <w:rPr>
          <w:rFonts w:cs="Arial"/>
          <w:b/>
          <w:i/>
          <w:szCs w:val="22"/>
        </w:rPr>
        <w:t>bis</w:t>
      </w:r>
      <w:r w:rsidRPr="00541B8B">
        <w:rPr>
          <w:rFonts w:cs="Arial"/>
          <w:b/>
          <w:szCs w:val="22"/>
        </w:rPr>
        <w:t xml:space="preserve"> della legge n. 400 del 1988 </w:t>
      </w:r>
      <w:r w:rsidRPr="00541B8B">
        <w:rPr>
          <w:rFonts w:cs="Arial"/>
          <w:szCs w:val="22"/>
        </w:rPr>
        <w:t xml:space="preserve">dispone tra l’altro che il Governo, nell’ambito delle proprie competenze, provvede “a che ogni norma che sia diretta a sostituire, modificare o abrogare norme vigenti ovvero a stabilire deroghe indichi espressamente le norme sostituite, modificate, abrogate o derogate” (comma 1, lettera </w:t>
      </w:r>
      <w:r w:rsidRPr="00541B8B">
        <w:rPr>
          <w:rFonts w:cs="Arial"/>
          <w:i/>
          <w:szCs w:val="22"/>
        </w:rPr>
        <w:t>a)</w:t>
      </w:r>
      <w:r w:rsidRPr="00541B8B">
        <w:rPr>
          <w:rFonts w:cs="Arial"/>
          <w:szCs w:val="22"/>
        </w:rPr>
        <w:t xml:space="preserve"> ) e che “Le disposizioni della presente legge in materia di chiarezza dei testi normativi costituiscono princìpi generali per la produzione normativa e non possono essere derogate, modificate o abrogate se non in modo esplicito” (comma 2); deroghe sono riscontrabili, in particolare: all’articolo 5, comma 1, sul trattamento del personale in missione; all’articolo 5, comma 4, in materia di compenso forfettario di impiego per il personale che partecipa alle missioni militari; all’articolo 7, comma 1, in materia contabile» (</w:t>
      </w:r>
      <w:hyperlink w:anchor="S24r02" w:history="1">
        <w:r w:rsidRPr="00541B8B">
          <w:rPr>
            <w:rFonts w:cs="Arial"/>
            <w:b/>
            <w:color w:val="0000FF"/>
            <w:szCs w:val="22"/>
            <w:u w:val="single"/>
          </w:rPr>
          <w:t>conseguente raccomandazione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390" w:name="S24a05"/>
      <w:r w:rsidRPr="00541B8B">
        <w:rPr>
          <w:rFonts w:cs="Arial"/>
          <w:szCs w:val="22"/>
        </w:rPr>
        <w:lastRenderedPageBreak/>
        <w:t>5</w:t>
      </w:r>
      <w:bookmarkEnd w:id="390"/>
      <w:r w:rsidRPr="00541B8B">
        <w:rPr>
          <w:rFonts w:cs="Arial"/>
          <w:szCs w:val="22"/>
        </w:rPr>
        <w:t xml:space="preserve"> - </w:t>
      </w:r>
      <w:hyperlink w:anchor="premessa2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decreto-legge interviene a prorogare le missioni internazionali dal 1° gennaio al 31 dicembre 2016, </w:t>
      </w:r>
      <w:r w:rsidRPr="00541B8B">
        <w:rPr>
          <w:rFonts w:cs="Arial"/>
          <w:b/>
          <w:szCs w:val="22"/>
        </w:rPr>
        <w:t>retroagendo</w:t>
      </w:r>
      <w:r w:rsidRPr="00541B8B">
        <w:rPr>
          <w:rFonts w:cs="Arial"/>
          <w:szCs w:val="22"/>
        </w:rPr>
        <w:t xml:space="preserve"> dunque rispetto alla sua entrata in vigore, avvenuta, ai sensi dell’articolo 12, comma 1, in data 17 maggio 2016 (giorno successivo alla sua pubblicazione in Gazzetta Ufficiale) e dando così copertura normativa all’impegno dell’Italia nelle missioni internazionali dal 1° gennaio al 16 maggio 2016, anche attraverso le previsioni dell’articolo 10, comma 2, che convalida “gli atti adottati, le attività svolte e le prestazioni già effettuate dal 1° gennaio 2016 fino alla data di entrata in vigore della legge di conversione del presente decreto”. Per costante indirizzo del Comitato per la legislazione, si tratta di una circostanza non coerente con le esigenze di stabilità, certezza e semplificazione della legislazione, anche ove si consideri che il decreto contiene, tra l’altro, disposizioni in materia penale» (</w:t>
      </w:r>
      <w:hyperlink w:anchor="S24r01" w:history="1">
        <w:r w:rsidRPr="00541B8B">
          <w:rPr>
            <w:rFonts w:cs="Arial"/>
            <w:b/>
            <w:color w:val="0000FF"/>
            <w:szCs w:val="22"/>
            <w:u w:val="single"/>
          </w:rPr>
          <w:t>conseguente raccomandazione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91" w:name="S24a06"/>
      <w:r w:rsidRPr="00541B8B">
        <w:rPr>
          <w:rFonts w:cs="Arial"/>
          <w:szCs w:val="22"/>
        </w:rPr>
        <w:t>6</w:t>
      </w:r>
      <w:bookmarkEnd w:id="391"/>
      <w:r w:rsidRPr="00541B8B">
        <w:rPr>
          <w:rFonts w:cs="Arial"/>
          <w:szCs w:val="22"/>
        </w:rPr>
        <w:t xml:space="preserve"> - </w:t>
      </w:r>
      <w:hyperlink w:anchor="premessa24"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disegno di legge di conversione, nel testo presentato al Senato, è corredato della relazione sull’analisi tecnico-normativa (</w:t>
      </w:r>
      <w:r w:rsidRPr="00541B8B">
        <w:rPr>
          <w:rFonts w:cs="Arial"/>
          <w:b/>
          <w:szCs w:val="22"/>
        </w:rPr>
        <w:t>ATN</w:t>
      </w:r>
      <w:r w:rsidRPr="00541B8B">
        <w:rPr>
          <w:rFonts w:cs="Arial"/>
          <w:szCs w:val="22"/>
        </w:rPr>
        <w:t>), nonché della dichiarazione di esclusione dell’analisi di impatto della regolamentazione (</w:t>
      </w:r>
      <w:r w:rsidRPr="00541B8B">
        <w:rPr>
          <w:rFonts w:cs="Arial"/>
          <w:b/>
          <w:szCs w:val="22"/>
        </w:rPr>
        <w:t>AIR</w:t>
      </w:r>
      <w:r w:rsidRPr="00541B8B">
        <w:rPr>
          <w:rFonts w:cs="Arial"/>
          <w:szCs w:val="22"/>
        </w:rPr>
        <w:t>), trattandosi di «atto normativo in materia di sicurezza interna ed esterna dello Stato».</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392" w:name="S24C"/>
      <w:r w:rsidRPr="00541B8B">
        <w:rPr>
          <w:rFonts w:cs="Arial"/>
          <w:b/>
          <w:szCs w:val="22"/>
        </w:rPr>
        <w:t>Condizion</w:t>
      </w:r>
      <w:bookmarkEnd w:id="392"/>
      <w:r w:rsidRPr="00541B8B">
        <w:rPr>
          <w:rFonts w:cs="Arial"/>
          <w:b/>
          <w:szCs w:val="22"/>
        </w:rPr>
        <w:t>i:</w:t>
      </w:r>
    </w:p>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della specificità e omogeneità di contenuto e sul piano dei limiti di contenuto dei decreti-legge:</w:t>
      </w:r>
    </w:p>
    <w:p w:rsidR="00541B8B" w:rsidRPr="00541B8B" w:rsidRDefault="00541B8B" w:rsidP="00541B8B">
      <w:pPr>
        <w:spacing w:before="60" w:afterLines="50" w:after="120" w:line="300" w:lineRule="exact"/>
        <w:ind w:left="284"/>
        <w:contextualSpacing/>
        <w:rPr>
          <w:rFonts w:cs="Arial"/>
          <w:szCs w:val="22"/>
        </w:rPr>
      </w:pPr>
      <w:bookmarkStart w:id="393" w:name="S24c01"/>
      <w:r w:rsidRPr="00541B8B">
        <w:rPr>
          <w:szCs w:val="22"/>
        </w:rPr>
        <w:t>1</w:t>
      </w:r>
      <w:bookmarkEnd w:id="393"/>
      <w:r w:rsidRPr="00541B8B">
        <w:rPr>
          <w:szCs w:val="22"/>
        </w:rPr>
        <w:t>)</w:t>
      </w:r>
      <w:r w:rsidRPr="00541B8B">
        <w:rPr>
          <w:szCs w:val="22"/>
        </w:rPr>
        <w:tab/>
        <w:t>alla luce dell’orientamento consolidato del Comitato per la legislazione, avvalorato dalla prassi della Presidenza della Camera in tema di inammissibilità degli emendamenti e tenuto conto delle sentenze della Corte costituzionale n. 22 del 2012 e n. 237 del 2013 richiamate in premessa, provvedano le Commissioni a sopprimere il comma 2 dell’articolo 1 del disegno di legge di conversione;</w:t>
      </w:r>
      <w:r w:rsidRPr="00541B8B">
        <w:rPr>
          <w:rFonts w:cs="Arial"/>
          <w:szCs w:val="22"/>
        </w:rPr>
        <w:t xml:space="preserve"> [</w:t>
      </w:r>
      <w:hyperlink w:anchor="premessa24"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394" w:name="S24R"/>
      <w:r w:rsidRPr="00541B8B">
        <w:rPr>
          <w:rFonts w:cs="Arial"/>
          <w:b/>
          <w:szCs w:val="22"/>
        </w:rPr>
        <w:t>Raccomandazioni:</w:t>
      </w:r>
    </w:p>
    <w:bookmarkEnd w:id="394"/>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60" w:line="300" w:lineRule="exact"/>
        <w:ind w:left="284"/>
        <w:contextualSpacing/>
        <w:rPr>
          <w:rFonts w:cs="Arial"/>
          <w:szCs w:val="22"/>
        </w:rPr>
      </w:pPr>
      <w:bookmarkStart w:id="395" w:name="S24r01"/>
      <w:r w:rsidRPr="00541B8B">
        <w:rPr>
          <w:rFonts w:cs="Arial"/>
          <w:szCs w:val="22"/>
        </w:rPr>
        <w:t>1</w:t>
      </w:r>
      <w:bookmarkEnd w:id="395"/>
      <w:r w:rsidRPr="00541B8B">
        <w:rPr>
          <w:rFonts w:cs="Arial"/>
          <w:szCs w:val="22"/>
        </w:rPr>
        <w:t>)</w:t>
      </w:r>
      <w:r w:rsidRPr="00541B8B">
        <w:rPr>
          <w:rFonts w:cs="Arial"/>
          <w:szCs w:val="22"/>
        </w:rPr>
        <w:tab/>
      </w:r>
      <w:r w:rsidRPr="00541B8B">
        <w:t>richiamando quanto più volte rilevato in occasione dell’esame dei decreti-legge che regolano la partecipazione italiana alle missioni internazionali, rileva la necessità che, ove si voglia confermare la vigenza delle suddette missioni, si provveda alla loro proroga ed al loro finanziamento in tempi compatibili con la loro scadenza, evitando così di dare copertura normativa all’impegno dell’Italia nelle suddette missioni in via retroattiva, anche tenuto conto della presenza, nei suddetti decreti-legge, di disposizioni in materia penale;</w:t>
      </w:r>
      <w:r w:rsidRPr="00541B8B">
        <w:rPr>
          <w:rFonts w:cs="Arial"/>
          <w:szCs w:val="22"/>
        </w:rPr>
        <w:t xml:space="preserve"> [</w:t>
      </w:r>
      <w:hyperlink w:anchor="premessa24"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line="300" w:lineRule="exact"/>
        <w:ind w:left="284"/>
        <w:contextualSpacing/>
        <w:rPr>
          <w:rFonts w:cs="Arial"/>
          <w:szCs w:val="22"/>
        </w:rPr>
      </w:pPr>
      <w:bookmarkStart w:id="396" w:name="S24r02"/>
      <w:r w:rsidRPr="00541B8B">
        <w:rPr>
          <w:rFonts w:cs="Arial"/>
          <w:szCs w:val="22"/>
        </w:rPr>
        <w:t>2</w:t>
      </w:r>
      <w:bookmarkEnd w:id="396"/>
      <w:r w:rsidRPr="00541B8B">
        <w:rPr>
          <w:rFonts w:cs="Arial"/>
          <w:szCs w:val="22"/>
        </w:rPr>
        <w:t>)</w:t>
      </w:r>
      <w:r w:rsidRPr="00541B8B">
        <w:rPr>
          <w:rFonts w:cs="Arial"/>
          <w:szCs w:val="22"/>
        </w:rPr>
        <w:tab/>
        <w:t>in presenza di norme dirette a sostituire, modificare, abrogare o derogare norme vigenti, abbia cura il legislatore, in ottemperanza a quanto stabilito dall’articolo 13-bis della legge n. 400 del 1988, di indicare espressamente le norme sostituite, modificate, abrogate o derogate". [</w:t>
      </w:r>
      <w:hyperlink w:anchor="premessa24"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60"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0025</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3926</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23" w:history="1">
              <w:r w:rsidR="00541B8B" w:rsidRPr="00541B8B">
                <w:rPr>
                  <w:rFonts w:cs="Arial"/>
                  <w:color w:val="0000FF"/>
                  <w:szCs w:val="22"/>
                  <w:u w:val="single"/>
                </w:rPr>
                <w:t>DL 113/2016</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Enti territoriali e territorio</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24" w:anchor="data.20160706.com48.bollettino.sede00010.tit00010" w:history="1">
              <w:r w:rsidR="00541B8B" w:rsidRPr="00541B8B">
                <w:rPr>
                  <w:rFonts w:cs="Arial"/>
                  <w:color w:val="0000FF"/>
                  <w:szCs w:val="22"/>
                  <w:u w:val="single"/>
                </w:rPr>
                <w:t>06/07/2016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96-</w:t>
            </w:r>
            <w:r w:rsidRPr="00541B8B">
              <w:rPr>
                <w:rFonts w:cs="Arial"/>
                <w:b/>
                <w:bCs/>
                <w:i/>
                <w:sz w:val="24"/>
                <w:szCs w:val="24"/>
              </w:rPr>
              <w:t>BIS</w:t>
            </w:r>
            <w:r w:rsidRPr="00541B8B">
              <w:rPr>
                <w:rFonts w:cs="Arial"/>
                <w:b/>
                <w:bCs/>
                <w:sz w:val="24"/>
                <w:szCs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397" w:name="premessa25"/>
            <w:r w:rsidRPr="00541B8B">
              <w:rPr>
                <w:rFonts w:cs="Arial"/>
                <w:b/>
                <w:color w:val="0000FF"/>
                <w:sz w:val="24"/>
                <w:szCs w:val="24"/>
              </w:rPr>
              <w:t>Premessa</w:t>
            </w:r>
            <w:bookmarkEnd w:id="397"/>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4 Condizioni, 3 Osservazioni</w:t>
            </w:r>
          </w:p>
        </w:tc>
      </w:tr>
      <w:tr w:rsidR="00541B8B" w:rsidRPr="00541B8B" w:rsidTr="00D20CCA">
        <w:trPr>
          <w:trHeight w:val="711"/>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5a01" w:history="1">
              <w:r w:rsidR="00541B8B" w:rsidRPr="00541B8B">
                <w:rPr>
                  <w:rFonts w:cs="Arial"/>
                  <w:color w:val="0000FF"/>
                  <w:szCs w:val="22"/>
                  <w:u w:val="single"/>
                </w:rPr>
                <w:t>1</w:t>
              </w:r>
            </w:hyperlink>
            <w:r w:rsidR="00541B8B" w:rsidRPr="00541B8B">
              <w:rPr>
                <w:rFonts w:cs="Arial"/>
                <w:szCs w:val="22"/>
              </w:rPr>
              <w:t xml:space="preserve"> – Contenuto disomogeneo con finalità univoca [rilevato implicitamente nel parere]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Complesso di interventi accomunati dalla natura finanziaria e finalizzati ad incidere su distinti settori dell’ordinamento.</w:t>
            </w:r>
          </w:p>
        </w:tc>
      </w:tr>
      <w:tr w:rsidR="00541B8B" w:rsidRPr="00541B8B" w:rsidTr="00D20CCA">
        <w:trPr>
          <w:trHeight w:val="1077"/>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5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Modifiche non testuali</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Osservazione 1</w:t>
            </w:r>
          </w:p>
        </w:tc>
      </w:tr>
      <w:tr w:rsidR="00541B8B" w:rsidRPr="00541B8B" w:rsidTr="00D20CCA">
        <w:trPr>
          <w:trHeight w:val="838"/>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5a03" w:history="1">
              <w:r w:rsidR="00541B8B" w:rsidRPr="00541B8B">
                <w:rPr>
                  <w:rFonts w:cs="Arial"/>
                  <w:color w:val="0000FF"/>
                  <w:szCs w:val="22"/>
                  <w:u w:val="single"/>
                </w:rPr>
                <w:t>3</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Osservazione 2</w:t>
            </w:r>
          </w:p>
        </w:tc>
      </w:tr>
      <w:tr w:rsidR="00541B8B" w:rsidRPr="00541B8B" w:rsidTr="00D20CCA">
        <w:trPr>
          <w:trHeight w:val="107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5a04" w:history="1">
              <w:r w:rsidR="00541B8B" w:rsidRPr="00541B8B">
                <w:rPr>
                  <w:rFonts w:cs="Arial"/>
                  <w:color w:val="0000FF"/>
                  <w:szCs w:val="22"/>
                  <w:u w:val="single"/>
                </w:rPr>
                <w:t>4</w:t>
              </w:r>
            </w:hyperlink>
            <w:r w:rsidR="00541B8B" w:rsidRPr="00541B8B">
              <w:rPr>
                <w:rFonts w:cs="Arial"/>
                <w:szCs w:val="22"/>
              </w:rPr>
              <w:t xml:space="preserve"> – Portata normativa</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Disposizioni recanti mera indicazione di finalità o di contesto.</w:t>
            </w:r>
          </w:p>
        </w:tc>
      </w:tr>
      <w:tr w:rsidR="00541B8B" w:rsidRPr="00541B8B" w:rsidTr="00D20CCA">
        <w:trPr>
          <w:trHeight w:val="469"/>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5a05" w:history="1">
              <w:r w:rsidR="00541B8B" w:rsidRPr="00541B8B">
                <w:rPr>
                  <w:rFonts w:cs="Arial"/>
                  <w:color w:val="0000FF"/>
                  <w:szCs w:val="22"/>
                  <w:u w:val="single"/>
                </w:rPr>
                <w:t>5</w:t>
              </w:r>
            </w:hyperlink>
            <w:r w:rsidR="00541B8B" w:rsidRPr="00541B8B">
              <w:rPr>
                <w:rFonts w:cs="Arial"/>
                <w:szCs w:val="22"/>
              </w:rPr>
              <w:t xml:space="preserve"> – Disposizioni transitorie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p>
        </w:tc>
      </w:tr>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5a06" w:history="1">
              <w:r w:rsidR="00541B8B" w:rsidRPr="00541B8B">
                <w:rPr>
                  <w:color w:val="0000FF"/>
                  <w:szCs w:val="22"/>
                  <w:u w:val="single"/>
                </w:rPr>
                <w:t>6</w:t>
              </w:r>
            </w:hyperlink>
            <w:r w:rsidR="00541B8B" w:rsidRPr="00541B8B">
              <w:rPr>
                <w:szCs w:val="22"/>
              </w:rPr>
              <w:t xml:space="preserve"> – Coerente utilizzo delle fonti normative</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Previsione di uno strumento di comunicazione in luogo di un atto giuridico.</w:t>
            </w:r>
          </w:p>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1</w:t>
            </w:r>
          </w:p>
        </w:tc>
      </w:tr>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5a07" w:history="1">
              <w:r w:rsidR="00541B8B" w:rsidRPr="00541B8B">
                <w:rPr>
                  <w:rFonts w:cs="Arial"/>
                  <w:color w:val="0000FF"/>
                  <w:szCs w:val="22"/>
                  <w:u w:val="single"/>
                </w:rPr>
                <w:t>7</w:t>
              </w:r>
            </w:hyperlink>
            <w:r w:rsidR="00541B8B" w:rsidRPr="00541B8B">
              <w:rPr>
                <w:rFonts w:cs="Arial"/>
                <w:szCs w:val="22"/>
              </w:rPr>
              <w:t xml:space="preserve"> – Riferimenti normativi generici o imprecisi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2</w:t>
            </w:r>
          </w:p>
        </w:tc>
      </w:tr>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5a08" w:history="1">
              <w:r w:rsidR="00541B8B" w:rsidRPr="00541B8B">
                <w:rPr>
                  <w:color w:val="0000FF"/>
                  <w:szCs w:val="22"/>
                  <w:u w:val="single"/>
                </w:rPr>
                <w:t>8</w:t>
              </w:r>
            </w:hyperlink>
            <w:r w:rsidR="00541B8B" w:rsidRPr="00541B8B">
              <w:rPr>
                <w:szCs w:val="22"/>
              </w:rPr>
              <w:t xml:space="preserve"> – Riferimenti normativi imprecisi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4</w:t>
            </w:r>
          </w:p>
        </w:tc>
      </w:tr>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5a09" w:history="1">
              <w:r w:rsidR="00541B8B" w:rsidRPr="00541B8B">
                <w:rPr>
                  <w:color w:val="0000FF"/>
                  <w:szCs w:val="22"/>
                  <w:u w:val="single"/>
                </w:rPr>
                <w:t>9</w:t>
              </w:r>
            </w:hyperlink>
            <w:r w:rsidR="00541B8B" w:rsidRPr="00541B8B">
              <w:rPr>
                <w:szCs w:val="22"/>
              </w:rPr>
              <w:t xml:space="preserve"> – Riferimenti normativi generici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Osservazione 3</w:t>
            </w:r>
          </w:p>
        </w:tc>
      </w:tr>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5a10" w:history="1">
              <w:r w:rsidR="00541B8B" w:rsidRPr="00541B8B">
                <w:rPr>
                  <w:rFonts w:cs="Arial"/>
                  <w:color w:val="0000FF"/>
                  <w:szCs w:val="22"/>
                  <w:u w:val="single"/>
                </w:rPr>
                <w:t>10</w:t>
              </w:r>
            </w:hyperlink>
            <w:r w:rsidR="00541B8B" w:rsidRPr="00541B8B">
              <w:rPr>
                <w:rFonts w:cs="Arial"/>
                <w:szCs w:val="22"/>
              </w:rPr>
              <w:t xml:space="preserve"> – Riferimenti normativi imprecisi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Condizione 3</w:t>
            </w:r>
          </w:p>
        </w:tc>
      </w:tr>
      <w:tr w:rsidR="00541B8B" w:rsidRPr="00541B8B" w:rsidTr="00D20CCA">
        <w:trPr>
          <w:trHeight w:val="732"/>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5a11" w:history="1">
              <w:r w:rsidR="00541B8B" w:rsidRPr="00541B8B">
                <w:rPr>
                  <w:color w:val="0000FF"/>
                  <w:szCs w:val="22"/>
                  <w:u w:val="single"/>
                </w:rPr>
                <w:t>11</w:t>
              </w:r>
            </w:hyperlink>
            <w:r w:rsidR="00541B8B" w:rsidRPr="00541B8B">
              <w:rPr>
                <w:szCs w:val="22"/>
              </w:rPr>
              <w:t xml:space="preserve"> -</w:t>
            </w:r>
            <w:r w:rsidR="00541B8B" w:rsidRPr="00541B8B">
              <w:rPr>
                <w:rFonts w:cs="Arial"/>
                <w:szCs w:val="22"/>
              </w:rPr>
              <w:t xml:space="preserve">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Assenti</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lastRenderedPageBreak/>
              <w:t>Rilievi</w:t>
            </w:r>
          </w:p>
        </w:tc>
      </w:tr>
    </w:tbl>
    <w:tbl>
      <w:tblPr>
        <w:tblW w:w="5019" w:type="pct"/>
        <w:tblLook w:val="01E0" w:firstRow="1" w:lastRow="1" w:firstColumn="1" w:lastColumn="1" w:noHBand="0" w:noVBand="0"/>
      </w:tblPr>
      <w:tblGrid>
        <w:gridCol w:w="4772"/>
        <w:gridCol w:w="4549"/>
      </w:tblGrid>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5C" w:history="1">
              <w:r w:rsidR="00541B8B" w:rsidRPr="00541B8B">
                <w:rPr>
                  <w:rFonts w:cs="Arial"/>
                  <w:color w:val="0000FF"/>
                  <w:szCs w:val="22"/>
                  <w:u w:val="single"/>
                </w:rPr>
                <w:t>C</w:t>
              </w:r>
            </w:hyperlink>
            <w:r w:rsidR="00541B8B" w:rsidRPr="00541B8B">
              <w:rPr>
                <w:rFonts w:cs="Arial"/>
                <w:szCs w:val="22"/>
              </w:rPr>
              <w:t xml:space="preserve"> - Condizioni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r w:rsidR="00541B8B" w:rsidRPr="00541B8B" w:rsidTr="00D20CCA">
        <w:trPr>
          <w:trHeight w:val="423"/>
        </w:trPr>
        <w:tc>
          <w:tcPr>
            <w:tcW w:w="2560" w:type="pct"/>
            <w:tcBorders>
              <w:top w:val="nil"/>
              <w:left w:val="nil"/>
              <w:bottom w:val="nil"/>
              <w:right w:val="nil"/>
            </w:tcBorders>
            <w:shd w:val="clear" w:color="auto" w:fill="auto"/>
          </w:tcPr>
          <w:p w:rsidR="00541B8B" w:rsidRPr="00541B8B" w:rsidRDefault="00DC78AD" w:rsidP="00541B8B">
            <w:pPr>
              <w:keepNext/>
              <w:spacing w:before="100" w:beforeAutospacing="1" w:after="100" w:afterAutospacing="1"/>
              <w:ind w:firstLine="0"/>
              <w:contextualSpacing/>
              <w:jc w:val="left"/>
              <w:rPr>
                <w:rFonts w:cs="Arial"/>
                <w:szCs w:val="22"/>
              </w:rPr>
            </w:pPr>
            <w:hyperlink w:anchor="S25O" w:history="1">
              <w:r w:rsidR="00541B8B" w:rsidRPr="00541B8B">
                <w:rPr>
                  <w:rFonts w:cs="Arial"/>
                  <w:color w:val="0000FF"/>
                  <w:szCs w:val="22"/>
                  <w:u w:val="single"/>
                </w:rPr>
                <w:t>O</w:t>
              </w:r>
            </w:hyperlink>
            <w:r w:rsidR="00541B8B" w:rsidRPr="00541B8B">
              <w:rPr>
                <w:rFonts w:cs="Arial"/>
                <w:szCs w:val="22"/>
              </w:rPr>
              <w:t xml:space="preserve"> - Osservazioni</w:t>
            </w:r>
          </w:p>
        </w:tc>
        <w:tc>
          <w:tcPr>
            <w:tcW w:w="244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p>
        </w:tc>
      </w:tr>
    </w:tbl>
    <w:p w:rsidR="00541B8B" w:rsidRPr="00541B8B" w:rsidRDefault="00541B8B" w:rsidP="00541B8B">
      <w:pPr>
        <w:spacing w:before="60" w:after="60"/>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nessuno.</w:t>
            </w:r>
          </w:p>
        </w:tc>
      </w:tr>
    </w:tbl>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98" w:name="S25a01"/>
      <w:r w:rsidRPr="00541B8B">
        <w:rPr>
          <w:rFonts w:cs="Arial"/>
          <w:szCs w:val="22"/>
        </w:rPr>
        <w:t>1</w:t>
      </w:r>
      <w:bookmarkEnd w:id="398"/>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decreto-legge reca un complesso di interventi – accomunati dalla natura, che appare di carattere prevalentemente finanziario - volti ad incidere su distinti settori dell’ordinamento (enti territoriali, sistema sanitario, emergenze ambientali, agricoltura e attività culturali), opportunamente raggruppati in altrettanti Capi; del complesso delle richiamate misure dà analiticamente conto il preambolo del decreto; l’intestazione si riferisce invece solo ad una parte degli interventi e cioè a quelli destinati al territorio e agli enti territoriali»;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399" w:name="S25a02"/>
      <w:r w:rsidRPr="00541B8B">
        <w:rPr>
          <w:rFonts w:cs="Arial"/>
          <w:szCs w:val="22"/>
        </w:rPr>
        <w:t>2</w:t>
      </w:r>
      <w:bookmarkEnd w:id="399"/>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 </w:t>
      </w:r>
      <w:r w:rsidRPr="00541B8B">
        <w:rPr>
          <w:rFonts w:cs="Arial"/>
          <w:szCs w:val="22"/>
        </w:rPr>
        <w:t xml:space="preserve">nel procedere a numerose modifiche della disciplina vigente, il decreto-legge ricorre generalmente alla tecnica della novellazione ed effettua gli opportuni coordinamenti con il tessuto normativo previgente; in alcuni casi, si registra tuttavia un insufficiente coordinamento con le preesistenti fonti normative, in ragione del fatto che talune disposizioni intervengono su di esse mediante </w:t>
      </w:r>
      <w:r w:rsidRPr="00541B8B">
        <w:rPr>
          <w:rFonts w:cs="Arial"/>
          <w:b/>
          <w:szCs w:val="22"/>
        </w:rPr>
        <w:t>modifiche non testuali</w:t>
      </w:r>
      <w:r w:rsidRPr="00541B8B">
        <w:rPr>
          <w:rFonts w:cs="Arial"/>
          <w:szCs w:val="22"/>
        </w:rPr>
        <w:t>. Ciò si riscontra, ad esempio, all’articolo 3 che, nel prevedere l’assegnazione di un contributo straordinario al comune dell’Aquila, fa sistema con le disposizioni contenute all’articolo 7-bis, comma 1, del decreto-legge n. 43 del 2013; all’articolo 6 che, intervenendo sulla restituzione dei finanziamenti contratti a seguito del sisma del 2012 per il pagamento di tributi, contributi previdenziali e assistenziali e premi per l’assicurazione obbligatoria, differisce in via non testuale un termine originariamente previsto dall’articolo 6, commi 2 e 3 del decreto-legge n. 43 del 2013 e più volte prorogato sempre in via non testuale; all’articolo 10, comma 4, in materia di pagamenti dei debiti degli enti del servizio sanitario nazionale-SSN, che incide in via non testuale sul disposto dell’articolo 3, comma 7, del decreto-legge n. 35 del 2013» (</w:t>
      </w:r>
      <w:hyperlink w:anchor="S25o01"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400" w:name="S25a03"/>
      <w:r w:rsidRPr="00541B8B">
        <w:rPr>
          <w:rFonts w:cs="Arial"/>
          <w:szCs w:val="22"/>
        </w:rPr>
        <w:t>3</w:t>
      </w:r>
      <w:bookmarkEnd w:id="400"/>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«ulteriori </w:t>
      </w:r>
      <w:r w:rsidRPr="00541B8B">
        <w:rPr>
          <w:rFonts w:cs="Arial"/>
          <w:b/>
          <w:szCs w:val="22"/>
        </w:rPr>
        <w:t>problemi di coordinamento</w:t>
      </w:r>
      <w:r w:rsidRPr="00541B8B">
        <w:rPr>
          <w:rFonts w:cs="Arial"/>
          <w:szCs w:val="22"/>
        </w:rPr>
        <w:t xml:space="preserve"> si pongono all’articolo 24, recante disposizioni per le fondazioni lirico-sinfoniche, che, al comma 2, modifica l’articolo 1, comma 355, della legge n. 208 del 2015, prevedendo che le fondazioni che, alla data dell’entrata in vigore della succitata legge, avevano già presentato il piano di risanamento ai sensi dell’articolo 11 del decreto-legge n. 91 del 2013 “sono tenute al raggiungimento del pareggio economico, in ciascun esercizio, e del tendenziale equilibrio patrimoniale e finanziario, entro l’esercizio finanziario 2018”. In proposito, si segnala che l’articolo 11, comma 14, del decreto-legge n. 91 del 2013, riferendosi alle stesse fondazioni (attraverso il rinvio al comma 1 del medesimo art. 11), prevede invece che esse ove “non raggiungano il pareggio economico e, entro l’esercizio 2016, il tendenziale equilibrio patrimoniale e finanziario sono poste in liquidazione coatta amministrativa”» (</w:t>
      </w:r>
      <w:hyperlink w:anchor="S25o02"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bookmarkStart w:id="401" w:name="S25a04"/>
      <w:r w:rsidRPr="00541B8B">
        <w:rPr>
          <w:rFonts w:cs="Arial"/>
          <w:szCs w:val="22"/>
        </w:rPr>
        <w:lastRenderedPageBreak/>
        <w:t>4</w:t>
      </w:r>
      <w:bookmarkEnd w:id="401"/>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decreto-legge contiene infine alcune disposizioni delle quali andrebbe valutata la </w:t>
      </w:r>
      <w:r w:rsidRPr="00541B8B">
        <w:rPr>
          <w:rFonts w:cs="Arial"/>
          <w:b/>
          <w:szCs w:val="22"/>
        </w:rPr>
        <w:t>portata normativa</w:t>
      </w:r>
      <w:r w:rsidRPr="00541B8B">
        <w:rPr>
          <w:rFonts w:cs="Arial"/>
          <w:szCs w:val="22"/>
        </w:rPr>
        <w:t xml:space="preserve"> in quanto recanti mera indicazione di finalità o di contesto; si tratta, in particolare, delle disposizioni di cui alle prime quattro righe dell’articolo 17, comma 1, capoverso 228-ter, che indicano le finalità della norma, e all’articolo 21, comma 1, che introduce le disposizioni contenute nell’articolo (riguardanti il governo della spesa farmaceutica) con indicazioni di contesto e finalità»;</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402" w:name="S25a05"/>
      <w:r w:rsidRPr="00541B8B">
        <w:rPr>
          <w:rFonts w:cs="Arial"/>
          <w:szCs w:val="22"/>
        </w:rPr>
        <w:t>5</w:t>
      </w:r>
      <w:bookmarkEnd w:id="402"/>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decreto-legge reca numerose disposizioni alle quali conferisce </w:t>
      </w:r>
      <w:r w:rsidRPr="00541B8B">
        <w:rPr>
          <w:rFonts w:cs="Arial"/>
          <w:b/>
          <w:szCs w:val="22"/>
        </w:rPr>
        <w:t>carattere temporaneo o transitorio</w:t>
      </w:r>
      <w:r w:rsidRPr="00541B8B">
        <w:rPr>
          <w:rFonts w:cs="Arial"/>
          <w:szCs w:val="22"/>
        </w:rPr>
        <w:t>, per il tempo necessario all’introduzione di una disciplina a regime; in particolare, l’articolo 11, comma 1, dà tempestiva attuazione all’accordo tra il Governo e la Regione Siciliana sottoscritto in data 20 giugno 2016, “nelle more dell’approvazione delle modifiche da apportare a decorrere dall’anno 2016 alle norme di attuazione dello statuto della Regione Siciliana”, con formulazione che ricalca quella già contenuta al comma 685 dell’articolo 1 della legge n 208 del 2015, a testimonianza della difficoltà di adottare norme di attuazione dello statuto siciliano con lo strumento che sarebbe a ciò deputato, come anche si evince dall’auspicio formulato dalla Corte costituzionale nella sentenza n. 66 del 2001 “È pertanto da rinnovare l'auspicio (già espresso nella sentenza n. 138 del 1999) che Stato e Regione, attraverso la specifica forma di collaborazione prevista dall'articolo 43 dello statuto ai fini della adozione delle norme di attuazione, si attivino per adeguare alle nuove esigenze e realtà l'attuale assetto normativo in questa materia”; disposizioni di carattere transitorio si rinvengono altresì all’articolo 13, che, “Nelle more del riordino del sistema della fiscalità locale”, proroga ulteriormente l’entrata in vigore dei meccanismi di finanziamento delle funzioni regionali, originariamente prevista a decorrere dal 2013 dall’articolo 2 del decreto legislativo 6 maggio 2011, n. 68; all’articolo 18, che interviene “nelle more del riordino della disciplina della riscossione” degli enti locali, oggetto della delega contenuta nell’articolo 10, comma 1, lettera c) della legge 11 marzo 2014, n. 23, il cui termine di attuazione risulta scaduto il 27 giugno 2015; infine, all’articolo 20, comma 2, che, “Nelle more del perfezionamento dei decreti del Presidente del Consiglio dei ministri di determinazione delle quote di compartecipazione all’IVA delle Regioni (…)”, autorizza il Ministero dell’economia e delle finanze ad erogare alle regioni, nell’esercizio 2016, “le quote di compartecipazione all’IVA relative al finanziamento del Servizio sanitario nazionale degli esercizi 2014 e 2015 la cui erogazione non sia condizionata dalla verifica positiva di adempimenti regionali”, in deroga all’articolo 77-</w:t>
      </w:r>
      <w:r w:rsidRPr="00541B8B">
        <w:rPr>
          <w:rFonts w:cs="Arial"/>
          <w:i/>
          <w:szCs w:val="22"/>
        </w:rPr>
        <w:t>quater</w:t>
      </w:r>
      <w:r w:rsidRPr="00541B8B">
        <w:rPr>
          <w:rFonts w:cs="Arial"/>
          <w:szCs w:val="22"/>
        </w:rPr>
        <w:t>, comma 4, del decreto-legge n. 112 del 2008, che detta una diversa disciplina transitoria applicabile nelle more dell’emanazione dei richiamati DPCM»;</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403" w:name="S25a06"/>
      <w:r w:rsidRPr="00541B8B">
        <w:rPr>
          <w:rFonts w:cs="Arial"/>
          <w:szCs w:val="22"/>
        </w:rPr>
        <w:t>6</w:t>
      </w:r>
      <w:bookmarkEnd w:id="403"/>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«il provvedimento d’urgenza, all’articolo 14, comma 1, settimo periodo, affida la definizione del “tasso di interesse da applicare alle suddette anticipazioni (..) sulla base del rendimento di mercato dei Buoni poliennali del tesoro a 5 anni in corso di emissione” ad </w:t>
      </w:r>
      <w:r w:rsidRPr="00541B8B">
        <w:rPr>
          <w:rFonts w:cs="Arial"/>
          <w:b/>
          <w:szCs w:val="22"/>
        </w:rPr>
        <w:t>uno strumento di comunicazione</w:t>
      </w:r>
      <w:r w:rsidRPr="00541B8B">
        <w:rPr>
          <w:rFonts w:cs="Arial"/>
          <w:szCs w:val="22"/>
        </w:rPr>
        <w:t xml:space="preserve"> (“comunicato del Direttore generale del tesoro da emanare e pubblicare sul sito internet del Ministero dell'economia e delle finanze”), piuttosto che ad un atto giuridico, come, ad esempio, un decreto ministeriale» (</w:t>
      </w:r>
      <w:hyperlink w:anchor="S25c01"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404" w:name="S25a07"/>
      <w:r w:rsidRPr="00541B8B">
        <w:rPr>
          <w:rFonts w:cs="Arial"/>
          <w:szCs w:val="22"/>
        </w:rPr>
        <w:lastRenderedPageBreak/>
        <w:t>7</w:t>
      </w:r>
      <w:bookmarkEnd w:id="404"/>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il provvedimento si rapporta alla normativa vigente procedendo in alcune occasioni mediante </w:t>
      </w:r>
      <w:r w:rsidRPr="00541B8B">
        <w:rPr>
          <w:b/>
        </w:rPr>
        <w:t>richiami generici o inesatti</w:t>
      </w:r>
      <w:r w:rsidRPr="00541B8B">
        <w:t xml:space="preserve"> che sarebbe opportuno, rispettivamente, precisare o correggere; in particolare, l’articolo 5, comma 1, lettera b), capoverso 462, dispone che “La Prefettura - Ufficio territoriale del Governo di Salerno, acquisito il parere dell'Avvocatura dello Stato ai sensi dell'articolo 14 del regio decreto 18 novembre 1923, n. 2440” (che disciplina il parere del Consiglio di Stato prima dell’approvazione di atti di transazione diretti a prevenire o a troncare contestazioni giudiziarie), richiamando l’articolo 14 del succitato regio decreto, in luogo dell’articolo 13 del regio decreto 30 ottobre 1933, n. 1611 (testo unico sulla rappresentanza e difesa in giudizio dello Stato e sull’ordinamento dell’Avvocatura dello Stato), ove trova fondamento l’attività consultiva dell’Avvocatura dello Stato</w:t>
      </w:r>
      <w:r w:rsidRPr="00541B8B">
        <w:rPr>
          <w:rFonts w:cs="Arial"/>
          <w:szCs w:val="22"/>
        </w:rPr>
        <w:t>» (</w:t>
      </w:r>
      <w:hyperlink w:anchor="S25c02"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405" w:name="S25a08"/>
      <w:r w:rsidRPr="00541B8B">
        <w:rPr>
          <w:rFonts w:cs="Arial"/>
          <w:szCs w:val="22"/>
        </w:rPr>
        <w:t>8</w:t>
      </w:r>
      <w:bookmarkEnd w:id="405"/>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 un </w:t>
      </w:r>
      <w:r w:rsidRPr="00541B8B">
        <w:rPr>
          <w:b/>
        </w:rPr>
        <w:t>rinvio normativo inesatto</w:t>
      </w:r>
      <w:r w:rsidRPr="00541B8B">
        <w:t xml:space="preserve"> si rinviene anche al successivo articolo 21, comma 10, che richiama la legge 24 dicembre 2012, n. 537, in luogo della legge 24 dicembre 1993, n. 537</w:t>
      </w:r>
      <w:r w:rsidRPr="00541B8B">
        <w:rPr>
          <w:rFonts w:cs="Arial"/>
          <w:szCs w:val="22"/>
        </w:rPr>
        <w:t>» (</w:t>
      </w:r>
      <w:hyperlink w:anchor="S25c04"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406" w:name="S25a09"/>
      <w:r w:rsidRPr="00541B8B">
        <w:rPr>
          <w:rFonts w:cs="Arial"/>
          <w:szCs w:val="22"/>
        </w:rPr>
        <w:t>9</w:t>
      </w:r>
      <w:bookmarkEnd w:id="406"/>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l’articolo 11, comma 4, ultimo periodo, si riferisce genericamente all’inapplicabilità alla regione siciliana delle “disposizioni in materia di patto di stabilità interno in contrasto con il presente comma”, senza specificare a quali disposizioni si intenda fare riferimento</w:t>
      </w:r>
      <w:r w:rsidRPr="00541B8B">
        <w:rPr>
          <w:rFonts w:cs="Arial"/>
          <w:szCs w:val="22"/>
        </w:rPr>
        <w:t>» (</w:t>
      </w:r>
      <w:hyperlink w:anchor="S25o03" w:history="1">
        <w:r w:rsidRPr="00541B8B">
          <w:rPr>
            <w:rFonts w:cs="Arial"/>
            <w:b/>
            <w:color w:val="0000FF"/>
            <w:szCs w:val="22"/>
            <w:u w:val="single"/>
          </w:rPr>
          <w:t>conseguente osservazione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407" w:name="S25a10"/>
      <w:r w:rsidRPr="00541B8B">
        <w:rPr>
          <w:rFonts w:cs="Arial"/>
          <w:szCs w:val="22"/>
        </w:rPr>
        <w:t>10</w:t>
      </w:r>
      <w:bookmarkEnd w:id="407"/>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il decreto-legge, all’articolo 8, impropriamente si riferisce alle “province montane” piuttosto che alle “province con territorio interamente montano e confinanti con Paesi stranieri” sulla base della dizione contenuta all’articolo 1, comma 3, della legge 7 aprile 2014, n. 56</w:t>
      </w:r>
      <w:r w:rsidRPr="00541B8B">
        <w:rPr>
          <w:rFonts w:cs="Arial"/>
          <w:szCs w:val="22"/>
        </w:rPr>
        <w:t>» (</w:t>
      </w:r>
      <w:hyperlink w:anchor="S25c03" w:history="1">
        <w:r w:rsidRPr="00541B8B">
          <w:rPr>
            <w:rFonts w:cs="Arial"/>
            <w:b/>
            <w:color w:val="0000FF"/>
            <w:szCs w:val="22"/>
            <w:u w:val="single"/>
          </w:rPr>
          <w:t>conseguente condizione</w:t>
        </w:r>
      </w:hyperlink>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120"/>
        <w:contextualSpacing/>
        <w:rPr>
          <w:rFonts w:cs="Arial"/>
          <w:szCs w:val="22"/>
        </w:rPr>
      </w:pPr>
      <w:bookmarkStart w:id="408" w:name="S25a11"/>
      <w:r w:rsidRPr="00541B8B">
        <w:rPr>
          <w:rFonts w:cs="Arial"/>
          <w:szCs w:val="22"/>
        </w:rPr>
        <w:t>11</w:t>
      </w:r>
      <w:bookmarkEnd w:id="408"/>
      <w:r w:rsidRPr="00541B8B">
        <w:rPr>
          <w:rFonts w:cs="Arial"/>
          <w:szCs w:val="22"/>
        </w:rPr>
        <w:t xml:space="preserve"> - </w:t>
      </w:r>
      <w:hyperlink w:anchor="premessa25"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il disegno di legge non è corredato né della relazione sull’analisi tecnico-normativa (</w:t>
      </w:r>
      <w:r w:rsidRPr="00541B8B">
        <w:rPr>
          <w:b/>
        </w:rPr>
        <w:t>ATN</w:t>
      </w:r>
      <w:r w:rsidRPr="00541B8B">
        <w:t>), né della relazione sull’analisi di impatto della regolamentazione (</w:t>
      </w:r>
      <w:r w:rsidRPr="00541B8B">
        <w:rPr>
          <w:b/>
        </w:rPr>
        <w:t>AIR</w:t>
      </w:r>
      <w:r w:rsidRPr="00541B8B">
        <w:t>)</w:t>
      </w:r>
      <w:r w:rsidRPr="00541B8B">
        <w:rPr>
          <w:rFonts w:cs="Arial"/>
          <w:szCs w:val="22"/>
        </w:rPr>
        <w:t>».</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409" w:name="S25C"/>
      <w:r w:rsidRPr="00541B8B">
        <w:rPr>
          <w:rFonts w:cs="Arial"/>
          <w:b/>
          <w:szCs w:val="22"/>
        </w:rPr>
        <w:t>Condizioni:</w:t>
      </w:r>
    </w:p>
    <w:bookmarkEnd w:id="409"/>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Lines="60" w:after="144" w:line="300" w:lineRule="exact"/>
        <w:ind w:left="284"/>
        <w:contextualSpacing/>
        <w:rPr>
          <w:rFonts w:cs="Arial"/>
          <w:szCs w:val="22"/>
        </w:rPr>
      </w:pPr>
      <w:bookmarkStart w:id="410" w:name="S25c01"/>
      <w:r w:rsidRPr="00541B8B">
        <w:rPr>
          <w:szCs w:val="22"/>
        </w:rPr>
        <w:t>1</w:t>
      </w:r>
      <w:bookmarkEnd w:id="410"/>
      <w:r w:rsidRPr="00541B8B">
        <w:rPr>
          <w:szCs w:val="22"/>
        </w:rPr>
        <w:t>)</w:t>
      </w:r>
      <w:r w:rsidRPr="00541B8B">
        <w:rPr>
          <w:szCs w:val="22"/>
        </w:rPr>
        <w:tab/>
        <w:t>all’articolo 14, comma 1, settimo periodo, si valuti di affidare la definizione del tasso di interesse ivi contemplato ad un atto giuridico (quale un decreto ministeriale) piuttosto che ad un comunicato del Direttore generale del tesoro;</w:t>
      </w:r>
      <w:r w:rsidRPr="00541B8B">
        <w:rPr>
          <w:rFonts w:cs="Arial"/>
          <w:szCs w:val="22"/>
        </w:rPr>
        <w:t xml:space="preserve"> [</w:t>
      </w:r>
      <w:hyperlink w:anchor="premessa25"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Lines="60" w:after="144" w:line="300" w:lineRule="exact"/>
        <w:ind w:left="284"/>
        <w:contextualSpacing/>
        <w:rPr>
          <w:rFonts w:cs="Arial"/>
          <w:szCs w:val="22"/>
        </w:rPr>
      </w:pPr>
      <w:bookmarkStart w:id="411" w:name="S25c02"/>
      <w:r w:rsidRPr="00541B8B">
        <w:rPr>
          <w:rFonts w:cs="Arial"/>
          <w:szCs w:val="22"/>
        </w:rPr>
        <w:t>2</w:t>
      </w:r>
      <w:bookmarkEnd w:id="411"/>
      <w:r w:rsidRPr="00541B8B">
        <w:rPr>
          <w:rFonts w:cs="Arial"/>
          <w:szCs w:val="22"/>
        </w:rPr>
        <w:t>)</w:t>
      </w:r>
      <w:r w:rsidRPr="00541B8B">
        <w:rPr>
          <w:rFonts w:cs="Arial"/>
          <w:szCs w:val="22"/>
        </w:rPr>
        <w:tab/>
      </w:r>
      <w:r w:rsidRPr="00541B8B">
        <w:rPr>
          <w:szCs w:val="22"/>
        </w:rPr>
        <w:t xml:space="preserve">per quanto detto in premessa, all’articolo 5, comma 1, lettera b), capoverso 462, si corregga il richiamo normativo errato ivi contenuto all'articolo 14 del regio decreto 18 novembre 1923, n. 2440, sostituendolo con quello, corretto, all’articolo 13 del regio decreto 30 ottobre 1933, n. 1611; </w:t>
      </w:r>
      <w:r w:rsidRPr="00541B8B">
        <w:rPr>
          <w:rFonts w:cs="Arial"/>
          <w:szCs w:val="22"/>
        </w:rPr>
        <w:t>[</w:t>
      </w:r>
      <w:hyperlink w:anchor="premessa25"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bookmarkStart w:id="412" w:name="S25c03"/>
      <w:r w:rsidRPr="00541B8B">
        <w:rPr>
          <w:rFonts w:cs="Arial"/>
          <w:szCs w:val="22"/>
        </w:rPr>
        <w:t>3</w:t>
      </w:r>
      <w:bookmarkEnd w:id="412"/>
      <w:r w:rsidRPr="00541B8B">
        <w:rPr>
          <w:rFonts w:cs="Arial"/>
          <w:szCs w:val="22"/>
        </w:rPr>
        <w:t>)</w:t>
      </w:r>
      <w:r w:rsidRPr="00541B8B">
        <w:rPr>
          <w:rFonts w:cs="Arial"/>
          <w:szCs w:val="22"/>
        </w:rPr>
        <w:tab/>
        <w:t xml:space="preserve">all’articolo 8, si sostituisca il riferimento improprio alle “province montane” con quello - conforme alla dizione contenuta all’articolo 1, comma 3, della legge 7 aprile 2014, </w:t>
      </w:r>
      <w:r w:rsidRPr="00541B8B">
        <w:rPr>
          <w:rFonts w:cs="Arial"/>
          <w:szCs w:val="22"/>
        </w:rPr>
        <w:lastRenderedPageBreak/>
        <w:t>n. 56 - alle “province con territorio interamente montano e confinanti con Paesi stranieri”; [</w:t>
      </w:r>
      <w:hyperlink w:anchor="premessa25"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bookmarkStart w:id="413" w:name="S25c04"/>
      <w:r w:rsidRPr="00541B8B">
        <w:rPr>
          <w:rFonts w:cs="Arial"/>
          <w:szCs w:val="22"/>
        </w:rPr>
        <w:t>4</w:t>
      </w:r>
      <w:bookmarkEnd w:id="413"/>
      <w:r w:rsidRPr="00541B8B">
        <w:rPr>
          <w:rFonts w:cs="Arial"/>
          <w:szCs w:val="22"/>
        </w:rPr>
        <w:t>)</w:t>
      </w:r>
      <w:r w:rsidRPr="00541B8B">
        <w:rPr>
          <w:rFonts w:cs="Arial"/>
          <w:szCs w:val="22"/>
        </w:rPr>
        <w:tab/>
        <w:t>all’articolo 21, comma 10, si sostituisca il richiamo normativo inesatto alla legge 24 dicembre 2012, n. 537, con quello, corretto, alla legge 24 dicembre 1993, n. 537; [</w:t>
      </w:r>
      <w:hyperlink w:anchor="premessa25"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keepNext/>
        <w:spacing w:before="60" w:afterLines="60" w:after="144" w:line="300" w:lineRule="exact"/>
        <w:ind w:left="284"/>
        <w:contextualSpacing/>
        <w:rPr>
          <w:rFonts w:cs="Arial"/>
          <w:b/>
          <w:szCs w:val="22"/>
        </w:rPr>
      </w:pPr>
      <w:bookmarkStart w:id="414" w:name="S25O"/>
      <w:r w:rsidRPr="00541B8B">
        <w:rPr>
          <w:rFonts w:cs="Arial"/>
          <w:b/>
          <w:szCs w:val="22"/>
        </w:rPr>
        <w:t>Osservazioni</w:t>
      </w:r>
      <w:bookmarkEnd w:id="414"/>
      <w:r w:rsidRPr="00541B8B">
        <w:rPr>
          <w:rFonts w:cs="Arial"/>
          <w:b/>
          <w:szCs w:val="22"/>
        </w:rPr>
        <w:t>:</w:t>
      </w:r>
    </w:p>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dell’efficacia del testo per la semplificazione e il riordino della legislazione vigente:</w:t>
      </w:r>
    </w:p>
    <w:p w:rsidR="00541B8B" w:rsidRPr="00541B8B" w:rsidRDefault="00541B8B" w:rsidP="00541B8B">
      <w:pPr>
        <w:spacing w:before="60" w:afterLines="60" w:after="144" w:line="300" w:lineRule="exact"/>
        <w:ind w:left="284"/>
        <w:contextualSpacing/>
        <w:rPr>
          <w:rFonts w:cs="Arial"/>
          <w:szCs w:val="22"/>
        </w:rPr>
      </w:pPr>
      <w:bookmarkStart w:id="415" w:name="S25o01"/>
      <w:r w:rsidRPr="00541B8B">
        <w:rPr>
          <w:rFonts w:cs="Arial"/>
          <w:szCs w:val="22"/>
        </w:rPr>
        <w:t>1</w:t>
      </w:r>
      <w:bookmarkEnd w:id="415"/>
      <w:r w:rsidRPr="00541B8B">
        <w:rPr>
          <w:rFonts w:cs="Arial"/>
          <w:szCs w:val="22"/>
        </w:rPr>
        <w:t>)</w:t>
      </w:r>
      <w:r w:rsidRPr="00541B8B">
        <w:rPr>
          <w:rFonts w:cs="Arial"/>
          <w:szCs w:val="22"/>
        </w:rPr>
        <w:tab/>
      </w:r>
      <w:r w:rsidRPr="00541B8B">
        <w:rPr>
          <w:szCs w:val="22"/>
        </w:rPr>
        <w:t>si dovrebbero riformulare le disposizioni indicate in premessa che incidono in via non testuale su previgenti disposizioni legislative in termini di novella alle medesime;</w:t>
      </w:r>
      <w:r w:rsidRPr="00541B8B">
        <w:rPr>
          <w:rFonts w:cs="Arial"/>
          <w:szCs w:val="22"/>
        </w:rPr>
        <w:t xml:space="preserve"> [</w:t>
      </w:r>
      <w:hyperlink w:anchor="premessa25" w:history="1">
        <w:r w:rsidRPr="00541B8B">
          <w:rPr>
            <w:rFonts w:cs="Arial"/>
            <w:color w:val="0000FF"/>
            <w:szCs w:val="22"/>
            <w:u w:val="single"/>
          </w:rPr>
          <w:t>torna su</w:t>
        </w:r>
      </w:hyperlink>
      <w:r w:rsidRPr="00541B8B">
        <w:rPr>
          <w:rFonts w:cs="Arial"/>
          <w:szCs w:val="22"/>
        </w:rPr>
        <w:t xml:space="preserve">] </w:t>
      </w:r>
    </w:p>
    <w:p w:rsidR="00541B8B" w:rsidRPr="00541B8B" w:rsidRDefault="00541B8B" w:rsidP="00541B8B">
      <w:pPr>
        <w:spacing w:before="60" w:afterLines="60" w:after="144" w:line="300" w:lineRule="exact"/>
        <w:ind w:left="284"/>
        <w:contextualSpacing/>
        <w:rPr>
          <w:rFonts w:cs="Arial"/>
          <w:szCs w:val="22"/>
        </w:rPr>
      </w:pPr>
      <w:bookmarkStart w:id="416" w:name="S25o02"/>
      <w:r w:rsidRPr="00541B8B">
        <w:rPr>
          <w:rFonts w:cs="Arial"/>
          <w:szCs w:val="22"/>
        </w:rPr>
        <w:t>2</w:t>
      </w:r>
      <w:bookmarkEnd w:id="416"/>
      <w:r w:rsidRPr="00541B8B">
        <w:rPr>
          <w:rFonts w:cs="Arial"/>
          <w:szCs w:val="22"/>
        </w:rPr>
        <w:t>)</w:t>
      </w:r>
      <w:r w:rsidRPr="00541B8B">
        <w:rPr>
          <w:rFonts w:cs="Arial"/>
          <w:szCs w:val="22"/>
        </w:rPr>
        <w:tab/>
        <w:t>all’articolo 24, comma 2, si dovrebbe porre riparo al difetto di coordinamento con l’ordinamento vigente indicato in premessa</w:t>
      </w:r>
    </w:p>
    <w:p w:rsidR="00541B8B" w:rsidRPr="00541B8B" w:rsidRDefault="00541B8B" w:rsidP="00541B8B">
      <w:pPr>
        <w:keepNext/>
        <w:spacing w:before="60" w:afterLines="60" w:after="144" w:line="300" w:lineRule="exact"/>
        <w:ind w:left="284"/>
        <w:contextualSpacing/>
        <w:rPr>
          <w:rFonts w:cs="Arial"/>
          <w:i/>
          <w:szCs w:val="22"/>
        </w:rPr>
      </w:pPr>
      <w:r w:rsidRPr="00541B8B">
        <w:rPr>
          <w:rFonts w:cs="Arial"/>
          <w:i/>
          <w:szCs w:val="22"/>
        </w:rPr>
        <w:t>sotto il profilo della chiarezza e della proprietà della formulazione:</w:t>
      </w:r>
    </w:p>
    <w:p w:rsidR="00541B8B" w:rsidRPr="00541B8B" w:rsidRDefault="00541B8B" w:rsidP="00541B8B">
      <w:pPr>
        <w:spacing w:before="60" w:afterLines="60" w:after="144" w:line="300" w:lineRule="exact"/>
        <w:ind w:left="284"/>
        <w:contextualSpacing/>
        <w:rPr>
          <w:rFonts w:cs="Arial"/>
          <w:szCs w:val="22"/>
        </w:rPr>
      </w:pPr>
      <w:bookmarkStart w:id="417" w:name="S25o03"/>
      <w:r w:rsidRPr="00541B8B">
        <w:rPr>
          <w:rFonts w:cs="Arial"/>
          <w:szCs w:val="22"/>
        </w:rPr>
        <w:t>3</w:t>
      </w:r>
      <w:bookmarkEnd w:id="417"/>
      <w:r w:rsidRPr="00541B8B">
        <w:rPr>
          <w:rFonts w:cs="Arial"/>
          <w:szCs w:val="22"/>
        </w:rPr>
        <w:t>)</w:t>
      </w:r>
      <w:r w:rsidRPr="00541B8B">
        <w:rPr>
          <w:rFonts w:cs="Arial"/>
          <w:szCs w:val="22"/>
        </w:rPr>
        <w:tab/>
        <w:t>all’articolo 11, comma 4, ultimo periodo, si dovrebbe specificare la normativa oggetto del rinvio.</w:t>
      </w:r>
    </w:p>
    <w:p w:rsidR="00541B8B" w:rsidRPr="00541B8B" w:rsidRDefault="00541B8B" w:rsidP="00541B8B">
      <w:pPr>
        <w:spacing w:before="60" w:afterLines="60" w:after="144" w:line="300" w:lineRule="exact"/>
        <w:ind w:left="284"/>
        <w:contextualSpacing/>
        <w:rPr>
          <w:rFonts w:cs="Arial"/>
          <w:szCs w:val="22"/>
        </w:rPr>
      </w:pPr>
    </w:p>
    <w:p w:rsidR="00541B8B" w:rsidRPr="00541B8B" w:rsidRDefault="00541B8B" w:rsidP="00541B8B">
      <w:pPr>
        <w:spacing w:before="60" w:afterLines="60" w:after="144" w:line="300" w:lineRule="exact"/>
        <w:ind w:left="284"/>
        <w:contextualSpacing/>
        <w:rPr>
          <w:rFonts w:cs="Arial"/>
          <w:szCs w:val="22"/>
        </w:rPr>
        <w:sectPr w:rsidR="00541B8B" w:rsidRPr="00541B8B" w:rsidSect="00D20CCA">
          <w:pgSz w:w="11906" w:h="16838" w:code="9"/>
          <w:pgMar w:top="1418" w:right="1418" w:bottom="1134" w:left="1418" w:header="567" w:footer="567" w:gutter="0"/>
          <w:cols w:space="708"/>
          <w:docGrid w:linePitch="360"/>
        </w:sectPr>
      </w:pPr>
    </w:p>
    <w:p w:rsidR="00541B8B" w:rsidRPr="00541B8B" w:rsidRDefault="00541B8B" w:rsidP="00541B8B">
      <w:pPr>
        <w:spacing w:before="60" w:after="60"/>
        <w:ind w:firstLine="0"/>
        <w:contextualSpacing/>
        <w:rPr>
          <w:rFonts w:cs="Arial"/>
          <w:i/>
          <w:szCs w:val="22"/>
        </w:rPr>
      </w:pPr>
    </w:p>
    <w:tbl>
      <w:tblPr>
        <w:tblStyle w:val="Grigliatabella"/>
        <w:tblW w:w="5000" w:type="pct"/>
        <w:tblLook w:val="01E0" w:firstRow="1" w:lastRow="1" w:firstColumn="1" w:lastColumn="1" w:noHBand="0" w:noVBand="0"/>
      </w:tblPr>
      <w:tblGrid>
        <w:gridCol w:w="1145"/>
        <w:gridCol w:w="1383"/>
        <w:gridCol w:w="1884"/>
        <w:gridCol w:w="3274"/>
        <w:gridCol w:w="1600"/>
      </w:tblGrid>
      <w:tr w:rsidR="00541B8B" w:rsidRPr="00541B8B" w:rsidTr="00D20CCA">
        <w:trPr>
          <w:cantSplit/>
          <w:trHeight w:val="567"/>
        </w:trPr>
        <w:tc>
          <w:tcPr>
            <w:tcW w:w="595"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N. SCHEDA</w:t>
            </w:r>
          </w:p>
        </w:tc>
        <w:tc>
          <w:tcPr>
            <w:tcW w:w="75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AC</w:t>
            </w:r>
          </w:p>
        </w:tc>
        <w:tc>
          <w:tcPr>
            <w:tcW w:w="1020"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TIPO ATTO</w:t>
            </w:r>
          </w:p>
        </w:tc>
        <w:tc>
          <w:tcPr>
            <w:tcW w:w="1768"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TITOLO BREVE</w:t>
            </w:r>
          </w:p>
        </w:tc>
        <w:tc>
          <w:tcPr>
            <w:tcW w:w="867" w:type="pct"/>
            <w:shd w:val="clear" w:color="auto" w:fill="FFFF99"/>
          </w:tcPr>
          <w:p w:rsidR="00541B8B" w:rsidRPr="00541B8B" w:rsidRDefault="00541B8B" w:rsidP="00541B8B">
            <w:pPr>
              <w:spacing w:before="100" w:beforeAutospacing="1" w:after="100" w:afterAutospacing="1"/>
              <w:ind w:firstLine="0"/>
              <w:contextualSpacing/>
              <w:jc w:val="center"/>
              <w:rPr>
                <w:rFonts w:cs="Arial"/>
                <w:b/>
                <w:color w:val="0000FF"/>
                <w:szCs w:val="22"/>
              </w:rPr>
            </w:pPr>
            <w:r w:rsidRPr="00541B8B">
              <w:rPr>
                <w:rFonts w:cs="Arial"/>
                <w:b/>
                <w:color w:val="0000FF"/>
                <w:szCs w:val="22"/>
              </w:rPr>
              <w:t>DATA PARERE</w:t>
            </w:r>
          </w:p>
        </w:tc>
      </w:tr>
      <w:tr w:rsidR="00541B8B" w:rsidRPr="00541B8B" w:rsidTr="00D20CCA">
        <w:trPr>
          <w:cantSplit/>
          <w:trHeight w:val="832"/>
        </w:trPr>
        <w:tc>
          <w:tcPr>
            <w:tcW w:w="595" w:type="pct"/>
          </w:tcPr>
          <w:p w:rsidR="00541B8B" w:rsidRPr="00541B8B" w:rsidRDefault="00541B8B" w:rsidP="00541B8B">
            <w:pPr>
              <w:spacing w:before="60" w:after="60"/>
              <w:ind w:firstLine="0"/>
              <w:contextualSpacing/>
              <w:jc w:val="center"/>
              <w:rPr>
                <w:rFonts w:cs="Arial"/>
                <w:b/>
                <w:szCs w:val="22"/>
              </w:rPr>
            </w:pPr>
            <w:r w:rsidRPr="00541B8B">
              <w:rPr>
                <w:rFonts w:cs="Arial"/>
                <w:b/>
                <w:szCs w:val="22"/>
              </w:rPr>
              <w:t>0026</w:t>
            </w:r>
          </w:p>
        </w:tc>
        <w:tc>
          <w:tcPr>
            <w:tcW w:w="750" w:type="pct"/>
          </w:tcPr>
          <w:p w:rsidR="00541B8B" w:rsidRPr="00541B8B" w:rsidRDefault="00541B8B" w:rsidP="00541B8B">
            <w:pPr>
              <w:spacing w:before="60" w:after="60"/>
              <w:ind w:firstLine="0"/>
              <w:contextualSpacing/>
              <w:jc w:val="center"/>
              <w:rPr>
                <w:rFonts w:cs="Arial"/>
                <w:b/>
                <w:iCs/>
                <w:color w:val="0000FF"/>
                <w:szCs w:val="22"/>
              </w:rPr>
            </w:pPr>
            <w:r w:rsidRPr="00541B8B">
              <w:rPr>
                <w:rFonts w:cs="Arial"/>
                <w:b/>
                <w:iCs/>
                <w:color w:val="0000FF"/>
                <w:szCs w:val="22"/>
              </w:rPr>
              <w:t>3954</w:t>
            </w:r>
          </w:p>
        </w:tc>
        <w:tc>
          <w:tcPr>
            <w:tcW w:w="1020" w:type="pct"/>
          </w:tcPr>
          <w:p w:rsidR="00541B8B" w:rsidRPr="00541B8B" w:rsidRDefault="00DC78AD" w:rsidP="00541B8B">
            <w:pPr>
              <w:spacing w:before="100" w:beforeAutospacing="1" w:after="100" w:afterAutospacing="1"/>
              <w:ind w:firstLine="0"/>
              <w:contextualSpacing/>
              <w:jc w:val="center"/>
              <w:rPr>
                <w:rFonts w:cs="Arial"/>
                <w:szCs w:val="22"/>
              </w:rPr>
            </w:pPr>
            <w:hyperlink r:id="rId425" w:history="1">
              <w:r w:rsidR="00541B8B" w:rsidRPr="00541B8B">
                <w:rPr>
                  <w:rFonts w:cs="Arial"/>
                  <w:color w:val="0000FF"/>
                  <w:szCs w:val="22"/>
                  <w:u w:val="single"/>
                </w:rPr>
                <w:t>DL 117/2016</w:t>
              </w:r>
            </w:hyperlink>
          </w:p>
        </w:tc>
        <w:tc>
          <w:tcPr>
            <w:tcW w:w="1768" w:type="pct"/>
          </w:tcPr>
          <w:p w:rsidR="00541B8B" w:rsidRPr="00541B8B" w:rsidRDefault="00541B8B" w:rsidP="00541B8B">
            <w:pPr>
              <w:spacing w:before="100" w:beforeAutospacing="1" w:after="100" w:afterAutospacing="1"/>
              <w:ind w:firstLine="0"/>
              <w:contextualSpacing/>
              <w:jc w:val="center"/>
              <w:rPr>
                <w:rFonts w:cs="Arial"/>
                <w:szCs w:val="22"/>
              </w:rPr>
            </w:pPr>
            <w:r w:rsidRPr="00541B8B">
              <w:rPr>
                <w:rFonts w:cs="Arial"/>
                <w:szCs w:val="22"/>
              </w:rPr>
              <w:t>Processo amministrativo telematico</w:t>
            </w:r>
          </w:p>
        </w:tc>
        <w:tc>
          <w:tcPr>
            <w:tcW w:w="867" w:type="pct"/>
          </w:tcPr>
          <w:p w:rsidR="00541B8B" w:rsidRPr="00541B8B" w:rsidRDefault="00DC78AD" w:rsidP="00541B8B">
            <w:pPr>
              <w:spacing w:before="100" w:beforeAutospacing="1" w:after="100" w:afterAutospacing="1"/>
              <w:ind w:firstLine="0"/>
              <w:contextualSpacing/>
              <w:jc w:val="center"/>
              <w:rPr>
                <w:rFonts w:cs="Arial"/>
                <w:szCs w:val="22"/>
              </w:rPr>
            </w:pPr>
            <w:hyperlink r:id="rId426" w:anchor="data.20160706.com48.bollettino.sede00010.tit00020" w:history="1">
              <w:r w:rsidR="00541B8B" w:rsidRPr="00541B8B">
                <w:rPr>
                  <w:rFonts w:cs="Arial"/>
                  <w:color w:val="0000FF"/>
                  <w:szCs w:val="22"/>
                  <w:u w:val="single"/>
                </w:rPr>
                <w:t>06/07/2016</w:t>
              </w:r>
            </w:hyperlink>
          </w:p>
        </w:tc>
      </w:tr>
    </w:tbl>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jc w:val="center"/>
        <w:tblLook w:val="01E0" w:firstRow="1" w:lastRow="1" w:firstColumn="1" w:lastColumn="1" w:noHBand="0" w:noVBand="0"/>
      </w:tblPr>
      <w:tblGrid>
        <w:gridCol w:w="4643"/>
        <w:gridCol w:w="4643"/>
      </w:tblGrid>
      <w:tr w:rsidR="00541B8B" w:rsidRPr="00541B8B" w:rsidTr="00D20CCA">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color w:val="0000FF"/>
                <w:sz w:val="24"/>
                <w:szCs w:val="24"/>
              </w:rPr>
            </w:pPr>
            <w:r w:rsidRPr="00541B8B">
              <w:rPr>
                <w:rFonts w:cs="Arial"/>
                <w:b/>
                <w:bCs/>
                <w:sz w:val="24"/>
                <w:szCs w:val="24"/>
              </w:rPr>
              <w:t>AI SENSI DELL'ARTICOLO 96-</w:t>
            </w:r>
            <w:r w:rsidRPr="00541B8B">
              <w:rPr>
                <w:rFonts w:cs="Arial"/>
                <w:b/>
                <w:bCs/>
                <w:i/>
                <w:sz w:val="24"/>
                <w:szCs w:val="24"/>
              </w:rPr>
              <w:t>BIS</w:t>
            </w:r>
            <w:r w:rsidRPr="00541B8B">
              <w:rPr>
                <w:rFonts w:cs="Arial"/>
                <w:b/>
                <w:bCs/>
                <w:sz w:val="24"/>
                <w:szCs w:val="24"/>
              </w:rPr>
              <w:t>, COMMA 1, DEL REGOLAMENTO</w:t>
            </w:r>
          </w:p>
        </w:tc>
      </w:tr>
      <w:tr w:rsidR="00541B8B" w:rsidRPr="00541B8B" w:rsidTr="00D20CCA">
        <w:trPr>
          <w:trHeight w:val="52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b/>
                <w:i/>
                <w:color w:val="0000FF"/>
                <w:sz w:val="24"/>
                <w:szCs w:val="24"/>
              </w:rPr>
            </w:pPr>
            <w:bookmarkStart w:id="418" w:name="premessa26"/>
            <w:r w:rsidRPr="00541B8B">
              <w:rPr>
                <w:rFonts w:cs="Arial"/>
                <w:b/>
                <w:color w:val="0000FF"/>
                <w:sz w:val="24"/>
                <w:szCs w:val="24"/>
              </w:rPr>
              <w:t>Premessa</w:t>
            </w:r>
            <w:bookmarkEnd w:id="418"/>
          </w:p>
        </w:tc>
      </w:tr>
      <w:tr w:rsidR="00541B8B" w:rsidRPr="00541B8B" w:rsidTr="00D20CCA">
        <w:trPr>
          <w:trHeight w:val="407"/>
          <w:jc w:val="center"/>
        </w:trPr>
        <w:tc>
          <w:tcPr>
            <w:tcW w:w="5000" w:type="pct"/>
            <w:gridSpan w:val="2"/>
            <w:tcBorders>
              <w:top w:val="single" w:sz="4" w:space="0" w:color="auto"/>
              <w:left w:val="single" w:sz="4" w:space="0" w:color="auto"/>
              <w:bottom w:val="single" w:sz="4" w:space="0" w:color="auto"/>
              <w:right w:val="single" w:sz="4" w:space="0" w:color="auto"/>
            </w:tcBorders>
          </w:tcPr>
          <w:p w:rsidR="00541B8B" w:rsidRPr="00541B8B" w:rsidRDefault="00541B8B" w:rsidP="00541B8B">
            <w:pPr>
              <w:spacing w:before="100" w:beforeAutospacing="1" w:after="100" w:afterAutospacing="1"/>
              <w:ind w:firstLine="0"/>
              <w:contextualSpacing/>
              <w:jc w:val="left"/>
              <w:rPr>
                <w:rFonts w:cs="Arial"/>
                <w:sz w:val="24"/>
                <w:szCs w:val="24"/>
                <w:highlight w:val="yellow"/>
              </w:rPr>
            </w:pPr>
            <w:r w:rsidRPr="00541B8B">
              <w:rPr>
                <w:rFonts w:cs="Arial"/>
                <w:b/>
                <w:color w:val="0000FF"/>
                <w:sz w:val="24"/>
                <w:szCs w:val="24"/>
              </w:rPr>
              <w:t>Rilievi:  nessuno</w:t>
            </w:r>
          </w:p>
        </w:tc>
      </w:tr>
      <w:tr w:rsidR="00541B8B" w:rsidRPr="00541B8B" w:rsidTr="00D20CCA">
        <w:trPr>
          <w:trHeight w:val="703"/>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6a01" w:history="1">
              <w:r w:rsidR="00541B8B" w:rsidRPr="00541B8B">
                <w:rPr>
                  <w:rFonts w:cs="Arial"/>
                  <w:color w:val="0000FF"/>
                  <w:szCs w:val="22"/>
                  <w:u w:val="single"/>
                </w:rPr>
                <w:t>1</w:t>
              </w:r>
            </w:hyperlink>
            <w:r w:rsidR="00541B8B" w:rsidRPr="00541B8B">
              <w:rPr>
                <w:rFonts w:cs="Arial"/>
                <w:szCs w:val="22"/>
              </w:rPr>
              <w:t xml:space="preserve"> – Contenuto omogeneo</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Contenuto puntuale e corrispondente al titolo</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rFonts w:cs="Arial"/>
                <w:szCs w:val="22"/>
              </w:rPr>
            </w:pPr>
            <w:hyperlink w:anchor="S26a02" w:history="1">
              <w:r w:rsidR="00541B8B" w:rsidRPr="00541B8B">
                <w:rPr>
                  <w:rFonts w:cs="Arial"/>
                  <w:color w:val="0000FF"/>
                  <w:szCs w:val="22"/>
                  <w:u w:val="single"/>
                </w:rPr>
                <w:t>2</w:t>
              </w:r>
            </w:hyperlink>
            <w:r w:rsidR="00541B8B" w:rsidRPr="00541B8B">
              <w:rPr>
                <w:rFonts w:cs="Arial"/>
                <w:szCs w:val="22"/>
              </w:rPr>
              <w:t xml:space="preserve"> – Coordinamento con le fonti normative vigenti</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Proroga motivata con la necessità di modifiche legislative, evidentemente  rinviate ad altra iniziativa</w:t>
            </w:r>
          </w:p>
        </w:tc>
      </w:tr>
      <w:tr w:rsidR="00541B8B" w:rsidRPr="00541B8B" w:rsidTr="00D20CCA">
        <w:trPr>
          <w:trHeight w:val="700"/>
          <w:jc w:val="center"/>
        </w:trPr>
        <w:tc>
          <w:tcPr>
            <w:tcW w:w="2500" w:type="pct"/>
            <w:tcBorders>
              <w:top w:val="single" w:sz="4" w:space="0" w:color="auto"/>
              <w:left w:val="single" w:sz="4" w:space="0" w:color="auto"/>
              <w:bottom w:val="single" w:sz="4" w:space="0" w:color="auto"/>
              <w:right w:val="single" w:sz="4" w:space="0" w:color="auto"/>
            </w:tcBorders>
          </w:tcPr>
          <w:p w:rsidR="00541B8B" w:rsidRPr="00541B8B" w:rsidRDefault="00DC78AD" w:rsidP="00541B8B">
            <w:pPr>
              <w:spacing w:before="100" w:beforeAutospacing="1" w:after="100" w:afterAutospacing="1"/>
              <w:ind w:firstLine="0"/>
              <w:contextualSpacing/>
              <w:jc w:val="left"/>
              <w:rPr>
                <w:szCs w:val="22"/>
              </w:rPr>
            </w:pPr>
            <w:hyperlink w:anchor="S26a03" w:history="1">
              <w:r w:rsidR="00541B8B" w:rsidRPr="00541B8B">
                <w:rPr>
                  <w:color w:val="0000FF"/>
                  <w:szCs w:val="22"/>
                  <w:u w:val="single"/>
                </w:rPr>
                <w:t>3</w:t>
              </w:r>
            </w:hyperlink>
            <w:r w:rsidR="00541B8B" w:rsidRPr="00541B8B">
              <w:rPr>
                <w:szCs w:val="22"/>
              </w:rPr>
              <w:t xml:space="preserve"> – AIR e ATN</w:t>
            </w:r>
          </w:p>
        </w:tc>
        <w:tc>
          <w:tcPr>
            <w:tcW w:w="2500" w:type="pct"/>
            <w:tcBorders>
              <w:top w:val="single" w:sz="4" w:space="0" w:color="auto"/>
              <w:left w:val="single" w:sz="4" w:space="0" w:color="auto"/>
              <w:bottom w:val="single" w:sz="4" w:space="0" w:color="auto"/>
              <w:right w:val="single" w:sz="4" w:space="0" w:color="auto"/>
            </w:tcBorders>
          </w:tcPr>
          <w:p w:rsidR="00541B8B" w:rsidRPr="00541B8B" w:rsidRDefault="00541B8B" w:rsidP="00982103">
            <w:pPr>
              <w:spacing w:before="100" w:beforeAutospacing="1" w:after="100" w:afterAutospacing="1"/>
              <w:ind w:firstLine="0"/>
              <w:contextualSpacing/>
              <w:rPr>
                <w:rFonts w:cs="Arial"/>
                <w:szCs w:val="22"/>
              </w:rPr>
            </w:pPr>
            <w:r w:rsidRPr="00541B8B">
              <w:rPr>
                <w:rFonts w:cs="Arial"/>
                <w:szCs w:val="22"/>
              </w:rPr>
              <w:t>Assenti.</w:t>
            </w:r>
          </w:p>
        </w:tc>
      </w:tr>
    </w:tbl>
    <w:p w:rsidR="00541B8B" w:rsidRPr="00541B8B" w:rsidRDefault="00541B8B" w:rsidP="00541B8B">
      <w:pPr>
        <w:spacing w:before="60" w:after="60" w:line="240" w:lineRule="auto"/>
        <w:ind w:firstLine="0"/>
        <w:contextualSpacing/>
        <w:jc w:val="left"/>
        <w:rPr>
          <w:rFonts w:cs="Arial"/>
          <w:szCs w:val="22"/>
        </w:rPr>
      </w:pPr>
    </w:p>
    <w:p w:rsidR="00541B8B" w:rsidRPr="00541B8B" w:rsidRDefault="00541B8B" w:rsidP="00541B8B">
      <w:pPr>
        <w:spacing w:before="60" w:after="60" w:line="240" w:lineRule="auto"/>
        <w:ind w:firstLine="0"/>
        <w:contextualSpacing/>
        <w:jc w:val="left"/>
        <w:rPr>
          <w:rFonts w:cs="Arial"/>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b/>
                <w:color w:val="0000FF"/>
                <w:szCs w:val="22"/>
              </w:rPr>
              <w:t>Rilievi</w:t>
            </w:r>
          </w:p>
        </w:tc>
      </w:tr>
    </w:tbl>
    <w:tbl>
      <w:tblPr>
        <w:tblW w:w="2449" w:type="pct"/>
        <w:tblLook w:val="01E0" w:firstRow="1" w:lastRow="1" w:firstColumn="1" w:lastColumn="1" w:noHBand="0" w:noVBand="0"/>
      </w:tblPr>
      <w:tblGrid>
        <w:gridCol w:w="4548"/>
      </w:tblGrid>
      <w:tr w:rsidR="00541B8B" w:rsidRPr="00541B8B" w:rsidTr="00D20CCA">
        <w:trPr>
          <w:trHeight w:val="423"/>
        </w:trPr>
        <w:tc>
          <w:tcPr>
            <w:tcW w:w="5000" w:type="pct"/>
            <w:tcBorders>
              <w:top w:val="nil"/>
              <w:left w:val="nil"/>
              <w:bottom w:val="nil"/>
              <w:right w:val="nil"/>
            </w:tcBorders>
            <w:shd w:val="clear" w:color="auto" w:fill="auto"/>
          </w:tcPr>
          <w:p w:rsidR="00541B8B" w:rsidRPr="00541B8B" w:rsidRDefault="00541B8B" w:rsidP="00541B8B">
            <w:pPr>
              <w:keepNext/>
              <w:spacing w:before="100" w:beforeAutospacing="1" w:after="100" w:afterAutospacing="1"/>
              <w:ind w:firstLine="0"/>
              <w:contextualSpacing/>
              <w:jc w:val="left"/>
              <w:rPr>
                <w:rFonts w:cs="Arial"/>
                <w:szCs w:val="22"/>
              </w:rPr>
            </w:pPr>
            <w:r w:rsidRPr="00541B8B">
              <w:rPr>
                <w:rFonts w:cs="Arial"/>
                <w:szCs w:val="22"/>
              </w:rPr>
              <w:t>nessun rilievo.</w:t>
            </w:r>
          </w:p>
        </w:tc>
      </w:tr>
    </w:tbl>
    <w:p w:rsidR="00541B8B" w:rsidRPr="00541B8B" w:rsidRDefault="00541B8B" w:rsidP="00541B8B">
      <w:pPr>
        <w:ind w:firstLine="0"/>
        <w:contextualSpacing/>
        <w:rPr>
          <w:rFonts w:cs="Arial"/>
          <w:b/>
          <w:szCs w:val="22"/>
        </w:rPr>
      </w:pPr>
    </w:p>
    <w:p w:rsidR="00541B8B" w:rsidRPr="00541B8B" w:rsidRDefault="00541B8B" w:rsidP="00541B8B">
      <w:pPr>
        <w:spacing w:before="60" w:after="60"/>
        <w:ind w:firstLine="0"/>
        <w:contextualSpacing/>
        <w:rPr>
          <w:rFonts w:cs="Arial"/>
          <w:b/>
          <w:szCs w:val="22"/>
        </w:rPr>
      </w:pPr>
    </w:p>
    <w:tbl>
      <w:tblPr>
        <w:tblStyle w:val="Grigliatabella"/>
        <w:tblW w:w="5000" w:type="pct"/>
        <w:tblLook w:val="01E0" w:firstRow="1" w:lastRow="1" w:firstColumn="1" w:lastColumn="1" w:noHBand="0" w:noVBand="0"/>
      </w:tblPr>
      <w:tblGrid>
        <w:gridCol w:w="9286"/>
      </w:tblGrid>
      <w:tr w:rsidR="00541B8B" w:rsidRPr="00541B8B" w:rsidTr="00D20CCA">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b/>
                <w:color w:val="0000FF"/>
                <w:szCs w:val="22"/>
              </w:rPr>
              <w:t>Riferimenti</w:t>
            </w:r>
          </w:p>
        </w:tc>
      </w:tr>
      <w:tr w:rsidR="00541B8B" w:rsidRPr="00541B8B" w:rsidTr="00D20CCA">
        <w:trPr>
          <w:trHeight w:val="468"/>
        </w:trPr>
        <w:tc>
          <w:tcPr>
            <w:tcW w:w="5000" w:type="pct"/>
          </w:tcPr>
          <w:p w:rsidR="00541B8B" w:rsidRPr="00541B8B" w:rsidRDefault="00541B8B" w:rsidP="00541B8B">
            <w:pPr>
              <w:keepNext/>
              <w:spacing w:before="100" w:beforeAutospacing="1" w:after="100" w:afterAutospacing="1"/>
              <w:ind w:firstLine="0"/>
              <w:contextualSpacing/>
              <w:jc w:val="left"/>
              <w:rPr>
                <w:rFonts w:cs="Arial"/>
                <w:i/>
                <w:szCs w:val="22"/>
              </w:rPr>
            </w:pPr>
            <w:r w:rsidRPr="00541B8B">
              <w:rPr>
                <w:rFonts w:cs="Arial"/>
                <w:i/>
                <w:szCs w:val="22"/>
              </w:rPr>
              <w:t>Nessun riferimento.</w:t>
            </w:r>
          </w:p>
        </w:tc>
      </w:tr>
    </w:tbl>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ind w:firstLine="0"/>
        <w:contextualSpacing/>
        <w:rPr>
          <w:rFonts w:cs="Arial"/>
          <w:szCs w:val="22"/>
        </w:rPr>
      </w:pPr>
    </w:p>
    <w:p w:rsidR="00541B8B" w:rsidRPr="00541B8B" w:rsidRDefault="00541B8B" w:rsidP="00541B8B">
      <w:pPr>
        <w:spacing w:before="60" w:after="60"/>
        <w:contextualSpacing/>
        <w:rPr>
          <w:rFonts w:cs="Arial"/>
          <w:szCs w:val="22"/>
        </w:rPr>
      </w:pPr>
      <w:bookmarkStart w:id="419" w:name="S26a01"/>
      <w:r w:rsidRPr="00541B8B">
        <w:rPr>
          <w:rFonts w:cs="Arial"/>
          <w:szCs w:val="22"/>
        </w:rPr>
        <w:t>1</w:t>
      </w:r>
      <w:bookmarkEnd w:id="419"/>
      <w:r w:rsidRPr="00541B8B">
        <w:rPr>
          <w:rFonts w:cs="Arial"/>
          <w:szCs w:val="22"/>
        </w:rPr>
        <w:t xml:space="preserve"> – </w:t>
      </w:r>
      <w:hyperlink w:anchor="premessa26" w:history="1">
        <w:r w:rsidRPr="00541B8B">
          <w:rPr>
            <w:rFonts w:cs="Arial"/>
            <w:b/>
            <w:color w:val="0000FF"/>
            <w:szCs w:val="22"/>
            <w:u w:val="single"/>
          </w:rPr>
          <w:t>Premessa</w:t>
        </w:r>
        <w:r w:rsidRPr="00541B8B">
          <w:rPr>
            <w:rFonts w:cs="Arial"/>
            <w:color w:val="0000FF"/>
            <w:szCs w:val="22"/>
            <w:u w:val="single"/>
          </w:rPr>
          <w:t>:</w:t>
        </w:r>
      </w:hyperlink>
      <w:r w:rsidRPr="00541B8B">
        <w:rPr>
          <w:rFonts w:cs="Arial"/>
          <w:color w:val="0000FF"/>
          <w:szCs w:val="22"/>
          <w:u w:val="single"/>
        </w:rPr>
        <w:t xml:space="preserve"> </w:t>
      </w:r>
      <w:r w:rsidRPr="00541B8B">
        <w:rPr>
          <w:rFonts w:cs="Arial"/>
          <w:szCs w:val="22"/>
        </w:rPr>
        <w:t xml:space="preserve">«il decreto-legge, che si compone di due articoli, reca un </w:t>
      </w:r>
      <w:r w:rsidRPr="00541B8B">
        <w:rPr>
          <w:rFonts w:cs="Arial"/>
          <w:b/>
          <w:szCs w:val="22"/>
        </w:rPr>
        <w:t>contenuto puntuale e corrispondente al titolo</w:t>
      </w:r>
      <w:r w:rsidRPr="00541B8B">
        <w:rPr>
          <w:rFonts w:cs="Arial"/>
          <w:szCs w:val="22"/>
        </w:rPr>
        <w:t xml:space="preserve">, in quanto posticipa di sei mesi (dal 1° luglio 2016 al 1° gennaio 2017) il termine a decorrere dal quale tutti gli atti del processo amministrativo dovranno essere sottoscritti con firma digitale e prevede che, conseguentemente, durante i prossimi sei mesi, il processo amministrativo telematico avrà carattere sperimentale e facoltativo»; </w:t>
      </w: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p>
    <w:p w:rsidR="00541B8B" w:rsidRPr="00541B8B" w:rsidRDefault="00541B8B" w:rsidP="00541B8B">
      <w:pPr>
        <w:spacing w:before="60" w:after="60"/>
        <w:contextualSpacing/>
        <w:rPr>
          <w:rFonts w:cs="Arial"/>
          <w:szCs w:val="22"/>
        </w:rPr>
      </w:pPr>
      <w:bookmarkStart w:id="420" w:name="S26a02"/>
      <w:r w:rsidRPr="00541B8B">
        <w:rPr>
          <w:rFonts w:cs="Arial"/>
          <w:szCs w:val="22"/>
        </w:rPr>
        <w:t>2</w:t>
      </w:r>
      <w:bookmarkEnd w:id="420"/>
      <w:r w:rsidRPr="00541B8B">
        <w:rPr>
          <w:rFonts w:cs="Arial"/>
          <w:szCs w:val="22"/>
        </w:rPr>
        <w:t xml:space="preserve"> – </w:t>
      </w:r>
      <w:hyperlink w:anchor="premessa2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«la relazione illustrativa motiva la necessità della proroga argomentando che l'operatività della modalità telematica imporrebbe “l'adeguamento di alcune norme del codice del processo amministrativo e delle relative norme di attuazione, di cui al decreto legislativo n. 104 del 2010, onde evitare gravi disservizi anche all'avvocatura, in particolare in materia di autenticazione e di attestazione di conformità all'originale cartaceo delle copie informatiche depositate telematicamente e degli atti da inserire. La grande novità del processo amministrativo telematico rende inoltre opportuno un prolungamento del periodo di sperimentazione, che consenta di meglio saggiarne le criticità, assicurandone l'avvio senza traumi per l'utenza”; </w:t>
      </w:r>
      <w:r w:rsidRPr="00541B8B">
        <w:rPr>
          <w:rFonts w:cs="Arial"/>
          <w:bCs/>
          <w:iCs/>
          <w:szCs w:val="22"/>
        </w:rPr>
        <w:t>il decreto-legge non procede tuttavia all’adeguamento delle norme richiamato nella relazione illustrativa, limitandosi alla proroga</w:t>
      </w:r>
      <w:r w:rsidRPr="00541B8B">
        <w:rPr>
          <w:rFonts w:cs="Arial"/>
          <w:szCs w:val="22"/>
        </w:rPr>
        <w:t xml:space="preserve">». </w:t>
      </w:r>
    </w:p>
    <w:p w:rsidR="00671FBC" w:rsidRPr="00063D88" w:rsidRDefault="00541B8B" w:rsidP="00541B8B">
      <w:bookmarkStart w:id="421" w:name="S26a03"/>
      <w:r w:rsidRPr="00541B8B">
        <w:rPr>
          <w:rFonts w:cs="Arial"/>
          <w:szCs w:val="22"/>
        </w:rPr>
        <w:lastRenderedPageBreak/>
        <w:t>3</w:t>
      </w:r>
      <w:bookmarkEnd w:id="421"/>
      <w:r w:rsidRPr="00541B8B">
        <w:rPr>
          <w:rFonts w:cs="Arial"/>
          <w:szCs w:val="22"/>
        </w:rPr>
        <w:t xml:space="preserve"> – </w:t>
      </w:r>
      <w:hyperlink w:anchor="premessa26" w:history="1">
        <w:r w:rsidRPr="00541B8B">
          <w:rPr>
            <w:rFonts w:cs="Arial"/>
            <w:b/>
            <w:color w:val="0000FF"/>
            <w:szCs w:val="22"/>
            <w:u w:val="single"/>
          </w:rPr>
          <w:t>Premessa</w:t>
        </w:r>
        <w:r w:rsidRPr="00541B8B">
          <w:rPr>
            <w:rFonts w:cs="Arial"/>
            <w:color w:val="0000FF"/>
            <w:szCs w:val="22"/>
            <w:u w:val="single"/>
          </w:rPr>
          <w:t>:</w:t>
        </w:r>
      </w:hyperlink>
      <w:r w:rsidRPr="00541B8B">
        <w:rPr>
          <w:rFonts w:cs="Arial"/>
          <w:szCs w:val="22"/>
        </w:rPr>
        <w:t xml:space="preserve"> «</w:t>
      </w:r>
      <w:r w:rsidRPr="00541B8B">
        <w:t xml:space="preserve"> </w:t>
      </w:r>
      <w:r w:rsidRPr="00541B8B">
        <w:rPr>
          <w:rFonts w:cs="Arial"/>
          <w:bCs/>
          <w:iCs/>
          <w:szCs w:val="22"/>
        </w:rPr>
        <w:t>il disegno di legge di conversione non è corredato né della relazione sull’analisi tecnico-normativa (</w:t>
      </w:r>
      <w:r w:rsidRPr="00541B8B">
        <w:rPr>
          <w:rFonts w:cs="Arial"/>
          <w:b/>
          <w:bCs/>
          <w:iCs/>
          <w:szCs w:val="22"/>
        </w:rPr>
        <w:t>ATN</w:t>
      </w:r>
      <w:r w:rsidRPr="00541B8B">
        <w:rPr>
          <w:rFonts w:cs="Arial"/>
          <w:bCs/>
          <w:iCs/>
          <w:szCs w:val="22"/>
        </w:rPr>
        <w:t>) né della relazione sull’analisi di impatto della regolamentazione (</w:t>
      </w:r>
      <w:r w:rsidRPr="00541B8B">
        <w:rPr>
          <w:rFonts w:cs="Arial"/>
          <w:b/>
          <w:bCs/>
          <w:iCs/>
          <w:szCs w:val="22"/>
        </w:rPr>
        <w:t>AIR</w:t>
      </w:r>
      <w:r w:rsidRPr="00541B8B">
        <w:rPr>
          <w:rFonts w:cs="Arial"/>
          <w:bCs/>
          <w:iCs/>
          <w:szCs w:val="22"/>
        </w:rPr>
        <w:t>)</w:t>
      </w:r>
      <w:r w:rsidRPr="00541B8B">
        <w:rPr>
          <w:rFonts w:cs="Arial"/>
          <w:szCs w:val="22"/>
        </w:rPr>
        <w:t>».</w:t>
      </w:r>
    </w:p>
    <w:sectPr w:rsidR="00671FBC" w:rsidRPr="00063D88" w:rsidSect="00541B8B">
      <w:type w:val="oddPage"/>
      <w:pgSz w:w="11906" w:h="16838" w:code="9"/>
      <w:pgMar w:top="1418"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8AD" w:rsidRDefault="00DC78AD">
      <w:r>
        <w:separator/>
      </w:r>
    </w:p>
    <w:p w:rsidR="00DC78AD" w:rsidRDefault="00DC78AD"/>
  </w:endnote>
  <w:endnote w:type="continuationSeparator" w:id="0">
    <w:p w:rsidR="00DC78AD" w:rsidRDefault="00DC78AD">
      <w:r>
        <w:continuationSeparator/>
      </w:r>
    </w:p>
    <w:p w:rsidR="00DC78AD" w:rsidRDefault="00DC7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1" w:fontKey="{F462AB31-FC7B-4CF7-91F3-25C43ADD9A74}"/>
    <w:embedBold r:id="rId2" w:fontKey="{27952211-4835-4586-B77B-CE8EF6D3F46F}"/>
    <w:embedItalic r:id="rId3" w:fontKey="{DEB0499F-3057-4ECB-9EFF-3A38F53652F4}"/>
    <w:embedBoldItalic r:id="rId4" w:fontKey="{797E2C8F-582A-4F0E-A85C-B545AC04CE62}"/>
  </w:font>
  <w:font w:name="Lucida Bright">
    <w:panose1 w:val="02040602050505020304"/>
    <w:charset w:val="00"/>
    <w:family w:val="roman"/>
    <w:pitch w:val="variable"/>
    <w:sig w:usb0="00000003" w:usb1="00000000" w:usb2="00000000" w:usb3="00000000" w:csb0="00000001" w:csb1="00000000"/>
    <w:embedRegular r:id="rId5" w:fontKey="{55A76AA1-5FDA-481B-86E4-E7CCDE8D5AC1}"/>
  </w:font>
  <w:font w:name="Book Antiqua">
    <w:panose1 w:val="02040602050305030304"/>
    <w:charset w:val="00"/>
    <w:family w:val="roman"/>
    <w:pitch w:val="variable"/>
    <w:sig w:usb0="00000287" w:usb1="00000000" w:usb2="00000000" w:usb3="00000000" w:csb0="0000009F" w:csb1="00000000"/>
    <w:embedRegular r:id="rId6" w:fontKey="{0D6F1670-726A-4594-93F8-98D925CDD033}"/>
    <w:embedBold r:id="rId7" w:fontKey="{61009D19-34E1-4EA3-9A44-C19D34F51BB7}"/>
  </w:font>
  <w:font w:name="Estrangelo Edessa">
    <w:panose1 w:val="03080600000000000000"/>
    <w:charset w:val="00"/>
    <w:family w:val="script"/>
    <w:pitch w:val="variable"/>
    <w:sig w:usb0="80002043" w:usb1="00000000" w:usb2="00000080" w:usb3="00000000" w:csb0="00000001" w:csb1="00000000"/>
    <w:embedRegular r:id="rId8" w:fontKey="{36B37516-7E57-4D61-9B93-9EDA43E2A583}"/>
    <w:embedBold r:id="rId9" w:fontKey="{9EB0EB25-4773-45C6-AA68-4CD5FC4D903B}"/>
  </w:font>
  <w:font w:name="CG Times">
    <w:panose1 w:val="02020603050405020304"/>
    <w:charset w:val="00"/>
    <w:family w:val="roman"/>
    <w:pitch w:val="variable"/>
    <w:sig w:usb0="00000003" w:usb1="00000000" w:usb2="00000000" w:usb3="00000000" w:csb0="00000001" w:csb1="00000000"/>
    <w:embedRegular r:id="rId10" w:fontKey="{5FCFDC38-303D-411A-95CD-515D4A99B404}"/>
    <w:embedBold r:id="rId11" w:fontKey="{17E2F70F-DB83-47D7-B65C-B3D7CF917A27}"/>
  </w:font>
  <w:font w:name="Arial Narrow">
    <w:panose1 w:val="020B0606020202030204"/>
    <w:charset w:val="00"/>
    <w:family w:val="swiss"/>
    <w:pitch w:val="variable"/>
    <w:sig w:usb0="00000287" w:usb1="00000800" w:usb2="00000000" w:usb3="00000000" w:csb0="0000009F" w:csb1="00000000"/>
    <w:embedBold r:id="rId12" w:fontKey="{FF7F0539-61FC-4246-8B4A-5BED9B62E120}"/>
  </w:font>
  <w:font w:name="Impact">
    <w:panose1 w:val="020B0806030902050204"/>
    <w:charset w:val="00"/>
    <w:family w:val="swiss"/>
    <w:pitch w:val="variable"/>
    <w:sig w:usb0="00000287" w:usb1="00000000" w:usb2="00000000" w:usb3="00000000" w:csb0="0000009F" w:csb1="00000000"/>
    <w:embedRegular r:id="rId13" w:fontKey="{1147DC0F-84FB-4B3A-B892-858528E7D579}"/>
  </w:font>
  <w:font w:name="Tahoma">
    <w:panose1 w:val="020B0604030504040204"/>
    <w:charset w:val="00"/>
    <w:family w:val="swiss"/>
    <w:pitch w:val="variable"/>
    <w:sig w:usb0="E1002EFF" w:usb1="C000605B" w:usb2="00000029" w:usb3="00000000" w:csb0="000101FF" w:csb1="00000000"/>
    <w:embedRegular r:id="rId14" w:fontKey="{4348D030-8776-433F-BEAC-5E6180FCC4D7}"/>
  </w:font>
  <w:font w:name="Arial Black">
    <w:panose1 w:val="020B0A04020102020204"/>
    <w:charset w:val="00"/>
    <w:family w:val="swiss"/>
    <w:pitch w:val="variable"/>
    <w:sig w:usb0="00000287" w:usb1="00000000" w:usb2="00000000" w:usb3="00000000" w:csb0="0000009F" w:csb1="00000000"/>
    <w:embedRegular r:id="rId15" w:fontKey="{B09120ED-03E0-481D-A224-E2D9B1EE705E}"/>
  </w:font>
  <w:font w:name="Verdana">
    <w:panose1 w:val="020B0604030504040204"/>
    <w:charset w:val="00"/>
    <w:family w:val="swiss"/>
    <w:pitch w:val="variable"/>
    <w:sig w:usb0="A10006FF" w:usb1="4000205B" w:usb2="00000010" w:usb3="00000000" w:csb0="0000019F" w:csb1="00000000"/>
    <w:embedRegular r:id="rId16" w:fontKey="{090708FB-101F-4780-870F-B42929FF45B2}"/>
    <w:embedBold r:id="rId17" w:fontKey="{C1529663-9F58-40DB-80CF-D19D6E726A09}"/>
  </w:font>
  <w:font w:name="Times">
    <w:panose1 w:val="02020603050405020304"/>
    <w:charset w:val="00"/>
    <w:family w:val="roman"/>
    <w:pitch w:val="variable"/>
    <w:sig w:usb0="00000003" w:usb1="00000000" w:usb2="00000000" w:usb3="00000000" w:csb0="00000001" w:csb1="00000000"/>
    <w:embedRegular r:id="rId18" w:fontKey="{6085FDBE-1D2E-4B54-890A-AF5B7AEAD39A}"/>
  </w:font>
  <w:font w:name="Cambria">
    <w:panose1 w:val="02040503050406030204"/>
    <w:charset w:val="00"/>
    <w:family w:val="roman"/>
    <w:pitch w:val="variable"/>
    <w:sig w:usb0="E00002FF" w:usb1="400004FF" w:usb2="00000000" w:usb3="00000000" w:csb0="0000019F" w:csb1="00000000"/>
    <w:embedRegular r:id="rId19" w:fontKey="{1C6929C3-1F67-4D80-A802-8F1FB8F072ED}"/>
    <w:embedBold r:id="rId20" w:fontKey="{AABEBE92-4C01-4F2C-B35F-E37682767C1D}"/>
  </w:font>
  <w:font w:name="Calibri">
    <w:panose1 w:val="020F0502020204030204"/>
    <w:charset w:val="00"/>
    <w:family w:val="swiss"/>
    <w:pitch w:val="variable"/>
    <w:sig w:usb0="E00002FF" w:usb1="4000ACFF" w:usb2="00000001" w:usb3="00000000" w:csb0="0000019F" w:csb1="00000000"/>
    <w:embedRegular r:id="rId21" w:fontKey="{D8BA693C-8405-4C7D-9564-0C3FF0D09D31}"/>
    <w:embedBold r:id="rId22" w:fontKey="{7A19DBF0-7539-4B3D-A20F-16B604FE6845}"/>
    <w:embedItalic r:id="rId23" w:fontKey="{49B131DF-44CF-453D-8A24-2C632FBA8B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0B2A8E" w:rsidRDefault="00DC78AD" w:rsidP="0003257F">
    <w:pPr>
      <w:pStyle w:val="Pidipagina"/>
      <w:framePr w:wrap="around" w:vAnchor="text" w:hAnchor="margin" w:xAlign="center" w:y="1"/>
      <w:rPr>
        <w:rStyle w:val="Numeropagina"/>
        <w:rFonts w:ascii="Garamond" w:hAnsi="Garamond"/>
        <w:sz w:val="24"/>
        <w:szCs w:val="24"/>
      </w:rPr>
    </w:pPr>
    <w:r w:rsidRPr="000B2A8E">
      <w:rPr>
        <w:rStyle w:val="Numeropagina"/>
        <w:rFonts w:ascii="Garamond" w:hAnsi="Garamond"/>
        <w:sz w:val="24"/>
        <w:szCs w:val="24"/>
      </w:rPr>
      <w:fldChar w:fldCharType="begin"/>
    </w:r>
    <w:r w:rsidRPr="000B2A8E">
      <w:rPr>
        <w:rStyle w:val="Numeropagina"/>
        <w:rFonts w:ascii="Garamond" w:hAnsi="Garamond"/>
        <w:sz w:val="24"/>
        <w:szCs w:val="24"/>
      </w:rPr>
      <w:instrText xml:space="preserve">PAGE  </w:instrText>
    </w:r>
    <w:r w:rsidRPr="000B2A8E">
      <w:rPr>
        <w:rStyle w:val="Numeropagina"/>
        <w:rFonts w:ascii="Garamond" w:hAnsi="Garamond"/>
        <w:sz w:val="24"/>
        <w:szCs w:val="24"/>
      </w:rPr>
      <w:fldChar w:fldCharType="separate"/>
    </w:r>
    <w:r w:rsidR="00457B43">
      <w:rPr>
        <w:rStyle w:val="Numeropagina"/>
        <w:rFonts w:ascii="Garamond" w:hAnsi="Garamond"/>
        <w:noProof/>
        <w:sz w:val="24"/>
        <w:szCs w:val="24"/>
      </w:rPr>
      <w:t>4</w:t>
    </w:r>
    <w:r w:rsidRPr="000B2A8E">
      <w:rPr>
        <w:rStyle w:val="Numeropagina"/>
        <w:rFonts w:ascii="Garamond" w:hAnsi="Garamond"/>
        <w:sz w:val="24"/>
        <w:szCs w:val="24"/>
      </w:rPr>
      <w:fldChar w:fldCharType="end"/>
    </w:r>
  </w:p>
  <w:p w:rsidR="00DC78AD" w:rsidRDefault="00DC78AD">
    <w:pPr>
      <w:pStyle w:val="Pidipagina"/>
    </w:pPr>
    <w: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8526813"/>
      <w:docPartObj>
        <w:docPartGallery w:val="Page Numbers (Bottom of Page)"/>
        <w:docPartUnique/>
      </w:docPartObj>
    </w:sdtPr>
    <w:sdtEndPr>
      <w:rPr>
        <w:rFonts w:ascii="Garamond" w:hAnsi="Garamond"/>
        <w:sz w:val="24"/>
        <w:szCs w:val="24"/>
      </w:rPr>
    </w:sdtEndPr>
    <w:sdtContent>
      <w:p w:rsidR="00DC78AD" w:rsidRPr="00D20CCA" w:rsidRDefault="00DC78AD">
        <w:pPr>
          <w:pStyle w:val="Pidipagina"/>
          <w:rPr>
            <w:rFonts w:ascii="Garamond" w:hAnsi="Garamond"/>
            <w:sz w:val="24"/>
            <w:szCs w:val="24"/>
          </w:rPr>
        </w:pPr>
        <w:r w:rsidRPr="00D20CCA">
          <w:rPr>
            <w:rFonts w:ascii="Garamond" w:hAnsi="Garamond"/>
            <w:sz w:val="24"/>
            <w:szCs w:val="24"/>
          </w:rPr>
          <w:fldChar w:fldCharType="begin"/>
        </w:r>
        <w:r w:rsidRPr="00D20CCA">
          <w:rPr>
            <w:rFonts w:ascii="Garamond" w:hAnsi="Garamond"/>
            <w:sz w:val="24"/>
            <w:szCs w:val="24"/>
          </w:rPr>
          <w:instrText>PAGE   \* MERGEFORMAT</w:instrText>
        </w:r>
        <w:r w:rsidRPr="00D20CCA">
          <w:rPr>
            <w:rFonts w:ascii="Garamond" w:hAnsi="Garamond"/>
            <w:sz w:val="24"/>
            <w:szCs w:val="24"/>
          </w:rPr>
          <w:fldChar w:fldCharType="separate"/>
        </w:r>
        <w:r>
          <w:rPr>
            <w:rFonts w:ascii="Garamond" w:hAnsi="Garamond"/>
            <w:noProof/>
            <w:sz w:val="24"/>
            <w:szCs w:val="24"/>
          </w:rPr>
          <w:t>63</w:t>
        </w:r>
        <w:r w:rsidRPr="00D20CCA">
          <w:rPr>
            <w:rFonts w:ascii="Garamond" w:hAnsi="Garamond"/>
            <w:sz w:val="24"/>
            <w:szCs w:val="24"/>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850093"/>
      <w:docPartObj>
        <w:docPartGallery w:val="Page Numbers (Bottom of Page)"/>
        <w:docPartUnique/>
      </w:docPartObj>
    </w:sdtPr>
    <w:sdtEndPr>
      <w:rPr>
        <w:rFonts w:ascii="Garamond" w:hAnsi="Garamond"/>
        <w:sz w:val="24"/>
        <w:szCs w:val="24"/>
      </w:rPr>
    </w:sdtEndPr>
    <w:sdtContent>
      <w:p w:rsidR="00DC78AD" w:rsidRPr="00D20CCA" w:rsidRDefault="00DC78AD">
        <w:pPr>
          <w:pStyle w:val="Pidipagina"/>
          <w:rPr>
            <w:rFonts w:ascii="Garamond" w:hAnsi="Garamond"/>
            <w:sz w:val="24"/>
            <w:szCs w:val="24"/>
          </w:rPr>
        </w:pPr>
        <w:r w:rsidRPr="00D20CCA">
          <w:rPr>
            <w:rFonts w:ascii="Garamond" w:hAnsi="Garamond"/>
            <w:sz w:val="24"/>
            <w:szCs w:val="24"/>
          </w:rPr>
          <w:fldChar w:fldCharType="begin"/>
        </w:r>
        <w:r w:rsidRPr="00D20CCA">
          <w:rPr>
            <w:rFonts w:ascii="Garamond" w:hAnsi="Garamond"/>
            <w:sz w:val="24"/>
            <w:szCs w:val="24"/>
          </w:rPr>
          <w:instrText>PAGE   \* MERGEFORMAT</w:instrText>
        </w:r>
        <w:r w:rsidRPr="00D20CCA">
          <w:rPr>
            <w:rFonts w:ascii="Garamond" w:hAnsi="Garamond"/>
            <w:sz w:val="24"/>
            <w:szCs w:val="24"/>
          </w:rPr>
          <w:fldChar w:fldCharType="separate"/>
        </w:r>
        <w:r w:rsidR="00457B43">
          <w:rPr>
            <w:rFonts w:ascii="Garamond" w:hAnsi="Garamond"/>
            <w:noProof/>
            <w:sz w:val="24"/>
            <w:szCs w:val="24"/>
          </w:rPr>
          <w:t>61</w:t>
        </w:r>
        <w:r w:rsidRPr="00D20CCA">
          <w:rPr>
            <w:rFonts w:ascii="Garamond" w:hAnsi="Garamond"/>
            <w:sz w:val="24"/>
            <w:szCs w:val="24"/>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31049517"/>
      <w:docPartObj>
        <w:docPartGallery w:val="Page Numbers (Bottom of Page)"/>
        <w:docPartUnique/>
      </w:docPartObj>
    </w:sdtPr>
    <w:sdtContent>
      <w:p w:rsidR="00DC78AD" w:rsidRPr="00D20CCA" w:rsidRDefault="00DC78AD">
        <w:pPr>
          <w:pStyle w:val="Pidipagina"/>
          <w:rPr>
            <w:rFonts w:ascii="Garamond" w:hAnsi="Garamond"/>
            <w:sz w:val="24"/>
            <w:szCs w:val="24"/>
          </w:rPr>
        </w:pPr>
        <w:r w:rsidRPr="00D20CCA">
          <w:rPr>
            <w:rFonts w:ascii="Garamond" w:hAnsi="Garamond"/>
            <w:sz w:val="24"/>
            <w:szCs w:val="24"/>
          </w:rPr>
          <w:fldChar w:fldCharType="begin"/>
        </w:r>
        <w:r w:rsidRPr="00D20CCA">
          <w:rPr>
            <w:rFonts w:ascii="Garamond" w:hAnsi="Garamond"/>
            <w:sz w:val="24"/>
            <w:szCs w:val="24"/>
          </w:rPr>
          <w:instrText>PAGE   \* MERGEFORMAT</w:instrText>
        </w:r>
        <w:r w:rsidRPr="00D20CCA">
          <w:rPr>
            <w:rFonts w:ascii="Garamond" w:hAnsi="Garamond"/>
            <w:sz w:val="24"/>
            <w:szCs w:val="24"/>
          </w:rPr>
          <w:fldChar w:fldCharType="separate"/>
        </w:r>
        <w:r w:rsidR="00457B43">
          <w:rPr>
            <w:rFonts w:ascii="Garamond" w:hAnsi="Garamond"/>
            <w:noProof/>
            <w:sz w:val="24"/>
            <w:szCs w:val="24"/>
          </w:rPr>
          <w:t>64</w:t>
        </w:r>
        <w:r w:rsidRPr="00D20CCA">
          <w:rPr>
            <w:rFonts w:ascii="Garamond" w:hAnsi="Garamond"/>
            <w:sz w:val="24"/>
            <w:szCs w:val="24"/>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42758"/>
      <w:docPartObj>
        <w:docPartGallery w:val="Page Numbers (Bottom of Page)"/>
        <w:docPartUnique/>
      </w:docPartObj>
    </w:sdtPr>
    <w:sdtEndPr>
      <w:rPr>
        <w:rFonts w:ascii="Garamond" w:hAnsi="Garamond"/>
        <w:sz w:val="24"/>
        <w:szCs w:val="24"/>
      </w:rPr>
    </w:sdtEndPr>
    <w:sdtContent>
      <w:p w:rsidR="00DC78AD" w:rsidRPr="00D20CCA" w:rsidRDefault="00DC78AD">
        <w:pPr>
          <w:pStyle w:val="Pidipagina"/>
          <w:rPr>
            <w:rFonts w:ascii="Garamond" w:hAnsi="Garamond"/>
            <w:sz w:val="24"/>
            <w:szCs w:val="24"/>
          </w:rPr>
        </w:pPr>
        <w:r w:rsidRPr="00D20CCA">
          <w:rPr>
            <w:rFonts w:ascii="Garamond" w:hAnsi="Garamond"/>
            <w:sz w:val="24"/>
            <w:szCs w:val="24"/>
          </w:rPr>
          <w:fldChar w:fldCharType="begin"/>
        </w:r>
        <w:r w:rsidRPr="00D20CCA">
          <w:rPr>
            <w:rFonts w:ascii="Garamond" w:hAnsi="Garamond"/>
            <w:sz w:val="24"/>
            <w:szCs w:val="24"/>
          </w:rPr>
          <w:instrText>PAGE   \* MERGEFORMAT</w:instrText>
        </w:r>
        <w:r w:rsidRPr="00D20CCA">
          <w:rPr>
            <w:rFonts w:ascii="Garamond" w:hAnsi="Garamond"/>
            <w:sz w:val="24"/>
            <w:szCs w:val="24"/>
          </w:rPr>
          <w:fldChar w:fldCharType="separate"/>
        </w:r>
        <w:r w:rsidR="00457B43">
          <w:rPr>
            <w:rFonts w:ascii="Garamond" w:hAnsi="Garamond"/>
            <w:noProof/>
            <w:sz w:val="24"/>
            <w:szCs w:val="24"/>
          </w:rPr>
          <w:t>63</w:t>
        </w:r>
        <w:r w:rsidRPr="00D20CCA">
          <w:rPr>
            <w:rFonts w:ascii="Garamond" w:hAnsi="Garamond"/>
            <w:sz w:val="24"/>
            <w:szCs w:val="24"/>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113505"/>
      <w:docPartObj>
        <w:docPartGallery w:val="Page Numbers (Bottom of Page)"/>
        <w:docPartUnique/>
      </w:docPartObj>
    </w:sdtPr>
    <w:sdtEndPr>
      <w:rPr>
        <w:rFonts w:ascii="Garamond" w:hAnsi="Garamond"/>
        <w:sz w:val="24"/>
        <w:szCs w:val="24"/>
      </w:rPr>
    </w:sdtEndPr>
    <w:sdtContent>
      <w:p w:rsidR="00DC78AD" w:rsidRPr="007D6F7A" w:rsidRDefault="00DC78AD">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65</w:t>
        </w:r>
        <w:r w:rsidRPr="007D6F7A">
          <w:rPr>
            <w:rFonts w:ascii="Garamond" w:hAnsi="Garamond"/>
            <w:sz w:val="24"/>
            <w:szCs w:val="24"/>
          </w:rP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BF7BFE" w:rsidRDefault="00DC78AD">
    <w:pPr>
      <w:pStyle w:val="Pidipagina"/>
      <w:rPr>
        <w:color w:val="59595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B80024" w:rsidRDefault="00DC78AD">
    <w:pPr>
      <w:pStyle w:val="Pidipagina"/>
      <w:rPr>
        <w:rFonts w:ascii="Garamond" w:hAnsi="Garamond"/>
        <w:sz w:val="24"/>
        <w:szCs w:val="24"/>
      </w:rPr>
    </w:pPr>
    <w:r w:rsidRPr="00B80024">
      <w:rPr>
        <w:rFonts w:ascii="Garamond" w:hAnsi="Garamond"/>
        <w:sz w:val="24"/>
        <w:szCs w:val="24"/>
      </w:rPr>
      <w:fldChar w:fldCharType="begin"/>
    </w:r>
    <w:r w:rsidRPr="00B80024">
      <w:rPr>
        <w:rFonts w:ascii="Garamond" w:hAnsi="Garamond"/>
        <w:sz w:val="24"/>
        <w:szCs w:val="24"/>
      </w:rPr>
      <w:instrText>PAGE   \* MERGEFORMAT</w:instrText>
    </w:r>
    <w:r w:rsidRPr="00B80024">
      <w:rPr>
        <w:rFonts w:ascii="Garamond" w:hAnsi="Garamond"/>
        <w:sz w:val="24"/>
        <w:szCs w:val="24"/>
      </w:rPr>
      <w:fldChar w:fldCharType="separate"/>
    </w:r>
    <w:r w:rsidR="007311ED">
      <w:rPr>
        <w:rFonts w:ascii="Garamond" w:hAnsi="Garamond"/>
        <w:noProof/>
        <w:sz w:val="24"/>
        <w:szCs w:val="24"/>
      </w:rPr>
      <w:t>49</w:t>
    </w:r>
    <w:r w:rsidRPr="00B80024">
      <w:rPr>
        <w:rFonts w:ascii="Garamond" w:hAnsi="Garamond"/>
        <w:sz w:val="24"/>
        <w:szCs w:val="24"/>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BF7BFE" w:rsidRDefault="00DC78AD">
    <w:pPr>
      <w:pStyle w:val="Pidipagina"/>
      <w:rPr>
        <w:color w:val="595959"/>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99265260"/>
      <w:docPartObj>
        <w:docPartGallery w:val="Page Numbers (Bottom of Page)"/>
        <w:docPartUnique/>
      </w:docPartObj>
    </w:sdtPr>
    <w:sdtContent>
      <w:p w:rsidR="00DC78AD" w:rsidRPr="007D6F7A" w:rsidRDefault="00DC78AD">
        <w:pPr>
          <w:pStyle w:val="Pidipagina"/>
          <w:rPr>
            <w:rFonts w:ascii="Garamond" w:hAnsi="Garamond"/>
            <w:sz w:val="24"/>
            <w:szCs w:val="24"/>
          </w:rPr>
        </w:pPr>
        <w:r w:rsidRPr="007D6F7A">
          <w:rPr>
            <w:rFonts w:ascii="Garamond" w:hAnsi="Garamond"/>
          </w:rPr>
          <w:fldChar w:fldCharType="begin"/>
        </w:r>
        <w:r w:rsidRPr="007D6F7A">
          <w:rPr>
            <w:rFonts w:ascii="Garamond" w:hAnsi="Garamond"/>
          </w:rPr>
          <w:instrText>PAGE   \* MERGEFORMAT</w:instrText>
        </w:r>
        <w:r w:rsidRPr="007D6F7A">
          <w:rPr>
            <w:rFonts w:ascii="Garamond" w:hAnsi="Garamond"/>
          </w:rPr>
          <w:fldChar w:fldCharType="separate"/>
        </w:r>
        <w:r w:rsidR="00457B43">
          <w:rPr>
            <w:rFonts w:ascii="Garamond" w:hAnsi="Garamond"/>
            <w:noProof/>
          </w:rPr>
          <w:t>69</w:t>
        </w:r>
        <w:r w:rsidRPr="007D6F7A">
          <w:rPr>
            <w:rFonts w:ascii="Garamond" w:hAnsi="Garamond"/>
          </w:rPr>
          <w:fldChar w:fldCharType="end"/>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80</w:t>
    </w:r>
    <w:r w:rsidRPr="007D6F7A">
      <w:rPr>
        <w:rStyle w:val="Numeropagina"/>
        <w:rFonts w:ascii="Garamond" w:hAnsi="Garamond"/>
        <w:sz w:val="24"/>
        <w:szCs w:val="24"/>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79</w:t>
    </w:r>
    <w:r w:rsidRPr="007D6F7A">
      <w:rPr>
        <w:rStyle w:val="Numeropagina"/>
        <w:rFonts w:ascii="Garamond" w:hAnsi="Garamond"/>
        <w:sz w:val="24"/>
        <w:szCs w:val="24"/>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82</w:t>
    </w:r>
    <w:r w:rsidRPr="007D6F7A">
      <w:rPr>
        <w:rStyle w:val="Numeropagina"/>
        <w:rFonts w:ascii="Garamond" w:hAnsi="Garamond"/>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03257F" w:rsidRDefault="00DC78AD" w:rsidP="009806A7">
    <w:pPr>
      <w:pStyle w:val="Pidipagina"/>
      <w:framePr w:wrap="around" w:vAnchor="text" w:hAnchor="margin" w:xAlign="center" w:y="1"/>
      <w:rPr>
        <w:rStyle w:val="Numeropagina"/>
        <w:rFonts w:ascii="Garamond" w:hAnsi="Garamond"/>
        <w:sz w:val="24"/>
        <w:szCs w:val="24"/>
      </w:rPr>
    </w:pPr>
    <w:r w:rsidRPr="0003257F">
      <w:rPr>
        <w:rStyle w:val="Numeropagina"/>
        <w:rFonts w:ascii="Garamond" w:hAnsi="Garamond"/>
        <w:sz w:val="24"/>
        <w:szCs w:val="24"/>
      </w:rPr>
      <w:fldChar w:fldCharType="begin"/>
    </w:r>
    <w:r w:rsidRPr="0003257F">
      <w:rPr>
        <w:rStyle w:val="Numeropagina"/>
        <w:rFonts w:ascii="Garamond" w:hAnsi="Garamond"/>
        <w:sz w:val="24"/>
        <w:szCs w:val="24"/>
      </w:rPr>
      <w:instrText xml:space="preserve">PAGE  </w:instrText>
    </w:r>
    <w:r w:rsidRPr="0003257F">
      <w:rPr>
        <w:rStyle w:val="Numeropagina"/>
        <w:rFonts w:ascii="Garamond" w:hAnsi="Garamond"/>
        <w:sz w:val="24"/>
        <w:szCs w:val="24"/>
      </w:rPr>
      <w:fldChar w:fldCharType="separate"/>
    </w:r>
    <w:r w:rsidR="00457B43">
      <w:rPr>
        <w:rStyle w:val="Numeropagina"/>
        <w:rFonts w:ascii="Garamond" w:hAnsi="Garamond"/>
        <w:noProof/>
        <w:sz w:val="24"/>
        <w:szCs w:val="24"/>
      </w:rPr>
      <w:t>5</w:t>
    </w:r>
    <w:r w:rsidRPr="0003257F">
      <w:rPr>
        <w:rStyle w:val="Numeropagina"/>
        <w:rFonts w:ascii="Garamond" w:hAnsi="Garamond"/>
        <w:sz w:val="24"/>
        <w:szCs w:val="24"/>
      </w:rPr>
      <w:fldChar w:fldCharType="end"/>
    </w:r>
  </w:p>
  <w:p w:rsidR="00DC78AD" w:rsidRPr="0003257F" w:rsidRDefault="00DC78AD" w:rsidP="0003257F">
    <w:pPr>
      <w:pStyle w:val="Pidipagina"/>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83</w:t>
    </w:r>
    <w:r w:rsidRPr="007D6F7A">
      <w:rPr>
        <w:rStyle w:val="Numeropagina"/>
        <w:rFonts w:ascii="Garamond" w:hAnsi="Garamond"/>
        <w:sz w:val="24"/>
        <w:szCs w:val="24"/>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664305"/>
      <w:docPartObj>
        <w:docPartGallery w:val="Page Numbers (Bottom of Page)"/>
        <w:docPartUnique/>
      </w:docPartObj>
    </w:sdtPr>
    <w:sdtEndPr>
      <w:rPr>
        <w:rFonts w:ascii="Garamond" w:hAnsi="Garamond"/>
        <w:sz w:val="24"/>
        <w:szCs w:val="24"/>
      </w:rPr>
    </w:sdtEnd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86</w:t>
        </w:r>
        <w:r w:rsidRPr="007D6F7A">
          <w:rPr>
            <w:rFonts w:ascii="Garamond" w:hAnsi="Garamond"/>
            <w:sz w:val="24"/>
            <w:szCs w:val="24"/>
          </w:rPr>
          <w:fldChar w:fldCharType="end"/>
        </w:r>
      </w:p>
    </w:sdtContent>
  </w:sdt>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330066087"/>
      <w:docPartObj>
        <w:docPartGallery w:val="Page Numbers (Bottom of Page)"/>
        <w:docPartUnique/>
      </w:docPartObj>
    </w:sdt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A2500F">
          <w:rPr>
            <w:rFonts w:ascii="Garamond" w:hAnsi="Garamond"/>
            <w:noProof/>
            <w:sz w:val="24"/>
            <w:szCs w:val="24"/>
          </w:rPr>
          <w:t>87</w:t>
        </w:r>
        <w:r w:rsidRPr="007D6F7A">
          <w:rPr>
            <w:rFonts w:ascii="Garamond" w:hAnsi="Garamond"/>
            <w:sz w:val="24"/>
            <w:szCs w:val="24"/>
          </w:rPr>
          <w:fldChar w:fldCharType="end"/>
        </w:r>
      </w:p>
    </w:sdtContent>
  </w:sdt>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90</w:t>
    </w:r>
    <w:r w:rsidRPr="007D6F7A">
      <w:rPr>
        <w:rStyle w:val="Numeropagina"/>
        <w:rFonts w:ascii="Garamond" w:hAnsi="Garamond"/>
        <w:sz w:val="24"/>
        <w:szCs w:val="24"/>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89</w:t>
    </w:r>
    <w:r w:rsidRPr="007D6F7A">
      <w:rPr>
        <w:rStyle w:val="Numeropagina"/>
        <w:rFonts w:ascii="Garamond" w:hAnsi="Garamond"/>
        <w:sz w:val="24"/>
        <w:szCs w:val="24"/>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226735"/>
      <w:docPartObj>
        <w:docPartGallery w:val="Page Numbers (Bottom of Page)"/>
        <w:docPartUnique/>
      </w:docPartObj>
    </w:sdtPr>
    <w:sdtEndPr>
      <w:rPr>
        <w:rFonts w:ascii="Garamond" w:hAnsi="Garamond"/>
        <w:sz w:val="24"/>
        <w:szCs w:val="24"/>
      </w:rPr>
    </w:sdtEnd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96</w:t>
        </w:r>
        <w:r w:rsidRPr="007D6F7A">
          <w:rPr>
            <w:rFonts w:ascii="Garamond" w:hAnsi="Garamond"/>
            <w:sz w:val="24"/>
            <w:szCs w:val="24"/>
          </w:rPr>
          <w:fldChar w:fldCharType="end"/>
        </w:r>
      </w:p>
    </w:sdtContent>
  </w:sdt>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205692"/>
      <w:docPartObj>
        <w:docPartGallery w:val="Page Numbers (Bottom of Page)"/>
        <w:docPartUnique/>
      </w:docPartObj>
    </w:sdtPr>
    <w:sdtEndPr>
      <w:rPr>
        <w:rFonts w:ascii="Garamond" w:hAnsi="Garamond"/>
        <w:sz w:val="24"/>
        <w:szCs w:val="24"/>
      </w:rPr>
    </w:sdtEnd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95</w:t>
        </w:r>
        <w:r w:rsidRPr="007D6F7A">
          <w:rPr>
            <w:rFonts w:ascii="Garamond" w:hAnsi="Garamond"/>
            <w:sz w:val="24"/>
            <w:szCs w:val="24"/>
          </w:rPr>
          <w:fldChar w:fldCharType="end"/>
        </w:r>
      </w:p>
    </w:sdtContent>
  </w:sdt>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618056"/>
      <w:docPartObj>
        <w:docPartGallery w:val="Page Numbers (Bottom of Page)"/>
        <w:docPartUnique/>
      </w:docPartObj>
    </w:sdtPr>
    <w:sdtEndPr>
      <w:rPr>
        <w:rFonts w:ascii="Garamond" w:hAnsi="Garamond"/>
        <w:sz w:val="24"/>
        <w:szCs w:val="24"/>
      </w:rPr>
    </w:sdtEnd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100</w:t>
        </w:r>
        <w:r w:rsidRPr="007D6F7A">
          <w:rPr>
            <w:rFonts w:ascii="Garamond" w:hAnsi="Garamond"/>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rsidP="00E435D2">
    <w:pPr>
      <w:pStyle w:val="Pidipagina"/>
      <w:framePr w:wrap="around" w:vAnchor="text" w:hAnchor="margin" w:xAlign="center" w:y="1"/>
      <w:rPr>
        <w:rStyle w:val="Numeropagina"/>
      </w:rPr>
    </w:pPr>
    <w:r w:rsidRPr="000B2A8E">
      <w:rPr>
        <w:rStyle w:val="Numeropagina"/>
        <w:rFonts w:ascii="Garamond" w:hAnsi="Garamond"/>
        <w:sz w:val="24"/>
        <w:szCs w:val="24"/>
      </w:rPr>
      <w:fldChar w:fldCharType="begin"/>
    </w:r>
    <w:r w:rsidRPr="000B2A8E">
      <w:rPr>
        <w:rStyle w:val="Numeropagina"/>
        <w:rFonts w:ascii="Garamond" w:hAnsi="Garamond"/>
        <w:sz w:val="24"/>
        <w:szCs w:val="24"/>
      </w:rPr>
      <w:instrText xml:space="preserve">PAGE  </w:instrText>
    </w:r>
    <w:r w:rsidRPr="000B2A8E">
      <w:rPr>
        <w:rStyle w:val="Numeropagina"/>
        <w:rFonts w:ascii="Garamond" w:hAnsi="Garamond"/>
        <w:sz w:val="24"/>
        <w:szCs w:val="24"/>
      </w:rPr>
      <w:fldChar w:fldCharType="separate"/>
    </w:r>
    <w:r w:rsidR="00976B38">
      <w:rPr>
        <w:rStyle w:val="Numeropagina"/>
        <w:rFonts w:ascii="Garamond" w:hAnsi="Garamond"/>
        <w:noProof/>
        <w:sz w:val="24"/>
        <w:szCs w:val="24"/>
      </w:rPr>
      <w:t>34</w:t>
    </w:r>
    <w:r w:rsidRPr="000B2A8E">
      <w:rPr>
        <w:rStyle w:val="Numeropagina"/>
        <w:rFonts w:ascii="Garamond" w:hAnsi="Garamond"/>
        <w:sz w:val="24"/>
        <w:szCs w:val="24"/>
      </w:rPr>
      <w:fldChar w:fldCharType="end"/>
    </w:r>
  </w:p>
  <w:p w:rsidR="00DC78AD" w:rsidRDefault="00DC78AD">
    <w:pPr>
      <w:pStyle w:val="Pidipagina"/>
    </w:pPr>
    <w:r>
      <w:t xml:space="preserve">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570674"/>
      <w:docPartObj>
        <w:docPartGallery w:val="Page Numbers (Bottom of Page)"/>
        <w:docPartUnique/>
      </w:docPartObj>
    </w:sdtPr>
    <w:sdtEndPr>
      <w:rPr>
        <w:rFonts w:ascii="Garamond" w:hAnsi="Garamond"/>
        <w:sz w:val="24"/>
        <w:szCs w:val="24"/>
      </w:rPr>
    </w:sdtEnd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99</w:t>
        </w:r>
        <w:r w:rsidRPr="007D6F7A">
          <w:rPr>
            <w:rFonts w:ascii="Garamond" w:hAnsi="Garamond"/>
            <w:sz w:val="24"/>
            <w:szCs w:val="24"/>
          </w:rPr>
          <w:fldChar w:fldCharType="end"/>
        </w:r>
      </w:p>
    </w:sdtContent>
  </w:sdt>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106</w:t>
    </w:r>
    <w:r w:rsidRPr="007D6F7A">
      <w:rPr>
        <w:rStyle w:val="Numeropagina"/>
        <w:rFonts w:ascii="Garamond" w:hAnsi="Garamond"/>
        <w:sz w:val="24"/>
        <w:szCs w:val="24"/>
      </w:rP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105</w:t>
    </w:r>
    <w:r w:rsidRPr="007D6F7A">
      <w:rPr>
        <w:rStyle w:val="Numeropagina"/>
        <w:rFonts w:ascii="Garamond" w:hAnsi="Garamond"/>
        <w:sz w:val="24"/>
        <w:szCs w:val="24"/>
      </w:rP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1984"/>
      <w:docPartObj>
        <w:docPartGallery w:val="Page Numbers (Bottom of Page)"/>
        <w:docPartUnique/>
      </w:docPartObj>
    </w:sdtPr>
    <w:sdtEndPr>
      <w:rPr>
        <w:rFonts w:ascii="Garamond" w:hAnsi="Garamond"/>
        <w:sz w:val="24"/>
        <w:szCs w:val="24"/>
      </w:rPr>
    </w:sdtEndPr>
    <w:sdtContent>
      <w:p w:rsidR="00DC78AD" w:rsidRPr="007D6F7A" w:rsidRDefault="00DC78AD">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110</w:t>
        </w:r>
        <w:r w:rsidRPr="007D6F7A">
          <w:rPr>
            <w:rFonts w:ascii="Garamond" w:hAnsi="Garamond"/>
            <w:sz w:val="24"/>
            <w:szCs w:val="24"/>
          </w:rPr>
          <w:fldChar w:fldCharType="end"/>
        </w:r>
      </w:p>
    </w:sdtContent>
  </w:sdt>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9910649"/>
      <w:docPartObj>
        <w:docPartGallery w:val="Page Numbers (Bottom of Page)"/>
        <w:docPartUnique/>
      </w:docPartObj>
    </w:sdtPr>
    <w:sdtEndPr>
      <w:rPr>
        <w:rFonts w:ascii="Garamond" w:hAnsi="Garamond"/>
        <w:sz w:val="24"/>
        <w:szCs w:val="24"/>
      </w:rPr>
    </w:sdtEndPr>
    <w:sdtContent>
      <w:p w:rsidR="00DC78AD" w:rsidRPr="007D6F7A" w:rsidRDefault="00DC78AD">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111</w:t>
        </w:r>
        <w:r w:rsidRPr="007D6F7A">
          <w:rPr>
            <w:rFonts w:ascii="Garamond" w:hAnsi="Garamond"/>
            <w:sz w:val="24"/>
            <w:szCs w:val="24"/>
          </w:rPr>
          <w:fldChar w:fldCharType="end"/>
        </w:r>
      </w:p>
    </w:sdtContent>
  </w:sdt>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118</w:t>
    </w:r>
    <w:r w:rsidRPr="007D6F7A">
      <w:rPr>
        <w:rStyle w:val="Numeropagina"/>
        <w:rFonts w:ascii="Garamond" w:hAnsi="Garamond"/>
        <w:sz w:val="24"/>
        <w:szCs w:val="24"/>
      </w:rP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D6F7A" w:rsidRDefault="00DC78AD">
    <w:pPr>
      <w:pStyle w:val="Pidipagina"/>
      <w:rPr>
        <w:rFonts w:ascii="Garamond" w:hAnsi="Garamond"/>
        <w:sz w:val="24"/>
        <w:szCs w:val="24"/>
      </w:rPr>
    </w:pPr>
    <w:r w:rsidRPr="007D6F7A">
      <w:rPr>
        <w:rStyle w:val="Numeropagina"/>
        <w:rFonts w:ascii="Garamond" w:hAnsi="Garamond"/>
        <w:sz w:val="24"/>
        <w:szCs w:val="24"/>
      </w:rPr>
      <w:fldChar w:fldCharType="begin"/>
    </w:r>
    <w:r w:rsidRPr="007D6F7A">
      <w:rPr>
        <w:rStyle w:val="Numeropagina"/>
        <w:rFonts w:ascii="Garamond" w:hAnsi="Garamond"/>
        <w:sz w:val="24"/>
        <w:szCs w:val="24"/>
      </w:rPr>
      <w:instrText xml:space="preserve"> PAGE </w:instrText>
    </w:r>
    <w:r w:rsidRPr="007D6F7A">
      <w:rPr>
        <w:rStyle w:val="Numeropagina"/>
        <w:rFonts w:ascii="Garamond" w:hAnsi="Garamond"/>
        <w:sz w:val="24"/>
        <w:szCs w:val="24"/>
      </w:rPr>
      <w:fldChar w:fldCharType="separate"/>
    </w:r>
    <w:r w:rsidR="00457B43">
      <w:rPr>
        <w:rStyle w:val="Numeropagina"/>
        <w:rFonts w:ascii="Garamond" w:hAnsi="Garamond"/>
        <w:noProof/>
        <w:sz w:val="24"/>
        <w:szCs w:val="24"/>
      </w:rPr>
      <w:t>117</w:t>
    </w:r>
    <w:r w:rsidRPr="007D6F7A">
      <w:rPr>
        <w:rStyle w:val="Numeropagina"/>
        <w:rFonts w:ascii="Garamond" w:hAnsi="Garamond"/>
        <w:sz w:val="24"/>
        <w:szCs w:val="24"/>
      </w:rPr>
      <w:fldChar w:fldCharType="end"/>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972548"/>
      <w:docPartObj>
        <w:docPartGallery w:val="Page Numbers (Bottom of Page)"/>
        <w:docPartUnique/>
      </w:docPartObj>
    </w:sdtPr>
    <w:sdtEndPr>
      <w:rPr>
        <w:rFonts w:ascii="Garamond" w:hAnsi="Garamond"/>
        <w:sz w:val="24"/>
        <w:szCs w:val="24"/>
      </w:rPr>
    </w:sdtEnd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122</w:t>
        </w:r>
        <w:r w:rsidRPr="007D6F7A">
          <w:rPr>
            <w:rFonts w:ascii="Garamond" w:hAnsi="Garamond"/>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0B2A8E" w:rsidRDefault="00DC78AD" w:rsidP="009806A7">
    <w:pPr>
      <w:pStyle w:val="Pidipagina"/>
      <w:framePr w:wrap="around" w:vAnchor="text" w:hAnchor="margin" w:xAlign="center" w:y="1"/>
      <w:rPr>
        <w:rStyle w:val="Numeropagina"/>
        <w:rFonts w:ascii="Garamond" w:hAnsi="Garamond"/>
        <w:sz w:val="24"/>
        <w:szCs w:val="24"/>
      </w:rPr>
    </w:pPr>
    <w:r w:rsidRPr="000B2A8E">
      <w:rPr>
        <w:rStyle w:val="Numeropagina"/>
        <w:rFonts w:ascii="Garamond" w:hAnsi="Garamond"/>
        <w:sz w:val="24"/>
        <w:szCs w:val="24"/>
      </w:rPr>
      <w:fldChar w:fldCharType="begin"/>
    </w:r>
    <w:r w:rsidRPr="000B2A8E">
      <w:rPr>
        <w:rStyle w:val="Numeropagina"/>
        <w:rFonts w:ascii="Garamond" w:hAnsi="Garamond"/>
        <w:sz w:val="24"/>
        <w:szCs w:val="24"/>
      </w:rPr>
      <w:instrText xml:space="preserve">PAGE  </w:instrText>
    </w:r>
    <w:r w:rsidRPr="000B2A8E">
      <w:rPr>
        <w:rStyle w:val="Numeropagina"/>
        <w:rFonts w:ascii="Garamond" w:hAnsi="Garamond"/>
        <w:sz w:val="24"/>
        <w:szCs w:val="24"/>
      </w:rPr>
      <w:fldChar w:fldCharType="separate"/>
    </w:r>
    <w:r w:rsidR="00976B38">
      <w:rPr>
        <w:rStyle w:val="Numeropagina"/>
        <w:rFonts w:ascii="Garamond" w:hAnsi="Garamond"/>
        <w:noProof/>
        <w:sz w:val="24"/>
        <w:szCs w:val="24"/>
      </w:rPr>
      <w:t>33</w:t>
    </w:r>
    <w:r w:rsidRPr="000B2A8E">
      <w:rPr>
        <w:rStyle w:val="Numeropagina"/>
        <w:rFonts w:ascii="Garamond" w:hAnsi="Garamond"/>
        <w:sz w:val="24"/>
        <w:szCs w:val="24"/>
      </w:rPr>
      <w:fldChar w:fldCharType="end"/>
    </w:r>
  </w:p>
  <w:p w:rsidR="00DC78AD" w:rsidRPr="001E41EC" w:rsidRDefault="00DC78AD" w:rsidP="001E41EC">
    <w:pPr>
      <w:pStyle w:val="Pidipagina"/>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966187"/>
      <w:docPartObj>
        <w:docPartGallery w:val="Page Numbers (Bottom of Page)"/>
        <w:docPartUnique/>
      </w:docPartObj>
    </w:sdtPr>
    <w:sdtEndPr>
      <w:rPr>
        <w:rFonts w:ascii="Garamond" w:hAnsi="Garamond"/>
        <w:sz w:val="24"/>
        <w:szCs w:val="24"/>
      </w:rPr>
    </w:sdtEnd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123</w:t>
        </w:r>
        <w:r w:rsidRPr="007D6F7A">
          <w:rPr>
            <w:rFonts w:ascii="Garamond" w:hAnsi="Garamond"/>
            <w:sz w:val="24"/>
            <w:szCs w:val="24"/>
          </w:rPr>
          <w:fldChar w:fldCharType="end"/>
        </w:r>
      </w:p>
    </w:sdtContent>
  </w:sdt>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183684"/>
      <w:docPartObj>
        <w:docPartGallery w:val="Page Numbers (Bottom of Page)"/>
        <w:docPartUnique/>
      </w:docPartObj>
    </w:sdtPr>
    <w:sdtEndPr>
      <w:rPr>
        <w:rFonts w:ascii="Garamond" w:hAnsi="Garamond"/>
        <w:sz w:val="24"/>
        <w:szCs w:val="24"/>
      </w:rPr>
    </w:sdtEnd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128</w:t>
        </w:r>
        <w:r w:rsidRPr="007D6F7A">
          <w:rPr>
            <w:rFonts w:ascii="Garamond" w:hAnsi="Garamond"/>
            <w:sz w:val="24"/>
            <w:szCs w:val="24"/>
          </w:rPr>
          <w:fldChar w:fldCharType="end"/>
        </w:r>
      </w:p>
    </w:sdtContent>
  </w:sdt>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96922442"/>
      <w:docPartObj>
        <w:docPartGallery w:val="Page Numbers (Bottom of Page)"/>
        <w:docPartUnique/>
      </w:docPartObj>
    </w:sdt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127</w:t>
        </w:r>
        <w:r w:rsidRPr="007D6F7A">
          <w:rPr>
            <w:rFonts w:ascii="Garamond" w:hAnsi="Garamond"/>
            <w:sz w:val="24"/>
            <w:szCs w:val="24"/>
          </w:rPr>
          <w:fldChar w:fldCharType="end"/>
        </w:r>
      </w:p>
    </w:sdtContent>
  </w:sdt>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53221316"/>
      <w:docPartObj>
        <w:docPartGallery w:val="Page Numbers (Bottom of Page)"/>
        <w:docPartUnique/>
      </w:docPartObj>
    </w:sdt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170</w:t>
        </w:r>
        <w:r w:rsidRPr="007D6F7A">
          <w:rPr>
            <w:rFonts w:ascii="Garamond" w:hAnsi="Garamond"/>
            <w:sz w:val="24"/>
            <w:szCs w:val="24"/>
          </w:rPr>
          <w:fldChar w:fldCharType="end"/>
        </w:r>
      </w:p>
    </w:sdtContent>
  </w:sdt>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259884"/>
      <w:docPartObj>
        <w:docPartGallery w:val="Page Numbers (Bottom of Page)"/>
        <w:docPartUnique/>
      </w:docPartObj>
    </w:sdtPr>
    <w:sdtEndPr>
      <w:rPr>
        <w:rFonts w:ascii="Garamond" w:hAnsi="Garamond"/>
        <w:sz w:val="24"/>
        <w:szCs w:val="24"/>
      </w:rPr>
    </w:sdtEndPr>
    <w:sdtContent>
      <w:p w:rsidR="00DC78AD" w:rsidRPr="007D6F7A" w:rsidRDefault="00DC78AD" w:rsidP="00D20CCA">
        <w:pPr>
          <w:pStyle w:val="Pidipagina"/>
          <w:rPr>
            <w:rFonts w:ascii="Garamond" w:hAnsi="Garamond"/>
            <w:sz w:val="24"/>
            <w:szCs w:val="24"/>
          </w:rPr>
        </w:pPr>
        <w:r w:rsidRPr="007D6F7A">
          <w:rPr>
            <w:rFonts w:ascii="Garamond" w:hAnsi="Garamond"/>
            <w:sz w:val="24"/>
            <w:szCs w:val="24"/>
          </w:rPr>
          <w:fldChar w:fldCharType="begin"/>
        </w:r>
        <w:r w:rsidRPr="007D6F7A">
          <w:rPr>
            <w:rFonts w:ascii="Garamond" w:hAnsi="Garamond"/>
            <w:sz w:val="24"/>
            <w:szCs w:val="24"/>
          </w:rPr>
          <w:instrText>PAGE   \* MERGEFORMAT</w:instrText>
        </w:r>
        <w:r w:rsidRPr="007D6F7A">
          <w:rPr>
            <w:rFonts w:ascii="Garamond" w:hAnsi="Garamond"/>
            <w:sz w:val="24"/>
            <w:szCs w:val="24"/>
          </w:rPr>
          <w:fldChar w:fldCharType="separate"/>
        </w:r>
        <w:r w:rsidR="00457B43">
          <w:rPr>
            <w:rFonts w:ascii="Garamond" w:hAnsi="Garamond"/>
            <w:noProof/>
            <w:sz w:val="24"/>
            <w:szCs w:val="24"/>
          </w:rPr>
          <w:t>171</w:t>
        </w:r>
        <w:r w:rsidRPr="007D6F7A">
          <w:rPr>
            <w:rFonts w:ascii="Garamond" w:hAnsi="Garamond"/>
            <w:sz w:val="24"/>
            <w:szCs w:val="24"/>
          </w:rPr>
          <w:fldChar w:fldCharType="end"/>
        </w:r>
      </w:p>
    </w:sdtContent>
  </w:sdt>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Pidi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265267" w:rsidRDefault="00DC78AD">
    <w:pPr>
      <w:pStyle w:val="Pidipagina"/>
      <w:rPr>
        <w:rStyle w:val="Numeropagina"/>
        <w:rFonts w:ascii="Garamond" w:hAnsi="Garamond"/>
        <w:sz w:val="24"/>
        <w:szCs w:val="24"/>
      </w:rPr>
    </w:pPr>
    <w:r w:rsidRPr="00265267">
      <w:rPr>
        <w:rStyle w:val="Numeropagina"/>
        <w:rFonts w:ascii="Garamond" w:hAnsi="Garamond"/>
        <w:sz w:val="24"/>
        <w:szCs w:val="24"/>
      </w:rPr>
      <w:fldChar w:fldCharType="begin"/>
    </w:r>
    <w:r w:rsidRPr="00265267">
      <w:rPr>
        <w:rStyle w:val="Numeropagina"/>
        <w:rFonts w:ascii="Garamond" w:hAnsi="Garamond"/>
        <w:sz w:val="24"/>
        <w:szCs w:val="24"/>
      </w:rPr>
      <w:instrText xml:space="preserve"> PAGE </w:instrText>
    </w:r>
    <w:r w:rsidRPr="00265267">
      <w:rPr>
        <w:rStyle w:val="Numeropagina"/>
        <w:rFonts w:ascii="Garamond" w:hAnsi="Garamond"/>
        <w:sz w:val="24"/>
        <w:szCs w:val="24"/>
      </w:rPr>
      <w:fldChar w:fldCharType="separate"/>
    </w:r>
    <w:r w:rsidR="007311ED">
      <w:rPr>
        <w:rStyle w:val="Numeropagina"/>
        <w:rFonts w:ascii="Garamond" w:hAnsi="Garamond"/>
        <w:noProof/>
        <w:sz w:val="24"/>
        <w:szCs w:val="24"/>
      </w:rPr>
      <w:t>48</w:t>
    </w:r>
    <w:r w:rsidRPr="00265267">
      <w:rPr>
        <w:rStyle w:val="Numeropagina"/>
        <w:rFonts w:ascii="Garamond" w:hAnsi="Garamond"/>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265267" w:rsidRDefault="00DC78AD">
    <w:pPr>
      <w:pStyle w:val="Pidipagina"/>
      <w:rPr>
        <w:rFonts w:ascii="Garamond" w:hAnsi="Garamond"/>
        <w:sz w:val="24"/>
        <w:szCs w:val="24"/>
      </w:rPr>
    </w:pPr>
    <w:r w:rsidRPr="00265267">
      <w:rPr>
        <w:rStyle w:val="Numeropagina"/>
        <w:rFonts w:ascii="Garamond" w:hAnsi="Garamond"/>
        <w:sz w:val="24"/>
        <w:szCs w:val="24"/>
      </w:rPr>
      <w:fldChar w:fldCharType="begin"/>
    </w:r>
    <w:r w:rsidRPr="00265267">
      <w:rPr>
        <w:rStyle w:val="Numeropagina"/>
        <w:rFonts w:ascii="Garamond" w:hAnsi="Garamond"/>
        <w:sz w:val="24"/>
        <w:szCs w:val="24"/>
      </w:rPr>
      <w:instrText xml:space="preserve"> PAGE </w:instrText>
    </w:r>
    <w:r w:rsidRPr="00265267">
      <w:rPr>
        <w:rStyle w:val="Numeropagina"/>
        <w:rFonts w:ascii="Garamond" w:hAnsi="Garamond"/>
        <w:sz w:val="24"/>
        <w:szCs w:val="24"/>
      </w:rPr>
      <w:fldChar w:fldCharType="separate"/>
    </w:r>
    <w:r w:rsidR="007311ED">
      <w:rPr>
        <w:rStyle w:val="Numeropagina"/>
        <w:rFonts w:ascii="Garamond" w:hAnsi="Garamond"/>
        <w:noProof/>
        <w:sz w:val="24"/>
        <w:szCs w:val="24"/>
      </w:rPr>
      <w:t>45</w:t>
    </w:r>
    <w:r w:rsidRPr="00265267">
      <w:rPr>
        <w:rStyle w:val="Numeropagina"/>
        <w:rFonts w:ascii="Garamond" w:hAnsi="Garamond"/>
        <w:sz w:val="24"/>
        <w:szCs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E92A51" w:rsidRDefault="00DC78AD" w:rsidP="00E92A51">
    <w:pPr>
      <w:pStyle w:val="Pidipagin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369971"/>
      <w:docPartObj>
        <w:docPartGallery w:val="Page Numbers (Bottom of Page)"/>
        <w:docPartUnique/>
      </w:docPartObj>
    </w:sdtPr>
    <w:sdtEndPr>
      <w:rPr>
        <w:rFonts w:ascii="Garamond" w:hAnsi="Garamond"/>
        <w:sz w:val="24"/>
        <w:szCs w:val="24"/>
      </w:rPr>
    </w:sdtEndPr>
    <w:sdtContent>
      <w:p w:rsidR="00DC78AD" w:rsidRPr="00D20CCA" w:rsidRDefault="00DC78AD">
        <w:pPr>
          <w:pStyle w:val="Pidipagina"/>
          <w:rPr>
            <w:rFonts w:ascii="Garamond" w:hAnsi="Garamond"/>
            <w:sz w:val="24"/>
            <w:szCs w:val="24"/>
          </w:rPr>
        </w:pPr>
        <w:r w:rsidRPr="00D20CCA">
          <w:rPr>
            <w:rFonts w:ascii="Garamond" w:hAnsi="Garamond"/>
            <w:sz w:val="24"/>
            <w:szCs w:val="24"/>
          </w:rPr>
          <w:fldChar w:fldCharType="begin"/>
        </w:r>
        <w:r w:rsidRPr="00D20CCA">
          <w:rPr>
            <w:rFonts w:ascii="Garamond" w:hAnsi="Garamond"/>
            <w:sz w:val="24"/>
            <w:szCs w:val="24"/>
          </w:rPr>
          <w:instrText>PAGE   \* MERGEFORMAT</w:instrText>
        </w:r>
        <w:r w:rsidRPr="00D20CCA">
          <w:rPr>
            <w:rFonts w:ascii="Garamond" w:hAnsi="Garamond"/>
            <w:sz w:val="24"/>
            <w:szCs w:val="24"/>
          </w:rPr>
          <w:fldChar w:fldCharType="separate"/>
        </w:r>
        <w:r w:rsidR="00457B43">
          <w:rPr>
            <w:rFonts w:ascii="Garamond" w:hAnsi="Garamond"/>
            <w:noProof/>
            <w:sz w:val="24"/>
            <w:szCs w:val="24"/>
          </w:rPr>
          <w:t>62</w:t>
        </w:r>
        <w:r w:rsidRPr="00D20CCA">
          <w:rPr>
            <w:rFonts w:ascii="Garamond" w:hAnsi="Garamond"/>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8AD" w:rsidRDefault="00DC78AD">
      <w:r>
        <w:separator/>
      </w:r>
    </w:p>
    <w:p w:rsidR="00DC78AD" w:rsidRDefault="00DC78AD"/>
  </w:footnote>
  <w:footnote w:type="continuationSeparator" w:id="0">
    <w:p w:rsidR="00DC78AD" w:rsidRDefault="00DC78AD">
      <w:r>
        <w:continuationSeparator/>
      </w:r>
    </w:p>
    <w:p w:rsidR="00DC78AD" w:rsidRDefault="00DC78AD"/>
  </w:footnote>
  <w:footnote w:id="1">
    <w:p w:rsidR="00DC78AD" w:rsidRDefault="00DC78AD">
      <w:pPr>
        <w:pStyle w:val="Testonotaapidipagina"/>
      </w:pPr>
      <w:r>
        <w:rPr>
          <w:rStyle w:val="Rimandonotaapidipagina"/>
        </w:rPr>
        <w:footnoteRef/>
      </w:r>
      <w:r>
        <w:t xml:space="preserve"> </w:t>
      </w:r>
      <w:r>
        <w:tab/>
        <w:t>Tre disegni di legge di conversione provenienti dal Senato recano disposizioni incidenti su disposizioni di delega.</w:t>
      </w:r>
    </w:p>
  </w:footnote>
  <w:footnote w:id="2">
    <w:p w:rsidR="00DC78AD" w:rsidRDefault="00DC78AD">
      <w:pPr>
        <w:pStyle w:val="Testonotaapidipagina"/>
      </w:pPr>
      <w:r>
        <w:rPr>
          <w:rStyle w:val="Rimandonotaapidipagina"/>
        </w:rPr>
        <w:footnoteRef/>
      </w:r>
      <w:r>
        <w:t xml:space="preserve"> </w:t>
      </w:r>
      <w:r>
        <w:tab/>
        <w:t xml:space="preserve">Nel parere sul disegno di legge C. 3821 la soppressione della previsione relativa allo scorrimento è subordinata ad una più generale condizione, volta al trasferimento della disposizione di delega nella sede propria della legge di delegazione europea (Cfr. il paragrafo 4.8). </w:t>
      </w:r>
    </w:p>
  </w:footnote>
  <w:footnote w:id="3">
    <w:p w:rsidR="00DC78AD" w:rsidRDefault="00DC78AD">
      <w:pPr>
        <w:pStyle w:val="Testonotaapidipagina"/>
      </w:pPr>
      <w:r>
        <w:rPr>
          <w:rStyle w:val="Rimandonotaapidipagina"/>
        </w:rPr>
        <w:footnoteRef/>
      </w:r>
      <w:r>
        <w:t xml:space="preserve"> </w:t>
      </w:r>
      <w:r>
        <w:tab/>
        <w:t xml:space="preserve">Una simile evenienza si è verificata soltanto nel secondo (e conclusivo) turno di presidenza della XV legislatura, quando, tra il 6 aprile 2007 e il 5 febbraio 2008, il Comitato si pronunciò su 14 disegni di legge di conversione, 16 progetti di legge contenenti disposizioni di delega e uno schema di decreto legislativo.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ind w:firstLine="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BF7BFE" w:rsidRDefault="00DC78AD">
    <w:pPr>
      <w:pStyle w:val="Intestazione"/>
      <w:rPr>
        <w:color w:val="595959"/>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BF7BFE" w:rsidRDefault="00DC78AD">
    <w:pPr>
      <w:pStyle w:val="Intestazione"/>
      <w:rPr>
        <w:color w:val="595959"/>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BF7BFE" w:rsidRDefault="00DC78AD">
    <w:pPr>
      <w:pStyle w:val="Intestazione"/>
      <w:rPr>
        <w:color w:val="595959"/>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ind w:firstLine="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BF7BFE" w:rsidRDefault="00DC78AD">
    <w:pPr>
      <w:pStyle w:val="Intestazione"/>
      <w:rPr>
        <w:color w:val="595959"/>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BF7BFE" w:rsidRDefault="00DC78AD">
    <w:pPr>
      <w:pStyle w:val="Intestazione"/>
      <w:rPr>
        <w:color w:val="595959"/>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ind w:firstLine="0"/>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ind w:firstLine="0"/>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41728" w:rsidRDefault="00DC78AD">
    <w:pPr>
      <w:pStyle w:val="Intestazione"/>
      <w:rPr>
        <w:color w:val="595959" w:themeColor="text1" w:themeTint="A6"/>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126454" w:rsidRDefault="00DC78AD" w:rsidP="00126454">
    <w:pPr>
      <w:pStyle w:val="Intestazione"/>
      <w:pBdr>
        <w:bottom w:val="single" w:sz="6" w:space="0" w:color="000000"/>
      </w:pBdr>
      <w:ind w:firstLine="0"/>
      <w:jc w:val="left"/>
      <w:rPr>
        <w:rFonts w:ascii="Garamond" w:hAnsi="Garamond" w:cs="Arial"/>
        <w:smallCaps/>
        <w:sz w:val="26"/>
        <w:szCs w:val="26"/>
      </w:rPr>
    </w:pPr>
    <w:r>
      <w:rPr>
        <w:rFonts w:ascii="Garamond" w:hAnsi="Garamond" w:cs="Arial"/>
        <w:smallCaps/>
        <w:sz w:val="26"/>
        <w:szCs w:val="26"/>
      </w:rPr>
      <w:t>8 novembre 2015</w:t>
    </w:r>
    <w:r w:rsidRPr="00126454">
      <w:rPr>
        <w:rFonts w:ascii="Garamond" w:hAnsi="Garamond" w:cs="Arial"/>
        <w:smallCaps/>
        <w:sz w:val="26"/>
        <w:szCs w:val="26"/>
      </w:rPr>
      <w:t xml:space="preserve"> – 7 </w:t>
    </w:r>
    <w:r>
      <w:rPr>
        <w:rFonts w:ascii="Garamond" w:hAnsi="Garamond" w:cs="Arial"/>
        <w:smallCaps/>
        <w:sz w:val="26"/>
        <w:szCs w:val="26"/>
      </w:rPr>
      <w:t>settembre 2016</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ind w:firstLine="0"/>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41728" w:rsidRDefault="00DC78AD">
    <w:pPr>
      <w:pStyle w:val="Intestazione"/>
      <w:rPr>
        <w:color w:val="595959" w:themeColor="text1" w:themeTint="A6"/>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41728" w:rsidRDefault="00DC78AD">
    <w:pPr>
      <w:pStyle w:val="Intestazione"/>
      <w:rPr>
        <w:color w:val="595959" w:themeColor="text1" w:themeTint="A6"/>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ind w:firstLine="0"/>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41728" w:rsidRDefault="00DC78AD">
    <w:pPr>
      <w:pStyle w:val="Intestazione"/>
      <w:rPr>
        <w:color w:val="595959" w:themeColor="text1" w:themeTint="A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126454" w:rsidRDefault="00DC78AD" w:rsidP="00126454">
    <w:pPr>
      <w:pStyle w:val="Intestazione"/>
      <w:pBdr>
        <w:bottom w:val="single" w:sz="4" w:space="1" w:color="auto"/>
      </w:pBdr>
      <w:ind w:firstLine="0"/>
      <w:jc w:val="right"/>
      <w:rPr>
        <w:rFonts w:ascii="Garamond" w:hAnsi="Garamond"/>
        <w:smallCaps/>
        <w:sz w:val="26"/>
        <w:szCs w:val="26"/>
      </w:rPr>
    </w:pPr>
    <w:r w:rsidRPr="00126454">
      <w:rPr>
        <w:rFonts w:ascii="Garamond" w:hAnsi="Garamond"/>
        <w:smallCaps/>
        <w:sz w:val="26"/>
        <w:szCs w:val="26"/>
      </w:rPr>
      <w:t>R</w:t>
    </w:r>
    <w:r>
      <w:rPr>
        <w:rFonts w:ascii="Garamond" w:hAnsi="Garamond"/>
        <w:smallCaps/>
        <w:sz w:val="26"/>
        <w:szCs w:val="26"/>
      </w:rPr>
      <w:t>apporto sull’attività svolta dal Comitato</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ind w:firstLine="0"/>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41728" w:rsidRDefault="00DC78AD">
    <w:pPr>
      <w:pStyle w:val="Intestazione"/>
      <w:rPr>
        <w:color w:val="595959" w:themeColor="text1" w:themeTint="A6"/>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41728" w:rsidRDefault="00DC78AD">
    <w:pPr>
      <w:pStyle w:val="Intestazione"/>
      <w:rPr>
        <w:color w:val="595959" w:themeColor="text1" w:themeTint="A6"/>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741728" w:rsidRDefault="00DC78AD">
    <w:pPr>
      <w:pStyle w:val="Intestazione"/>
      <w:rPr>
        <w:color w:val="595959" w:themeColor="text1" w:themeTint="A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09648F" w:rsidRDefault="00DC78AD" w:rsidP="00E63DBD">
    <w:pPr>
      <w:pStyle w:val="Intestazione"/>
      <w:pBdr>
        <w:bottom w:val="single" w:sz="6" w:space="1" w:color="000000"/>
      </w:pBdr>
      <w:ind w:firstLine="0"/>
      <w:jc w:val="right"/>
      <w:rPr>
        <w:rFonts w:ascii="Garamond" w:hAnsi="Garamond" w:cs="Arial"/>
        <w:smallCaps/>
        <w:sz w:val="26"/>
        <w:szCs w:val="26"/>
      </w:rPr>
    </w:pPr>
    <w:r w:rsidRPr="0009648F">
      <w:rPr>
        <w:rFonts w:ascii="Garamond" w:hAnsi="Garamond" w:cs="Arial"/>
        <w:smallCaps/>
        <w:sz w:val="26"/>
        <w:szCs w:val="26"/>
      </w:rPr>
      <w:t>Rapporto sull’attività svolta dal Comitato</w:t>
    </w:r>
  </w:p>
  <w:p w:rsidR="00DC78AD" w:rsidRDefault="00DC78AD">
    <w:pPr>
      <w:pStyle w:val="Intestazione"/>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Pr="00BF7BFE" w:rsidRDefault="00DC78AD">
    <w:pPr>
      <w:pStyle w:val="Intestazione"/>
      <w:rPr>
        <w:color w:val="595959"/>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AD" w:rsidRDefault="00DC78A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146CDBC"/>
    <w:lvl w:ilvl="0">
      <w:start w:val="1"/>
      <w:numFmt w:val="decimal"/>
      <w:pStyle w:val="Numeroelenco2"/>
      <w:lvlText w:val="%1."/>
      <w:lvlJc w:val="left"/>
      <w:pPr>
        <w:tabs>
          <w:tab w:val="num" w:pos="643"/>
        </w:tabs>
        <w:ind w:left="643" w:hanging="360"/>
      </w:pPr>
    </w:lvl>
  </w:abstractNum>
  <w:abstractNum w:abstractNumId="1">
    <w:nsid w:val="07C00D80"/>
    <w:multiLevelType w:val="singleLevel"/>
    <w:tmpl w:val="7ED29BAC"/>
    <w:lvl w:ilvl="0">
      <w:start w:val="1"/>
      <w:numFmt w:val="bullet"/>
      <w:pStyle w:val="Sommario4"/>
      <w:lvlText w:val="-"/>
      <w:lvlJc w:val="left"/>
      <w:pPr>
        <w:tabs>
          <w:tab w:val="num" w:pos="927"/>
        </w:tabs>
        <w:ind w:left="851" w:hanging="284"/>
      </w:pPr>
      <w:rPr>
        <w:rFonts w:ascii="Arial" w:hAnsi="Arial" w:hint="default"/>
      </w:rPr>
    </w:lvl>
  </w:abstractNum>
  <w:abstractNum w:abstractNumId="2">
    <w:nsid w:val="0C2F1BFD"/>
    <w:multiLevelType w:val="hybridMultilevel"/>
    <w:tmpl w:val="4B28CF0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D3E47B3"/>
    <w:multiLevelType w:val="hybridMultilevel"/>
    <w:tmpl w:val="5EB0DDD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F072A5A"/>
    <w:multiLevelType w:val="hybridMultilevel"/>
    <w:tmpl w:val="17D247F8"/>
    <w:lvl w:ilvl="0" w:tplc="22987A52">
      <w:start w:val="1"/>
      <w:numFmt w:val="bullet"/>
      <w:lvlText w:val=""/>
      <w:lvlJc w:val="left"/>
      <w:pPr>
        <w:tabs>
          <w:tab w:val="num" w:pos="283"/>
        </w:tabs>
        <w:ind w:left="283" w:hanging="283"/>
      </w:pPr>
      <w:rPr>
        <w:rFonts w:ascii="Symbol" w:hAnsi="Symbol" w:hint="default"/>
        <w:color w:val="auto"/>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5">
    <w:nsid w:val="10CF7634"/>
    <w:multiLevelType w:val="singleLevel"/>
    <w:tmpl w:val="6038E288"/>
    <w:lvl w:ilvl="0">
      <w:start w:val="1"/>
      <w:numFmt w:val="bullet"/>
      <w:pStyle w:val="elencopuntato1liv"/>
      <w:lvlText w:val=""/>
      <w:lvlJc w:val="left"/>
      <w:pPr>
        <w:tabs>
          <w:tab w:val="num" w:pos="360"/>
        </w:tabs>
        <w:ind w:left="284" w:hanging="284"/>
      </w:pPr>
      <w:rPr>
        <w:rFonts w:ascii="Wingdings" w:hAnsi="Wingdings" w:hint="default"/>
      </w:rPr>
    </w:lvl>
  </w:abstractNum>
  <w:abstractNum w:abstractNumId="6">
    <w:nsid w:val="1100636E"/>
    <w:multiLevelType w:val="hybridMultilevel"/>
    <w:tmpl w:val="524825B2"/>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
    <w:nsid w:val="12660545"/>
    <w:multiLevelType w:val="hybridMultilevel"/>
    <w:tmpl w:val="96F85542"/>
    <w:lvl w:ilvl="0" w:tplc="4AD67F64">
      <w:start w:val="1"/>
      <w:numFmt w:val="bullet"/>
      <w:pStyle w:val="Puntoelenco2"/>
      <w:lvlText w:val="-"/>
      <w:lvlJc w:val="left"/>
      <w:pPr>
        <w:ind w:left="644" w:hanging="360"/>
      </w:pPr>
      <w:rPr>
        <w:rFonts w:ascii="Arial" w:hAnsi="Arial" w:cs="Times New Roman" w:hint="default"/>
        <w:b/>
        <w:i w:val="0"/>
        <w:color w:val="auto"/>
        <w:sz w:val="22"/>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nsid w:val="14B807FB"/>
    <w:multiLevelType w:val="hybridMultilevel"/>
    <w:tmpl w:val="D0FAA906"/>
    <w:lvl w:ilvl="0" w:tplc="A1B651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nsid w:val="19F6287F"/>
    <w:multiLevelType w:val="hybridMultilevel"/>
    <w:tmpl w:val="9CDC345E"/>
    <w:lvl w:ilvl="0" w:tplc="A7F85FB0">
      <w:start w:val="1"/>
      <w:numFmt w:val="bullet"/>
      <w:lvlText w:val=""/>
      <w:lvlJc w:val="left"/>
      <w:pPr>
        <w:tabs>
          <w:tab w:val="num" w:pos="851"/>
        </w:tabs>
        <w:ind w:left="851" w:hanging="284"/>
      </w:pPr>
      <w:rPr>
        <w:rFonts w:ascii="Symbol" w:hAnsi="Symbol" w:hint="default"/>
        <w:color w:val="auto"/>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10">
    <w:nsid w:val="1B8615F0"/>
    <w:multiLevelType w:val="hybridMultilevel"/>
    <w:tmpl w:val="B85056C8"/>
    <w:lvl w:ilvl="0" w:tplc="284C58F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1C662CBA"/>
    <w:multiLevelType w:val="hybridMultilevel"/>
    <w:tmpl w:val="7BB0B48A"/>
    <w:lvl w:ilvl="0" w:tplc="7B1C5CE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nsid w:val="2109064B"/>
    <w:multiLevelType w:val="multilevel"/>
    <w:tmpl w:val="4212F8F6"/>
    <w:lvl w:ilvl="0">
      <w:start w:val="17"/>
      <w:numFmt w:val="decimal"/>
      <w:lvlText w:val="%1"/>
      <w:lvlJc w:val="left"/>
      <w:pPr>
        <w:ind w:left="432" w:hanging="432"/>
      </w:pPr>
      <w:rPr>
        <w:rFonts w:cs="Times New Roman" w:hint="default"/>
        <w:u w:val="none"/>
      </w:rPr>
    </w:lvl>
    <w:lvl w:ilvl="1">
      <w:start w:val="1"/>
      <w:numFmt w:val="decimal"/>
      <w:lvlText w:val="%1)%2"/>
      <w:lvlJc w:val="left"/>
      <w:pPr>
        <w:ind w:left="858" w:hanging="432"/>
      </w:pPr>
      <w:rPr>
        <w:rFonts w:cs="Times New Roman" w:hint="default"/>
        <w:u w:val="none"/>
      </w:rPr>
    </w:lvl>
    <w:lvl w:ilvl="2">
      <w:start w:val="1"/>
      <w:numFmt w:val="decimal"/>
      <w:lvlText w:val="%1)%2.%3"/>
      <w:lvlJc w:val="left"/>
      <w:pPr>
        <w:ind w:left="1572" w:hanging="720"/>
      </w:pPr>
      <w:rPr>
        <w:rFonts w:cs="Times New Roman" w:hint="default"/>
        <w:u w:val="none"/>
      </w:rPr>
    </w:lvl>
    <w:lvl w:ilvl="3">
      <w:start w:val="1"/>
      <w:numFmt w:val="decimal"/>
      <w:lvlText w:val="%1)%2.%3.%4"/>
      <w:lvlJc w:val="left"/>
      <w:pPr>
        <w:ind w:left="1998" w:hanging="720"/>
      </w:pPr>
      <w:rPr>
        <w:rFonts w:cs="Times New Roman" w:hint="default"/>
        <w:u w:val="none"/>
      </w:rPr>
    </w:lvl>
    <w:lvl w:ilvl="4">
      <w:start w:val="1"/>
      <w:numFmt w:val="decimal"/>
      <w:lvlText w:val="%1)%2.%3.%4.%5"/>
      <w:lvlJc w:val="left"/>
      <w:pPr>
        <w:ind w:left="2784" w:hanging="1080"/>
      </w:pPr>
      <w:rPr>
        <w:rFonts w:cs="Times New Roman" w:hint="default"/>
        <w:u w:val="none"/>
      </w:rPr>
    </w:lvl>
    <w:lvl w:ilvl="5">
      <w:start w:val="1"/>
      <w:numFmt w:val="decimal"/>
      <w:lvlText w:val="%1)%2.%3.%4.%5.%6"/>
      <w:lvlJc w:val="left"/>
      <w:pPr>
        <w:ind w:left="3210" w:hanging="1080"/>
      </w:pPr>
      <w:rPr>
        <w:rFonts w:cs="Times New Roman" w:hint="default"/>
        <w:u w:val="none"/>
      </w:rPr>
    </w:lvl>
    <w:lvl w:ilvl="6">
      <w:start w:val="1"/>
      <w:numFmt w:val="decimal"/>
      <w:lvlText w:val="%1)%2.%3.%4.%5.%6.%7"/>
      <w:lvlJc w:val="left"/>
      <w:pPr>
        <w:ind w:left="3996" w:hanging="1440"/>
      </w:pPr>
      <w:rPr>
        <w:rFonts w:cs="Times New Roman" w:hint="default"/>
        <w:u w:val="none"/>
      </w:rPr>
    </w:lvl>
    <w:lvl w:ilvl="7">
      <w:start w:val="1"/>
      <w:numFmt w:val="decimal"/>
      <w:lvlText w:val="%1)%2.%3.%4.%5.%6.%7.%8"/>
      <w:lvlJc w:val="left"/>
      <w:pPr>
        <w:ind w:left="4422" w:hanging="1440"/>
      </w:pPr>
      <w:rPr>
        <w:rFonts w:cs="Times New Roman" w:hint="default"/>
        <w:u w:val="none"/>
      </w:rPr>
    </w:lvl>
    <w:lvl w:ilvl="8">
      <w:start w:val="1"/>
      <w:numFmt w:val="decimal"/>
      <w:lvlText w:val="%1)%2.%3.%4.%5.%6.%7.%8.%9"/>
      <w:lvlJc w:val="left"/>
      <w:pPr>
        <w:ind w:left="5208" w:hanging="1800"/>
      </w:pPr>
      <w:rPr>
        <w:rFonts w:cs="Times New Roman" w:hint="default"/>
        <w:u w:val="none"/>
      </w:rPr>
    </w:lvl>
  </w:abstractNum>
  <w:abstractNum w:abstractNumId="13">
    <w:nsid w:val="25212066"/>
    <w:multiLevelType w:val="hybridMultilevel"/>
    <w:tmpl w:val="485E95FC"/>
    <w:lvl w:ilvl="0" w:tplc="CFC8CCBA">
      <w:start w:val="1"/>
      <w:numFmt w:val="bullet"/>
      <w:lvlText w:val=""/>
      <w:lvlJc w:val="left"/>
      <w:pPr>
        <w:tabs>
          <w:tab w:val="num" w:pos="567"/>
        </w:tabs>
        <w:ind w:left="567" w:hanging="283"/>
      </w:pPr>
      <w:rPr>
        <w:rFonts w:ascii="Symbol" w:hAnsi="Symbol" w:hint="default"/>
        <w:b/>
        <w:i w:val="0"/>
        <w:color w:val="auto"/>
      </w:rPr>
    </w:lvl>
    <w:lvl w:ilvl="1" w:tplc="04100001">
      <w:start w:val="1"/>
      <w:numFmt w:val="bullet"/>
      <w:lvlText w:val=""/>
      <w:lvlJc w:val="left"/>
      <w:pPr>
        <w:tabs>
          <w:tab w:val="num" w:pos="2007"/>
        </w:tabs>
        <w:ind w:left="2007" w:hanging="360"/>
      </w:pPr>
      <w:rPr>
        <w:rFonts w:ascii="Symbol" w:hAnsi="Symbol" w:hint="default"/>
        <w:b/>
        <w:i w:val="0"/>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25991150"/>
    <w:multiLevelType w:val="hybridMultilevel"/>
    <w:tmpl w:val="7884E398"/>
    <w:lvl w:ilvl="0" w:tplc="F2E83B96">
      <w:start w:val="1"/>
      <w:numFmt w:val="decimal"/>
      <w:lvlText w:val="%1)"/>
      <w:lvlJc w:val="left"/>
      <w:pPr>
        <w:tabs>
          <w:tab w:val="num" w:pos="426"/>
        </w:tabs>
        <w:ind w:left="426" w:firstLine="0"/>
      </w:pPr>
      <w:rPr>
        <w:rFonts w:hint="default"/>
        <w:color w:val="auto"/>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15">
    <w:nsid w:val="266A6F00"/>
    <w:multiLevelType w:val="hybridMultilevel"/>
    <w:tmpl w:val="5090F7AA"/>
    <w:lvl w:ilvl="0" w:tplc="FEA255A4">
      <w:start w:val="1"/>
      <w:numFmt w:val="bullet"/>
      <w:pStyle w:val="Puntoelenco1"/>
      <w:lvlText w:val=""/>
      <w:lvlJc w:val="left"/>
      <w:pPr>
        <w:ind w:left="720" w:hanging="360"/>
      </w:pPr>
      <w:rPr>
        <w:rFonts w:ascii="Wingdings" w:hAnsi="Wingdings" w:hint="default"/>
        <w:b/>
        <w:i w:val="0"/>
        <w:color w:val="auto"/>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7F0549D"/>
    <w:multiLevelType w:val="hybridMultilevel"/>
    <w:tmpl w:val="842E6968"/>
    <w:lvl w:ilvl="0" w:tplc="2D8468DE">
      <w:start w:val="1"/>
      <w:numFmt w:val="decimal"/>
      <w:lvlText w:val="%1)"/>
      <w:lvlJc w:val="left"/>
      <w:pPr>
        <w:tabs>
          <w:tab w:val="num" w:pos="426"/>
        </w:tabs>
        <w:ind w:left="426" w:firstLine="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28565D4"/>
    <w:multiLevelType w:val="multilevel"/>
    <w:tmpl w:val="51CEB48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759"/>
        </w:tabs>
        <w:ind w:left="1759" w:hanging="341"/>
      </w:pPr>
      <w:rPr>
        <w:rFonts w:ascii="Symbol" w:hAnsi="Symbol" w:hint="default"/>
        <w:b/>
        <w:i w:val="0"/>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400245C"/>
    <w:multiLevelType w:val="hybridMultilevel"/>
    <w:tmpl w:val="524825B2"/>
    <w:lvl w:ilvl="0" w:tplc="04100011">
      <w:start w:val="1"/>
      <w:numFmt w:val="decimal"/>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9">
    <w:nsid w:val="36593B5F"/>
    <w:multiLevelType w:val="hybridMultilevel"/>
    <w:tmpl w:val="D972AD7E"/>
    <w:lvl w:ilvl="0" w:tplc="A7F85FB0">
      <w:start w:val="1"/>
      <w:numFmt w:val="bullet"/>
      <w:lvlText w:val=""/>
      <w:lvlJc w:val="left"/>
      <w:pPr>
        <w:ind w:left="100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nsid w:val="3A911D4B"/>
    <w:multiLevelType w:val="hybridMultilevel"/>
    <w:tmpl w:val="9E3AB3A0"/>
    <w:lvl w:ilvl="0" w:tplc="7F6CD172">
      <w:start w:val="1"/>
      <w:numFmt w:val="decimal"/>
      <w:lvlText w:val="%1)"/>
      <w:lvlJc w:val="left"/>
      <w:pPr>
        <w:ind w:left="928" w:hanging="360"/>
      </w:pPr>
      <w:rPr>
        <w:rFonts w:cs="Times New Roman" w:hint="default"/>
        <w:color w:val="auto"/>
        <w:u w:val="none"/>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1">
    <w:nsid w:val="3BEC1221"/>
    <w:multiLevelType w:val="hybridMultilevel"/>
    <w:tmpl w:val="2F2E82CE"/>
    <w:lvl w:ilvl="0" w:tplc="36F250F6">
      <w:start w:val="1"/>
      <w:numFmt w:val="bullet"/>
      <w:pStyle w:val="puntielenco"/>
      <w:lvlText w:val=""/>
      <w:lvlJc w:val="left"/>
      <w:pPr>
        <w:tabs>
          <w:tab w:val="num" w:pos="719"/>
        </w:tabs>
        <w:ind w:left="719" w:hanging="360"/>
      </w:pPr>
      <w:rPr>
        <w:rFonts w:ascii="Symbol" w:hAnsi="Symbol" w:hint="default"/>
      </w:rPr>
    </w:lvl>
    <w:lvl w:ilvl="1" w:tplc="8CF296B8">
      <w:start w:val="1"/>
      <w:numFmt w:val="bullet"/>
      <w:lvlText w:val="•"/>
      <w:lvlJc w:val="left"/>
      <w:pPr>
        <w:tabs>
          <w:tab w:val="num" w:pos="1439"/>
        </w:tabs>
        <w:ind w:left="1439" w:hanging="360"/>
      </w:pPr>
      <w:rPr>
        <w:rFonts w:ascii="Times New Roman" w:hAnsi="Times New Roman" w:hint="default"/>
      </w:rPr>
    </w:lvl>
    <w:lvl w:ilvl="2" w:tplc="04100005" w:tentative="1">
      <w:start w:val="1"/>
      <w:numFmt w:val="bullet"/>
      <w:lvlText w:val=""/>
      <w:lvlJc w:val="left"/>
      <w:pPr>
        <w:tabs>
          <w:tab w:val="num" w:pos="2159"/>
        </w:tabs>
        <w:ind w:left="2159" w:hanging="360"/>
      </w:pPr>
      <w:rPr>
        <w:rFonts w:ascii="Wingdings" w:hAnsi="Wingdings" w:hint="default"/>
      </w:rPr>
    </w:lvl>
    <w:lvl w:ilvl="3" w:tplc="04100001" w:tentative="1">
      <w:start w:val="1"/>
      <w:numFmt w:val="bullet"/>
      <w:lvlText w:val=""/>
      <w:lvlJc w:val="left"/>
      <w:pPr>
        <w:tabs>
          <w:tab w:val="num" w:pos="2879"/>
        </w:tabs>
        <w:ind w:left="2879" w:hanging="360"/>
      </w:pPr>
      <w:rPr>
        <w:rFonts w:ascii="Symbol" w:hAnsi="Symbol" w:hint="default"/>
      </w:rPr>
    </w:lvl>
    <w:lvl w:ilvl="4" w:tplc="04100003" w:tentative="1">
      <w:start w:val="1"/>
      <w:numFmt w:val="bullet"/>
      <w:lvlText w:val="o"/>
      <w:lvlJc w:val="left"/>
      <w:pPr>
        <w:tabs>
          <w:tab w:val="num" w:pos="3599"/>
        </w:tabs>
        <w:ind w:left="3599" w:hanging="360"/>
      </w:pPr>
      <w:rPr>
        <w:rFonts w:ascii="Courier New" w:hAnsi="Courier New" w:cs="Courier New" w:hint="default"/>
      </w:rPr>
    </w:lvl>
    <w:lvl w:ilvl="5" w:tplc="04100005" w:tentative="1">
      <w:start w:val="1"/>
      <w:numFmt w:val="bullet"/>
      <w:lvlText w:val=""/>
      <w:lvlJc w:val="left"/>
      <w:pPr>
        <w:tabs>
          <w:tab w:val="num" w:pos="4319"/>
        </w:tabs>
        <w:ind w:left="4319" w:hanging="360"/>
      </w:pPr>
      <w:rPr>
        <w:rFonts w:ascii="Wingdings" w:hAnsi="Wingdings" w:hint="default"/>
      </w:rPr>
    </w:lvl>
    <w:lvl w:ilvl="6" w:tplc="04100001" w:tentative="1">
      <w:start w:val="1"/>
      <w:numFmt w:val="bullet"/>
      <w:lvlText w:val=""/>
      <w:lvlJc w:val="left"/>
      <w:pPr>
        <w:tabs>
          <w:tab w:val="num" w:pos="5039"/>
        </w:tabs>
        <w:ind w:left="5039" w:hanging="360"/>
      </w:pPr>
      <w:rPr>
        <w:rFonts w:ascii="Symbol" w:hAnsi="Symbol" w:hint="default"/>
      </w:rPr>
    </w:lvl>
    <w:lvl w:ilvl="7" w:tplc="04100003" w:tentative="1">
      <w:start w:val="1"/>
      <w:numFmt w:val="bullet"/>
      <w:lvlText w:val="o"/>
      <w:lvlJc w:val="left"/>
      <w:pPr>
        <w:tabs>
          <w:tab w:val="num" w:pos="5759"/>
        </w:tabs>
        <w:ind w:left="5759" w:hanging="360"/>
      </w:pPr>
      <w:rPr>
        <w:rFonts w:ascii="Courier New" w:hAnsi="Courier New" w:cs="Courier New" w:hint="default"/>
      </w:rPr>
    </w:lvl>
    <w:lvl w:ilvl="8" w:tplc="04100005" w:tentative="1">
      <w:start w:val="1"/>
      <w:numFmt w:val="bullet"/>
      <w:lvlText w:val=""/>
      <w:lvlJc w:val="left"/>
      <w:pPr>
        <w:tabs>
          <w:tab w:val="num" w:pos="6479"/>
        </w:tabs>
        <w:ind w:left="6479" w:hanging="360"/>
      </w:pPr>
      <w:rPr>
        <w:rFonts w:ascii="Wingdings" w:hAnsi="Wingdings" w:hint="default"/>
      </w:rPr>
    </w:lvl>
  </w:abstractNum>
  <w:abstractNum w:abstractNumId="22">
    <w:nsid w:val="3C9A267D"/>
    <w:multiLevelType w:val="hybridMultilevel"/>
    <w:tmpl w:val="43661D96"/>
    <w:lvl w:ilvl="0" w:tplc="6B7AC5C8">
      <w:start w:val="1"/>
      <w:numFmt w:val="decimal"/>
      <w:lvlText w:val="%1)"/>
      <w:lvlJc w:val="left"/>
      <w:pPr>
        <w:ind w:left="644" w:hanging="360"/>
      </w:pPr>
      <w:rPr>
        <w:rFonts w:cs="Times New Roman" w:hint="default"/>
        <w:color w:val="auto"/>
        <w:u w:val="none"/>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3">
    <w:nsid w:val="3E8D5653"/>
    <w:multiLevelType w:val="hybridMultilevel"/>
    <w:tmpl w:val="34E6AB46"/>
    <w:lvl w:ilvl="0" w:tplc="44F84DB8">
      <w:start w:val="1"/>
      <w:numFmt w:val="decimal"/>
      <w:lvlText w:val="%1)"/>
      <w:lvlJc w:val="left"/>
      <w:pPr>
        <w:tabs>
          <w:tab w:val="num" w:pos="426"/>
        </w:tabs>
        <w:ind w:left="426" w:firstLine="0"/>
      </w:pPr>
      <w:rPr>
        <w:rFonts w:hint="default"/>
        <w:color w:val="auto"/>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24">
    <w:nsid w:val="3EDA742C"/>
    <w:multiLevelType w:val="hybridMultilevel"/>
    <w:tmpl w:val="AA588266"/>
    <w:lvl w:ilvl="0" w:tplc="EB9AFD64">
      <w:start w:val="1"/>
      <w:numFmt w:val="decimal"/>
      <w:lvlText w:val="%1)"/>
      <w:lvlJc w:val="left"/>
      <w:pPr>
        <w:ind w:left="644" w:hanging="360"/>
      </w:pPr>
      <w:rPr>
        <w:rFonts w:cs="Times New Roman" w:hint="default"/>
        <w:color w:val="auto"/>
        <w:u w:val="none"/>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5">
    <w:nsid w:val="408D193D"/>
    <w:multiLevelType w:val="hybridMultilevel"/>
    <w:tmpl w:val="5F30310E"/>
    <w:lvl w:ilvl="0" w:tplc="2BA4A62C">
      <w:start w:val="1"/>
      <w:numFmt w:val="decimal"/>
      <w:lvlText w:val="%1)"/>
      <w:lvlJc w:val="left"/>
      <w:pPr>
        <w:ind w:left="786" w:hanging="360"/>
      </w:pPr>
      <w:rPr>
        <w:rFonts w:cs="Times New Roman" w:hint="default"/>
        <w:color w:val="auto"/>
        <w:u w:val="non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6">
    <w:nsid w:val="4248010A"/>
    <w:multiLevelType w:val="hybridMultilevel"/>
    <w:tmpl w:val="9ECA2D3C"/>
    <w:lvl w:ilvl="0" w:tplc="D2047910">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E722712"/>
    <w:multiLevelType w:val="hybridMultilevel"/>
    <w:tmpl w:val="18967EF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EB00465"/>
    <w:multiLevelType w:val="hybridMultilevel"/>
    <w:tmpl w:val="97669DC0"/>
    <w:lvl w:ilvl="0" w:tplc="1C6E2F78">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9">
    <w:nsid w:val="50EE7C63"/>
    <w:multiLevelType w:val="hybridMultilevel"/>
    <w:tmpl w:val="DAC2F8D4"/>
    <w:lvl w:ilvl="0" w:tplc="75DAC3A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0">
    <w:nsid w:val="53F35441"/>
    <w:multiLevelType w:val="hybridMultilevel"/>
    <w:tmpl w:val="C472CB78"/>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nsid w:val="557248B3"/>
    <w:multiLevelType w:val="hybridMultilevel"/>
    <w:tmpl w:val="7E760F6E"/>
    <w:lvl w:ilvl="0" w:tplc="658651A4">
      <w:start w:val="1"/>
      <w:numFmt w:val="bullet"/>
      <w:lvlText w:val="-"/>
      <w:lvlJc w:val="left"/>
      <w:pPr>
        <w:ind w:left="1287" w:hanging="360"/>
      </w:pPr>
      <w:rPr>
        <w:rFonts w:ascii="Garamond" w:eastAsia="Times New Roman" w:hAnsi="Garamond" w:cs="Times New Roman" w:hint="default"/>
        <w:b/>
        <w:i w:val="0"/>
        <w:color w:val="800000"/>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2">
    <w:nsid w:val="561643AE"/>
    <w:multiLevelType w:val="hybridMultilevel"/>
    <w:tmpl w:val="32FC66B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68F7311"/>
    <w:multiLevelType w:val="hybridMultilevel"/>
    <w:tmpl w:val="21E23DD2"/>
    <w:lvl w:ilvl="0" w:tplc="A63A92A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4">
    <w:nsid w:val="56D26C0B"/>
    <w:multiLevelType w:val="hybridMultilevel"/>
    <w:tmpl w:val="9B9E8278"/>
    <w:lvl w:ilvl="0" w:tplc="C92AF306">
      <w:start w:val="1"/>
      <w:numFmt w:val="bullet"/>
      <w:pStyle w:val="Sommario5bis"/>
      <w:lvlText w:val="-"/>
      <w:lvlJc w:val="left"/>
      <w:pPr>
        <w:tabs>
          <w:tab w:val="num" w:pos="851"/>
        </w:tabs>
        <w:ind w:left="851" w:hanging="284"/>
      </w:pPr>
      <w:rPr>
        <w:rFonts w:ascii="Arial" w:hAnsi="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nsid w:val="575819DA"/>
    <w:multiLevelType w:val="hybridMultilevel"/>
    <w:tmpl w:val="0BC60EB8"/>
    <w:lvl w:ilvl="0" w:tplc="119E48CC">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6">
    <w:nsid w:val="5A7A52B5"/>
    <w:multiLevelType w:val="hybridMultilevel"/>
    <w:tmpl w:val="419C8260"/>
    <w:lvl w:ilvl="0" w:tplc="0410000B">
      <w:start w:val="1"/>
      <w:numFmt w:val="bullet"/>
      <w:lvlText w:val=""/>
      <w:lvlJc w:val="left"/>
      <w:pPr>
        <w:tabs>
          <w:tab w:val="num" w:pos="1004"/>
        </w:tabs>
        <w:ind w:left="1004" w:hanging="360"/>
      </w:pPr>
      <w:rPr>
        <w:rFonts w:ascii="Wingdings" w:hAnsi="Wingdings" w:hint="default"/>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37">
    <w:nsid w:val="5FCA15D0"/>
    <w:multiLevelType w:val="hybridMultilevel"/>
    <w:tmpl w:val="09462074"/>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6703300D"/>
    <w:multiLevelType w:val="hybridMultilevel"/>
    <w:tmpl w:val="455C5430"/>
    <w:lvl w:ilvl="0" w:tplc="DB6C731A">
      <w:start w:val="1"/>
      <w:numFmt w:val="decimal"/>
      <w:lvlText w:val="%1)"/>
      <w:lvlJc w:val="left"/>
      <w:pPr>
        <w:tabs>
          <w:tab w:val="num" w:pos="426"/>
        </w:tabs>
        <w:ind w:left="426" w:firstLine="0"/>
      </w:pPr>
      <w:rPr>
        <w:rFonts w:hint="default"/>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39">
    <w:nsid w:val="6AC85B46"/>
    <w:multiLevelType w:val="singleLevel"/>
    <w:tmpl w:val="1588522C"/>
    <w:lvl w:ilvl="0">
      <w:start w:val="1"/>
      <w:numFmt w:val="bullet"/>
      <w:pStyle w:val="Elencopuntato1livello"/>
      <w:lvlText w:val=""/>
      <w:lvlJc w:val="left"/>
      <w:pPr>
        <w:tabs>
          <w:tab w:val="num" w:pos="357"/>
        </w:tabs>
        <w:ind w:left="283" w:hanging="283"/>
      </w:pPr>
      <w:rPr>
        <w:rFonts w:ascii="Wingdings" w:hAnsi="Wingdings" w:hint="default"/>
      </w:rPr>
    </w:lvl>
  </w:abstractNum>
  <w:abstractNum w:abstractNumId="40">
    <w:nsid w:val="6E2432D3"/>
    <w:multiLevelType w:val="hybridMultilevel"/>
    <w:tmpl w:val="B142ADB4"/>
    <w:lvl w:ilvl="0" w:tplc="8A1AA0CE">
      <w:start w:val="1"/>
      <w:numFmt w:val="decimal"/>
      <w:lvlText w:val="%1)"/>
      <w:lvlJc w:val="left"/>
      <w:pPr>
        <w:ind w:left="786" w:hanging="360"/>
      </w:pPr>
      <w:rPr>
        <w:rFonts w:cs="Times New Roman" w:hint="default"/>
        <w:color w:val="auto"/>
        <w:u w:val="non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1">
    <w:nsid w:val="74C03612"/>
    <w:multiLevelType w:val="hybridMultilevel"/>
    <w:tmpl w:val="455C5430"/>
    <w:lvl w:ilvl="0" w:tplc="DB6C731A">
      <w:start w:val="1"/>
      <w:numFmt w:val="decimal"/>
      <w:lvlText w:val="%1)"/>
      <w:lvlJc w:val="left"/>
      <w:pPr>
        <w:tabs>
          <w:tab w:val="num" w:pos="426"/>
        </w:tabs>
        <w:ind w:left="426" w:firstLine="0"/>
      </w:pPr>
      <w:rPr>
        <w:rFonts w:hint="default"/>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42">
    <w:nsid w:val="784829D3"/>
    <w:multiLevelType w:val="hybridMultilevel"/>
    <w:tmpl w:val="94BA3C3E"/>
    <w:lvl w:ilvl="0" w:tplc="62167BC4">
      <w:start w:val="1"/>
      <w:numFmt w:val="bullet"/>
      <w:pStyle w:val="Testo"/>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2007"/>
        </w:tabs>
        <w:ind w:left="2007" w:hanging="360"/>
      </w:pPr>
      <w:rPr>
        <w:rFonts w:ascii="Courier New" w:hAnsi="Courier New" w:cs="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cs="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cs="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43">
    <w:nsid w:val="78B33A1F"/>
    <w:multiLevelType w:val="singleLevel"/>
    <w:tmpl w:val="F1C6E226"/>
    <w:lvl w:ilvl="0">
      <w:start w:val="1"/>
      <w:numFmt w:val="bullet"/>
      <w:pStyle w:val="Sommario3"/>
      <w:lvlText w:val=""/>
      <w:lvlJc w:val="left"/>
      <w:pPr>
        <w:tabs>
          <w:tab w:val="num" w:pos="644"/>
        </w:tabs>
        <w:ind w:left="567" w:hanging="283"/>
      </w:pPr>
      <w:rPr>
        <w:rFonts w:ascii="Wingdings" w:hAnsi="Wingdings" w:hint="default"/>
      </w:rPr>
    </w:lvl>
  </w:abstractNum>
  <w:abstractNum w:abstractNumId="44">
    <w:nsid w:val="7E6C3A1D"/>
    <w:multiLevelType w:val="hybridMultilevel"/>
    <w:tmpl w:val="74E6FA12"/>
    <w:lvl w:ilvl="0" w:tplc="0410000B">
      <w:start w:val="1"/>
      <w:numFmt w:val="bullet"/>
      <w:lvlText w:val=""/>
      <w:lvlJc w:val="left"/>
      <w:pPr>
        <w:tabs>
          <w:tab w:val="num" w:pos="1004"/>
        </w:tabs>
        <w:ind w:left="1004" w:hanging="360"/>
      </w:pPr>
      <w:rPr>
        <w:rFonts w:ascii="Wingdings" w:hAnsi="Wingdings" w:hint="default"/>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num w:numId="1">
    <w:abstractNumId w:val="39"/>
  </w:num>
  <w:num w:numId="2">
    <w:abstractNumId w:val="5"/>
  </w:num>
  <w:num w:numId="3">
    <w:abstractNumId w:val="0"/>
  </w:num>
  <w:num w:numId="4">
    <w:abstractNumId w:val="43"/>
  </w:num>
  <w:num w:numId="5">
    <w:abstractNumId w:val="1"/>
  </w:num>
  <w:num w:numId="6">
    <w:abstractNumId w:val="42"/>
  </w:num>
  <w:num w:numId="7">
    <w:abstractNumId w:val="21"/>
  </w:num>
  <w:num w:numId="8">
    <w:abstractNumId w:val="17"/>
  </w:num>
  <w:num w:numId="9">
    <w:abstractNumId w:val="9"/>
  </w:num>
  <w:num w:numId="10">
    <w:abstractNumId w:val="13"/>
  </w:num>
  <w:num w:numId="11">
    <w:abstractNumId w:val="4"/>
  </w:num>
  <w:num w:numId="12">
    <w:abstractNumId w:val="36"/>
  </w:num>
  <w:num w:numId="13">
    <w:abstractNumId w:val="44"/>
  </w:num>
  <w:num w:numId="14">
    <w:abstractNumId w:val="31"/>
  </w:num>
  <w:num w:numId="15">
    <w:abstractNumId w:val="19"/>
  </w:num>
  <w:num w:numId="16">
    <w:abstractNumId w:val="8"/>
  </w:num>
  <w:num w:numId="17">
    <w:abstractNumId w:val="43"/>
  </w:num>
  <w:num w:numId="18">
    <w:abstractNumId w:val="30"/>
  </w:num>
  <w:num w:numId="19">
    <w:abstractNumId w:val="34"/>
  </w:num>
  <w:num w:numId="20">
    <w:abstractNumId w:val="15"/>
  </w:num>
  <w:num w:numId="21">
    <w:abstractNumId w:val="7"/>
  </w:num>
  <w:num w:numId="22">
    <w:abstractNumId w:val="23"/>
  </w:num>
  <w:num w:numId="23">
    <w:abstractNumId w:val="6"/>
  </w:num>
  <w:num w:numId="24">
    <w:abstractNumId w:val="38"/>
  </w:num>
  <w:num w:numId="25">
    <w:abstractNumId w:val="14"/>
  </w:num>
  <w:num w:numId="26">
    <w:abstractNumId w:val="41"/>
  </w:num>
  <w:num w:numId="27">
    <w:abstractNumId w:val="27"/>
  </w:num>
  <w:num w:numId="28">
    <w:abstractNumId w:val="2"/>
  </w:num>
  <w:num w:numId="29">
    <w:abstractNumId w:val="16"/>
  </w:num>
  <w:num w:numId="30">
    <w:abstractNumId w:val="26"/>
  </w:num>
  <w:num w:numId="31">
    <w:abstractNumId w:val="18"/>
  </w:num>
  <w:num w:numId="32">
    <w:abstractNumId w:val="37"/>
  </w:num>
  <w:num w:numId="33">
    <w:abstractNumId w:val="32"/>
  </w:num>
  <w:num w:numId="34">
    <w:abstractNumId w:val="3"/>
  </w:num>
  <w:num w:numId="35">
    <w:abstractNumId w:val="12"/>
  </w:num>
  <w:num w:numId="36">
    <w:abstractNumId w:val="24"/>
  </w:num>
  <w:num w:numId="37">
    <w:abstractNumId w:val="22"/>
  </w:num>
  <w:num w:numId="38">
    <w:abstractNumId w:val="40"/>
  </w:num>
  <w:num w:numId="39">
    <w:abstractNumId w:val="25"/>
  </w:num>
  <w:num w:numId="40">
    <w:abstractNumId w:val="20"/>
  </w:num>
  <w:num w:numId="41">
    <w:abstractNumId w:val="29"/>
  </w:num>
  <w:num w:numId="42">
    <w:abstractNumId w:val="28"/>
  </w:num>
  <w:num w:numId="43">
    <w:abstractNumId w:val="11"/>
  </w:num>
  <w:num w:numId="44">
    <w:abstractNumId w:val="33"/>
  </w:num>
  <w:num w:numId="45">
    <w:abstractNumId w:val="35"/>
  </w:num>
  <w:num w:numId="4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TrueTypeFonts/>
  <w:activeWritingStyle w:appName="MSWord" w:lang="it-IT" w:vendorID="3" w:dllVersion="517"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283"/>
  <w:evenAndOddHeaders/>
  <w:displayHorizontalDrawingGridEvery w:val="0"/>
  <w:displayVerticalDrawingGridEvery w:val="0"/>
  <w:doNotUseMarginsForDrawingGridOrigin/>
  <w:doNotShadeFormData/>
  <w:noPunctuationKerning/>
  <w:characterSpacingControl w:val="doNotCompress"/>
  <w:hdrShapeDefaults>
    <o:shapedefaults v:ext="edit" spidmax="29697" strokecolor="#d4d4d4">
      <v:stroke color="#d4d4d4" weight="1.75pt"/>
      <v:shadow on="t" origin=",32385f" offset="0,-1pt"/>
    </o:shapedefaults>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EA1"/>
    <w:rsid w:val="000000F8"/>
    <w:rsid w:val="00000727"/>
    <w:rsid w:val="00000C62"/>
    <w:rsid w:val="000011A6"/>
    <w:rsid w:val="00001434"/>
    <w:rsid w:val="00001509"/>
    <w:rsid w:val="00001E93"/>
    <w:rsid w:val="0000283B"/>
    <w:rsid w:val="00002C47"/>
    <w:rsid w:val="00003131"/>
    <w:rsid w:val="00004AE1"/>
    <w:rsid w:val="00004BCB"/>
    <w:rsid w:val="000054D9"/>
    <w:rsid w:val="000058AB"/>
    <w:rsid w:val="000066A3"/>
    <w:rsid w:val="00006976"/>
    <w:rsid w:val="000075EE"/>
    <w:rsid w:val="00010A75"/>
    <w:rsid w:val="00011373"/>
    <w:rsid w:val="00011513"/>
    <w:rsid w:val="00011853"/>
    <w:rsid w:val="00012EE4"/>
    <w:rsid w:val="00012F8D"/>
    <w:rsid w:val="00013BAF"/>
    <w:rsid w:val="00013E22"/>
    <w:rsid w:val="000140E6"/>
    <w:rsid w:val="00015256"/>
    <w:rsid w:val="000159AE"/>
    <w:rsid w:val="00016F7E"/>
    <w:rsid w:val="000171E4"/>
    <w:rsid w:val="00020112"/>
    <w:rsid w:val="00020181"/>
    <w:rsid w:val="000205D4"/>
    <w:rsid w:val="0002073D"/>
    <w:rsid w:val="00020AD2"/>
    <w:rsid w:val="00020CEE"/>
    <w:rsid w:val="000216FC"/>
    <w:rsid w:val="000219C6"/>
    <w:rsid w:val="00021AAD"/>
    <w:rsid w:val="000222D2"/>
    <w:rsid w:val="0002258A"/>
    <w:rsid w:val="00022643"/>
    <w:rsid w:val="00022655"/>
    <w:rsid w:val="00022AC3"/>
    <w:rsid w:val="000238A9"/>
    <w:rsid w:val="00025670"/>
    <w:rsid w:val="00026767"/>
    <w:rsid w:val="00026EF8"/>
    <w:rsid w:val="00027378"/>
    <w:rsid w:val="00027437"/>
    <w:rsid w:val="00027A5F"/>
    <w:rsid w:val="00027C77"/>
    <w:rsid w:val="00030586"/>
    <w:rsid w:val="0003076C"/>
    <w:rsid w:val="00030CEA"/>
    <w:rsid w:val="00031017"/>
    <w:rsid w:val="000314BF"/>
    <w:rsid w:val="00031506"/>
    <w:rsid w:val="000315F9"/>
    <w:rsid w:val="0003257F"/>
    <w:rsid w:val="000340C6"/>
    <w:rsid w:val="00034BBA"/>
    <w:rsid w:val="00034E07"/>
    <w:rsid w:val="00035B0E"/>
    <w:rsid w:val="00036A30"/>
    <w:rsid w:val="000370B5"/>
    <w:rsid w:val="000371E6"/>
    <w:rsid w:val="00037274"/>
    <w:rsid w:val="000374D4"/>
    <w:rsid w:val="00037865"/>
    <w:rsid w:val="00037E74"/>
    <w:rsid w:val="00040A5F"/>
    <w:rsid w:val="00040C0E"/>
    <w:rsid w:val="00040C11"/>
    <w:rsid w:val="000412CB"/>
    <w:rsid w:val="00041995"/>
    <w:rsid w:val="00041E0B"/>
    <w:rsid w:val="00041F96"/>
    <w:rsid w:val="0004239A"/>
    <w:rsid w:val="00044E8B"/>
    <w:rsid w:val="00045010"/>
    <w:rsid w:val="0004628E"/>
    <w:rsid w:val="0004635C"/>
    <w:rsid w:val="000466DF"/>
    <w:rsid w:val="00046BD7"/>
    <w:rsid w:val="00046DB7"/>
    <w:rsid w:val="000473BA"/>
    <w:rsid w:val="00047558"/>
    <w:rsid w:val="000476D3"/>
    <w:rsid w:val="00047808"/>
    <w:rsid w:val="000478E8"/>
    <w:rsid w:val="00047FE9"/>
    <w:rsid w:val="00050009"/>
    <w:rsid w:val="00050E17"/>
    <w:rsid w:val="0005109A"/>
    <w:rsid w:val="0005144E"/>
    <w:rsid w:val="00052318"/>
    <w:rsid w:val="00052421"/>
    <w:rsid w:val="0005270D"/>
    <w:rsid w:val="000528E8"/>
    <w:rsid w:val="000529DA"/>
    <w:rsid w:val="000531B1"/>
    <w:rsid w:val="00053217"/>
    <w:rsid w:val="000534AC"/>
    <w:rsid w:val="00053D3C"/>
    <w:rsid w:val="00054773"/>
    <w:rsid w:val="00054A2C"/>
    <w:rsid w:val="0005558A"/>
    <w:rsid w:val="00055845"/>
    <w:rsid w:val="00055B65"/>
    <w:rsid w:val="0005697D"/>
    <w:rsid w:val="00057B73"/>
    <w:rsid w:val="00057D11"/>
    <w:rsid w:val="00060160"/>
    <w:rsid w:val="00060316"/>
    <w:rsid w:val="000605D1"/>
    <w:rsid w:val="000614CF"/>
    <w:rsid w:val="00061AB2"/>
    <w:rsid w:val="00061CF4"/>
    <w:rsid w:val="000624FA"/>
    <w:rsid w:val="00063D88"/>
    <w:rsid w:val="000641BE"/>
    <w:rsid w:val="00064FAA"/>
    <w:rsid w:val="000652EC"/>
    <w:rsid w:val="00065844"/>
    <w:rsid w:val="000668BE"/>
    <w:rsid w:val="00066AEA"/>
    <w:rsid w:val="00067062"/>
    <w:rsid w:val="000679BA"/>
    <w:rsid w:val="0007005E"/>
    <w:rsid w:val="0007178E"/>
    <w:rsid w:val="000717EC"/>
    <w:rsid w:val="00071CD3"/>
    <w:rsid w:val="00071EB7"/>
    <w:rsid w:val="00072034"/>
    <w:rsid w:val="0007214B"/>
    <w:rsid w:val="00072617"/>
    <w:rsid w:val="00073D28"/>
    <w:rsid w:val="00073FAE"/>
    <w:rsid w:val="000741D7"/>
    <w:rsid w:val="00075622"/>
    <w:rsid w:val="00075C01"/>
    <w:rsid w:val="00075D3C"/>
    <w:rsid w:val="00075D9A"/>
    <w:rsid w:val="000766D5"/>
    <w:rsid w:val="000768D3"/>
    <w:rsid w:val="00076997"/>
    <w:rsid w:val="00080360"/>
    <w:rsid w:val="00080D76"/>
    <w:rsid w:val="000815AB"/>
    <w:rsid w:val="00081669"/>
    <w:rsid w:val="00081B01"/>
    <w:rsid w:val="00081F08"/>
    <w:rsid w:val="00081FA0"/>
    <w:rsid w:val="00082B98"/>
    <w:rsid w:val="00082F96"/>
    <w:rsid w:val="000833AC"/>
    <w:rsid w:val="000833B3"/>
    <w:rsid w:val="00083736"/>
    <w:rsid w:val="0008408D"/>
    <w:rsid w:val="0008434A"/>
    <w:rsid w:val="00084EDD"/>
    <w:rsid w:val="00085C78"/>
    <w:rsid w:val="00085F56"/>
    <w:rsid w:val="0008616F"/>
    <w:rsid w:val="000861D4"/>
    <w:rsid w:val="000863B1"/>
    <w:rsid w:val="000867E3"/>
    <w:rsid w:val="000905E2"/>
    <w:rsid w:val="00090F5B"/>
    <w:rsid w:val="00091BC5"/>
    <w:rsid w:val="0009239F"/>
    <w:rsid w:val="00092705"/>
    <w:rsid w:val="0009302D"/>
    <w:rsid w:val="000930BE"/>
    <w:rsid w:val="00093CFA"/>
    <w:rsid w:val="00094B71"/>
    <w:rsid w:val="0009648F"/>
    <w:rsid w:val="0009756B"/>
    <w:rsid w:val="00097B41"/>
    <w:rsid w:val="000A01C7"/>
    <w:rsid w:val="000A0518"/>
    <w:rsid w:val="000A09DC"/>
    <w:rsid w:val="000A0D53"/>
    <w:rsid w:val="000A10C0"/>
    <w:rsid w:val="000A1AA1"/>
    <w:rsid w:val="000A210C"/>
    <w:rsid w:val="000A223A"/>
    <w:rsid w:val="000A33AE"/>
    <w:rsid w:val="000A3432"/>
    <w:rsid w:val="000A3490"/>
    <w:rsid w:val="000A3ACC"/>
    <w:rsid w:val="000A3BAA"/>
    <w:rsid w:val="000A44C7"/>
    <w:rsid w:val="000A460D"/>
    <w:rsid w:val="000A48AB"/>
    <w:rsid w:val="000A55CE"/>
    <w:rsid w:val="000A56E9"/>
    <w:rsid w:val="000A57EC"/>
    <w:rsid w:val="000A6FB0"/>
    <w:rsid w:val="000A71E1"/>
    <w:rsid w:val="000A7579"/>
    <w:rsid w:val="000A7864"/>
    <w:rsid w:val="000B0206"/>
    <w:rsid w:val="000B0573"/>
    <w:rsid w:val="000B06AE"/>
    <w:rsid w:val="000B071F"/>
    <w:rsid w:val="000B08CC"/>
    <w:rsid w:val="000B0B4F"/>
    <w:rsid w:val="000B0B6C"/>
    <w:rsid w:val="000B0EDC"/>
    <w:rsid w:val="000B2065"/>
    <w:rsid w:val="000B2690"/>
    <w:rsid w:val="000B29B6"/>
    <w:rsid w:val="000B2A8E"/>
    <w:rsid w:val="000B3065"/>
    <w:rsid w:val="000B33EF"/>
    <w:rsid w:val="000B3D90"/>
    <w:rsid w:val="000B3FAE"/>
    <w:rsid w:val="000B457C"/>
    <w:rsid w:val="000B4B41"/>
    <w:rsid w:val="000B51EF"/>
    <w:rsid w:val="000B6AD3"/>
    <w:rsid w:val="000B785D"/>
    <w:rsid w:val="000B7A64"/>
    <w:rsid w:val="000B7D85"/>
    <w:rsid w:val="000C0B51"/>
    <w:rsid w:val="000C0E42"/>
    <w:rsid w:val="000C1144"/>
    <w:rsid w:val="000C2BFB"/>
    <w:rsid w:val="000C4A12"/>
    <w:rsid w:val="000C4A4B"/>
    <w:rsid w:val="000C4AA8"/>
    <w:rsid w:val="000C51C7"/>
    <w:rsid w:val="000C5601"/>
    <w:rsid w:val="000C6811"/>
    <w:rsid w:val="000C7136"/>
    <w:rsid w:val="000D03BE"/>
    <w:rsid w:val="000D06F4"/>
    <w:rsid w:val="000D0CFD"/>
    <w:rsid w:val="000D1B0C"/>
    <w:rsid w:val="000D21DB"/>
    <w:rsid w:val="000D2DF5"/>
    <w:rsid w:val="000D31E3"/>
    <w:rsid w:val="000D3A5F"/>
    <w:rsid w:val="000D3AC9"/>
    <w:rsid w:val="000D3FC2"/>
    <w:rsid w:val="000D4670"/>
    <w:rsid w:val="000D4799"/>
    <w:rsid w:val="000D4949"/>
    <w:rsid w:val="000D4F08"/>
    <w:rsid w:val="000D683A"/>
    <w:rsid w:val="000D6865"/>
    <w:rsid w:val="000D6980"/>
    <w:rsid w:val="000D7E1D"/>
    <w:rsid w:val="000E0AA1"/>
    <w:rsid w:val="000E1149"/>
    <w:rsid w:val="000E16BE"/>
    <w:rsid w:val="000E1FDD"/>
    <w:rsid w:val="000E2228"/>
    <w:rsid w:val="000E2F56"/>
    <w:rsid w:val="000E37EC"/>
    <w:rsid w:val="000E3859"/>
    <w:rsid w:val="000E3D12"/>
    <w:rsid w:val="000E4136"/>
    <w:rsid w:val="000E430F"/>
    <w:rsid w:val="000E4FA1"/>
    <w:rsid w:val="000E5C94"/>
    <w:rsid w:val="000E61C5"/>
    <w:rsid w:val="000E6777"/>
    <w:rsid w:val="000E6C91"/>
    <w:rsid w:val="000E6EFA"/>
    <w:rsid w:val="000E70BC"/>
    <w:rsid w:val="000E7858"/>
    <w:rsid w:val="000E7BF2"/>
    <w:rsid w:val="000E7DC0"/>
    <w:rsid w:val="000F12E6"/>
    <w:rsid w:val="000F1702"/>
    <w:rsid w:val="000F298F"/>
    <w:rsid w:val="000F2AC1"/>
    <w:rsid w:val="000F2ADB"/>
    <w:rsid w:val="000F3F49"/>
    <w:rsid w:val="000F54C3"/>
    <w:rsid w:val="000F5917"/>
    <w:rsid w:val="000F594E"/>
    <w:rsid w:val="000F5D33"/>
    <w:rsid w:val="000F71AB"/>
    <w:rsid w:val="000F7407"/>
    <w:rsid w:val="000F7A58"/>
    <w:rsid w:val="000F7E7B"/>
    <w:rsid w:val="00100677"/>
    <w:rsid w:val="001008A3"/>
    <w:rsid w:val="0010105A"/>
    <w:rsid w:val="0010128A"/>
    <w:rsid w:val="001030B8"/>
    <w:rsid w:val="001033C1"/>
    <w:rsid w:val="00104229"/>
    <w:rsid w:val="00105094"/>
    <w:rsid w:val="00105E5C"/>
    <w:rsid w:val="00105ED6"/>
    <w:rsid w:val="00106250"/>
    <w:rsid w:val="00106563"/>
    <w:rsid w:val="00106D8E"/>
    <w:rsid w:val="001072F8"/>
    <w:rsid w:val="00107446"/>
    <w:rsid w:val="00107AC6"/>
    <w:rsid w:val="0011003C"/>
    <w:rsid w:val="001117A7"/>
    <w:rsid w:val="0011184E"/>
    <w:rsid w:val="0011220B"/>
    <w:rsid w:val="00112487"/>
    <w:rsid w:val="00112970"/>
    <w:rsid w:val="00112B49"/>
    <w:rsid w:val="00112CB2"/>
    <w:rsid w:val="001131D1"/>
    <w:rsid w:val="001137CB"/>
    <w:rsid w:val="00113855"/>
    <w:rsid w:val="00113AC2"/>
    <w:rsid w:val="00113BD8"/>
    <w:rsid w:val="00113F2F"/>
    <w:rsid w:val="00114E80"/>
    <w:rsid w:val="00115676"/>
    <w:rsid w:val="00115B16"/>
    <w:rsid w:val="00116455"/>
    <w:rsid w:val="00116C26"/>
    <w:rsid w:val="00116D6B"/>
    <w:rsid w:val="00117FAB"/>
    <w:rsid w:val="00120700"/>
    <w:rsid w:val="00120A62"/>
    <w:rsid w:val="0012264A"/>
    <w:rsid w:val="00122AB0"/>
    <w:rsid w:val="00122C31"/>
    <w:rsid w:val="00122CA0"/>
    <w:rsid w:val="00124552"/>
    <w:rsid w:val="00125543"/>
    <w:rsid w:val="00125760"/>
    <w:rsid w:val="001260A8"/>
    <w:rsid w:val="00126454"/>
    <w:rsid w:val="001266E3"/>
    <w:rsid w:val="00127813"/>
    <w:rsid w:val="00127C77"/>
    <w:rsid w:val="001302F9"/>
    <w:rsid w:val="0013038E"/>
    <w:rsid w:val="00130BDE"/>
    <w:rsid w:val="00130EF1"/>
    <w:rsid w:val="00131877"/>
    <w:rsid w:val="00131BA7"/>
    <w:rsid w:val="0013240C"/>
    <w:rsid w:val="001333FC"/>
    <w:rsid w:val="0013442F"/>
    <w:rsid w:val="0013456D"/>
    <w:rsid w:val="001356B5"/>
    <w:rsid w:val="0013656D"/>
    <w:rsid w:val="0013721F"/>
    <w:rsid w:val="00137246"/>
    <w:rsid w:val="00137868"/>
    <w:rsid w:val="00137A7F"/>
    <w:rsid w:val="00137F60"/>
    <w:rsid w:val="001416F6"/>
    <w:rsid w:val="00141737"/>
    <w:rsid w:val="001419A1"/>
    <w:rsid w:val="0014259D"/>
    <w:rsid w:val="00142AD0"/>
    <w:rsid w:val="00142E71"/>
    <w:rsid w:val="00142FB9"/>
    <w:rsid w:val="001436FB"/>
    <w:rsid w:val="00143B7A"/>
    <w:rsid w:val="0014430B"/>
    <w:rsid w:val="001444E7"/>
    <w:rsid w:val="00144612"/>
    <w:rsid w:val="00144796"/>
    <w:rsid w:val="00144A56"/>
    <w:rsid w:val="00145070"/>
    <w:rsid w:val="00145250"/>
    <w:rsid w:val="00145916"/>
    <w:rsid w:val="001459B9"/>
    <w:rsid w:val="00145B20"/>
    <w:rsid w:val="00146171"/>
    <w:rsid w:val="00146379"/>
    <w:rsid w:val="00146A87"/>
    <w:rsid w:val="00146BF1"/>
    <w:rsid w:val="001478B3"/>
    <w:rsid w:val="00147CCB"/>
    <w:rsid w:val="00150BE1"/>
    <w:rsid w:val="00151048"/>
    <w:rsid w:val="00151759"/>
    <w:rsid w:val="0015191C"/>
    <w:rsid w:val="00151CE9"/>
    <w:rsid w:val="00153076"/>
    <w:rsid w:val="001539C5"/>
    <w:rsid w:val="001548E3"/>
    <w:rsid w:val="001551DB"/>
    <w:rsid w:val="00155471"/>
    <w:rsid w:val="00155598"/>
    <w:rsid w:val="00156403"/>
    <w:rsid w:val="001565B9"/>
    <w:rsid w:val="00156673"/>
    <w:rsid w:val="001568E2"/>
    <w:rsid w:val="00156AED"/>
    <w:rsid w:val="00156B24"/>
    <w:rsid w:val="00156C83"/>
    <w:rsid w:val="00156FDC"/>
    <w:rsid w:val="0015797E"/>
    <w:rsid w:val="001608D9"/>
    <w:rsid w:val="001608F1"/>
    <w:rsid w:val="00160D01"/>
    <w:rsid w:val="00160E6C"/>
    <w:rsid w:val="001616F9"/>
    <w:rsid w:val="001618F0"/>
    <w:rsid w:val="00161CB4"/>
    <w:rsid w:val="00161D60"/>
    <w:rsid w:val="00161E8A"/>
    <w:rsid w:val="00162187"/>
    <w:rsid w:val="001621A8"/>
    <w:rsid w:val="00162F25"/>
    <w:rsid w:val="001632FA"/>
    <w:rsid w:val="00163652"/>
    <w:rsid w:val="00163930"/>
    <w:rsid w:val="00163B8C"/>
    <w:rsid w:val="00163D56"/>
    <w:rsid w:val="00165876"/>
    <w:rsid w:val="00165A8F"/>
    <w:rsid w:val="00165D3B"/>
    <w:rsid w:val="001660C6"/>
    <w:rsid w:val="0016699E"/>
    <w:rsid w:val="001677C9"/>
    <w:rsid w:val="00170DC0"/>
    <w:rsid w:val="00171451"/>
    <w:rsid w:val="001714B0"/>
    <w:rsid w:val="001715FD"/>
    <w:rsid w:val="0017280E"/>
    <w:rsid w:val="00173406"/>
    <w:rsid w:val="0017470E"/>
    <w:rsid w:val="001749AA"/>
    <w:rsid w:val="00175183"/>
    <w:rsid w:val="0017551B"/>
    <w:rsid w:val="00175CC6"/>
    <w:rsid w:val="001762EF"/>
    <w:rsid w:val="0017669B"/>
    <w:rsid w:val="00177241"/>
    <w:rsid w:val="0017767B"/>
    <w:rsid w:val="00177D6E"/>
    <w:rsid w:val="00177D92"/>
    <w:rsid w:val="00177FAE"/>
    <w:rsid w:val="001801B0"/>
    <w:rsid w:val="001801F0"/>
    <w:rsid w:val="00180650"/>
    <w:rsid w:val="00180862"/>
    <w:rsid w:val="00180A6D"/>
    <w:rsid w:val="00180FC5"/>
    <w:rsid w:val="00182BC1"/>
    <w:rsid w:val="00182DCB"/>
    <w:rsid w:val="00183604"/>
    <w:rsid w:val="001839B2"/>
    <w:rsid w:val="001839DE"/>
    <w:rsid w:val="00183A3E"/>
    <w:rsid w:val="0018428B"/>
    <w:rsid w:val="0018509D"/>
    <w:rsid w:val="00185407"/>
    <w:rsid w:val="00185712"/>
    <w:rsid w:val="00185B64"/>
    <w:rsid w:val="00185BCA"/>
    <w:rsid w:val="00185EE4"/>
    <w:rsid w:val="00185EF1"/>
    <w:rsid w:val="00186A8B"/>
    <w:rsid w:val="00186D8D"/>
    <w:rsid w:val="00186F9B"/>
    <w:rsid w:val="00186FF1"/>
    <w:rsid w:val="00187C4B"/>
    <w:rsid w:val="00187E04"/>
    <w:rsid w:val="001907AE"/>
    <w:rsid w:val="00190B8C"/>
    <w:rsid w:val="00190D2A"/>
    <w:rsid w:val="00191059"/>
    <w:rsid w:val="001923AC"/>
    <w:rsid w:val="0019248F"/>
    <w:rsid w:val="00192DB2"/>
    <w:rsid w:val="00192EA9"/>
    <w:rsid w:val="00193657"/>
    <w:rsid w:val="00193AA3"/>
    <w:rsid w:val="00193BBF"/>
    <w:rsid w:val="00194E3A"/>
    <w:rsid w:val="00194E46"/>
    <w:rsid w:val="0019500B"/>
    <w:rsid w:val="00195385"/>
    <w:rsid w:val="001953C0"/>
    <w:rsid w:val="0019664F"/>
    <w:rsid w:val="001967DB"/>
    <w:rsid w:val="001971CB"/>
    <w:rsid w:val="00197489"/>
    <w:rsid w:val="001A02C3"/>
    <w:rsid w:val="001A0306"/>
    <w:rsid w:val="001A10C1"/>
    <w:rsid w:val="001A21C4"/>
    <w:rsid w:val="001A2277"/>
    <w:rsid w:val="001A2491"/>
    <w:rsid w:val="001A286A"/>
    <w:rsid w:val="001A287F"/>
    <w:rsid w:val="001A28EF"/>
    <w:rsid w:val="001A3808"/>
    <w:rsid w:val="001A3DDB"/>
    <w:rsid w:val="001A3F40"/>
    <w:rsid w:val="001A4181"/>
    <w:rsid w:val="001A43C9"/>
    <w:rsid w:val="001A4496"/>
    <w:rsid w:val="001A4563"/>
    <w:rsid w:val="001A45A1"/>
    <w:rsid w:val="001A49B9"/>
    <w:rsid w:val="001A4B47"/>
    <w:rsid w:val="001A4B98"/>
    <w:rsid w:val="001A4C97"/>
    <w:rsid w:val="001A4D92"/>
    <w:rsid w:val="001A4E6E"/>
    <w:rsid w:val="001A5B52"/>
    <w:rsid w:val="001A5C3A"/>
    <w:rsid w:val="001A666B"/>
    <w:rsid w:val="001A66E6"/>
    <w:rsid w:val="001A68D6"/>
    <w:rsid w:val="001A69D8"/>
    <w:rsid w:val="001A6DE5"/>
    <w:rsid w:val="001A7675"/>
    <w:rsid w:val="001A7815"/>
    <w:rsid w:val="001A7D6D"/>
    <w:rsid w:val="001A7F2C"/>
    <w:rsid w:val="001A7FCD"/>
    <w:rsid w:val="001B0886"/>
    <w:rsid w:val="001B11C0"/>
    <w:rsid w:val="001B1D8A"/>
    <w:rsid w:val="001B21D8"/>
    <w:rsid w:val="001B2312"/>
    <w:rsid w:val="001B2833"/>
    <w:rsid w:val="001B350F"/>
    <w:rsid w:val="001B35B8"/>
    <w:rsid w:val="001B436B"/>
    <w:rsid w:val="001B46CE"/>
    <w:rsid w:val="001B4DB0"/>
    <w:rsid w:val="001B5A27"/>
    <w:rsid w:val="001B5C3D"/>
    <w:rsid w:val="001B5C97"/>
    <w:rsid w:val="001B5DB0"/>
    <w:rsid w:val="001B6DAD"/>
    <w:rsid w:val="001B6F1F"/>
    <w:rsid w:val="001B70EA"/>
    <w:rsid w:val="001C0162"/>
    <w:rsid w:val="001C01E2"/>
    <w:rsid w:val="001C0E85"/>
    <w:rsid w:val="001C17FC"/>
    <w:rsid w:val="001C1F2D"/>
    <w:rsid w:val="001C2093"/>
    <w:rsid w:val="001C23FC"/>
    <w:rsid w:val="001C2685"/>
    <w:rsid w:val="001C27E2"/>
    <w:rsid w:val="001C3005"/>
    <w:rsid w:val="001C31FD"/>
    <w:rsid w:val="001C4173"/>
    <w:rsid w:val="001C4284"/>
    <w:rsid w:val="001C4CDD"/>
    <w:rsid w:val="001C542A"/>
    <w:rsid w:val="001C5478"/>
    <w:rsid w:val="001C565A"/>
    <w:rsid w:val="001C58AB"/>
    <w:rsid w:val="001C5A3D"/>
    <w:rsid w:val="001C6006"/>
    <w:rsid w:val="001C6232"/>
    <w:rsid w:val="001C6A47"/>
    <w:rsid w:val="001C6D4F"/>
    <w:rsid w:val="001C7BFF"/>
    <w:rsid w:val="001C7FE0"/>
    <w:rsid w:val="001D01BA"/>
    <w:rsid w:val="001D02DE"/>
    <w:rsid w:val="001D0884"/>
    <w:rsid w:val="001D11FB"/>
    <w:rsid w:val="001D1CAC"/>
    <w:rsid w:val="001D25ED"/>
    <w:rsid w:val="001D2723"/>
    <w:rsid w:val="001D2E32"/>
    <w:rsid w:val="001D2E97"/>
    <w:rsid w:val="001D33C5"/>
    <w:rsid w:val="001D4189"/>
    <w:rsid w:val="001D43A5"/>
    <w:rsid w:val="001D487E"/>
    <w:rsid w:val="001D4E0B"/>
    <w:rsid w:val="001D5002"/>
    <w:rsid w:val="001D51D2"/>
    <w:rsid w:val="001D60FD"/>
    <w:rsid w:val="001D698A"/>
    <w:rsid w:val="001D6DA4"/>
    <w:rsid w:val="001D75EB"/>
    <w:rsid w:val="001D7F32"/>
    <w:rsid w:val="001E0A12"/>
    <w:rsid w:val="001E1B1F"/>
    <w:rsid w:val="001E1D00"/>
    <w:rsid w:val="001E1DA8"/>
    <w:rsid w:val="001E1ED2"/>
    <w:rsid w:val="001E2980"/>
    <w:rsid w:val="001E2CC9"/>
    <w:rsid w:val="001E3B1A"/>
    <w:rsid w:val="001E3F32"/>
    <w:rsid w:val="001E406F"/>
    <w:rsid w:val="001E41EC"/>
    <w:rsid w:val="001E433C"/>
    <w:rsid w:val="001E43E4"/>
    <w:rsid w:val="001E449A"/>
    <w:rsid w:val="001E4A8E"/>
    <w:rsid w:val="001E4B78"/>
    <w:rsid w:val="001E5109"/>
    <w:rsid w:val="001E5DE6"/>
    <w:rsid w:val="001E7376"/>
    <w:rsid w:val="001E77D3"/>
    <w:rsid w:val="001E78C9"/>
    <w:rsid w:val="001E792C"/>
    <w:rsid w:val="001E7954"/>
    <w:rsid w:val="001F0497"/>
    <w:rsid w:val="001F0619"/>
    <w:rsid w:val="001F0E4A"/>
    <w:rsid w:val="001F0FAD"/>
    <w:rsid w:val="001F15BA"/>
    <w:rsid w:val="001F16D1"/>
    <w:rsid w:val="001F23C9"/>
    <w:rsid w:val="001F2825"/>
    <w:rsid w:val="001F2A70"/>
    <w:rsid w:val="001F31D2"/>
    <w:rsid w:val="001F3674"/>
    <w:rsid w:val="001F4427"/>
    <w:rsid w:val="001F4B86"/>
    <w:rsid w:val="001F5A2E"/>
    <w:rsid w:val="001F63CE"/>
    <w:rsid w:val="001F74EC"/>
    <w:rsid w:val="001F7524"/>
    <w:rsid w:val="001F75E2"/>
    <w:rsid w:val="001F78A8"/>
    <w:rsid w:val="001F7B0F"/>
    <w:rsid w:val="00200312"/>
    <w:rsid w:val="00200316"/>
    <w:rsid w:val="00200862"/>
    <w:rsid w:val="00200BF4"/>
    <w:rsid w:val="002010DB"/>
    <w:rsid w:val="002018E3"/>
    <w:rsid w:val="00201E98"/>
    <w:rsid w:val="00202117"/>
    <w:rsid w:val="00203656"/>
    <w:rsid w:val="00203666"/>
    <w:rsid w:val="002036CB"/>
    <w:rsid w:val="002036F4"/>
    <w:rsid w:val="00203929"/>
    <w:rsid w:val="00203A78"/>
    <w:rsid w:val="00203B64"/>
    <w:rsid w:val="00203C13"/>
    <w:rsid w:val="00203E40"/>
    <w:rsid w:val="00203F49"/>
    <w:rsid w:val="00204210"/>
    <w:rsid w:val="0020460E"/>
    <w:rsid w:val="0020473E"/>
    <w:rsid w:val="0020488E"/>
    <w:rsid w:val="00204AAC"/>
    <w:rsid w:val="00204F56"/>
    <w:rsid w:val="0020500E"/>
    <w:rsid w:val="00205129"/>
    <w:rsid w:val="002053E8"/>
    <w:rsid w:val="00205E9C"/>
    <w:rsid w:val="002068C5"/>
    <w:rsid w:val="00206EE5"/>
    <w:rsid w:val="0020704C"/>
    <w:rsid w:val="00207D2D"/>
    <w:rsid w:val="00207F4F"/>
    <w:rsid w:val="00210050"/>
    <w:rsid w:val="00211158"/>
    <w:rsid w:val="0021199F"/>
    <w:rsid w:val="00212755"/>
    <w:rsid w:val="00212A27"/>
    <w:rsid w:val="002137CF"/>
    <w:rsid w:val="00214C03"/>
    <w:rsid w:val="00215F82"/>
    <w:rsid w:val="0021634D"/>
    <w:rsid w:val="00216387"/>
    <w:rsid w:val="00216818"/>
    <w:rsid w:val="00216A6E"/>
    <w:rsid w:val="00216B64"/>
    <w:rsid w:val="00216CC4"/>
    <w:rsid w:val="00216F40"/>
    <w:rsid w:val="002173C5"/>
    <w:rsid w:val="00217669"/>
    <w:rsid w:val="00217D04"/>
    <w:rsid w:val="00217F27"/>
    <w:rsid w:val="00220299"/>
    <w:rsid w:val="00220F11"/>
    <w:rsid w:val="00221137"/>
    <w:rsid w:val="00221382"/>
    <w:rsid w:val="002214A6"/>
    <w:rsid w:val="00221884"/>
    <w:rsid w:val="002218F2"/>
    <w:rsid w:val="00221D93"/>
    <w:rsid w:val="0022264D"/>
    <w:rsid w:val="002239B6"/>
    <w:rsid w:val="00223B9B"/>
    <w:rsid w:val="00223D49"/>
    <w:rsid w:val="0022525E"/>
    <w:rsid w:val="00225607"/>
    <w:rsid w:val="00225C1A"/>
    <w:rsid w:val="002262B3"/>
    <w:rsid w:val="00227BE6"/>
    <w:rsid w:val="00227C11"/>
    <w:rsid w:val="00227F8D"/>
    <w:rsid w:val="002301B6"/>
    <w:rsid w:val="00230311"/>
    <w:rsid w:val="002304F7"/>
    <w:rsid w:val="00230D1F"/>
    <w:rsid w:val="00231297"/>
    <w:rsid w:val="00231615"/>
    <w:rsid w:val="00231752"/>
    <w:rsid w:val="002317AD"/>
    <w:rsid w:val="00232052"/>
    <w:rsid w:val="0023246D"/>
    <w:rsid w:val="00233A3A"/>
    <w:rsid w:val="00233AD5"/>
    <w:rsid w:val="002343F2"/>
    <w:rsid w:val="00234C5E"/>
    <w:rsid w:val="00235675"/>
    <w:rsid w:val="002359A6"/>
    <w:rsid w:val="00235B86"/>
    <w:rsid w:val="00235C74"/>
    <w:rsid w:val="002360E2"/>
    <w:rsid w:val="00236B09"/>
    <w:rsid w:val="00236C13"/>
    <w:rsid w:val="002400F9"/>
    <w:rsid w:val="002402EA"/>
    <w:rsid w:val="00240B2A"/>
    <w:rsid w:val="00240DC8"/>
    <w:rsid w:val="00240DDA"/>
    <w:rsid w:val="0024162E"/>
    <w:rsid w:val="00241B0F"/>
    <w:rsid w:val="00242166"/>
    <w:rsid w:val="00242E71"/>
    <w:rsid w:val="00243FF8"/>
    <w:rsid w:val="002445FA"/>
    <w:rsid w:val="00244BC4"/>
    <w:rsid w:val="00244C5B"/>
    <w:rsid w:val="0024544B"/>
    <w:rsid w:val="0024561D"/>
    <w:rsid w:val="00245EBE"/>
    <w:rsid w:val="0024602C"/>
    <w:rsid w:val="002464D9"/>
    <w:rsid w:val="0024701D"/>
    <w:rsid w:val="0024749D"/>
    <w:rsid w:val="00247A12"/>
    <w:rsid w:val="00247DD9"/>
    <w:rsid w:val="002505D1"/>
    <w:rsid w:val="0025099C"/>
    <w:rsid w:val="00250BAE"/>
    <w:rsid w:val="00251281"/>
    <w:rsid w:val="00251341"/>
    <w:rsid w:val="002515D2"/>
    <w:rsid w:val="0025277B"/>
    <w:rsid w:val="00252C7C"/>
    <w:rsid w:val="00253B27"/>
    <w:rsid w:val="00253C84"/>
    <w:rsid w:val="00254196"/>
    <w:rsid w:val="00254C62"/>
    <w:rsid w:val="00256457"/>
    <w:rsid w:val="002571DB"/>
    <w:rsid w:val="00257226"/>
    <w:rsid w:val="0026059C"/>
    <w:rsid w:val="00260EEB"/>
    <w:rsid w:val="00261563"/>
    <w:rsid w:val="00261855"/>
    <w:rsid w:val="00261A6B"/>
    <w:rsid w:val="002620C7"/>
    <w:rsid w:val="00262255"/>
    <w:rsid w:val="00262436"/>
    <w:rsid w:val="002627C9"/>
    <w:rsid w:val="0026280B"/>
    <w:rsid w:val="00262930"/>
    <w:rsid w:val="002629D5"/>
    <w:rsid w:val="002630F4"/>
    <w:rsid w:val="002638D7"/>
    <w:rsid w:val="00263F6D"/>
    <w:rsid w:val="002643A4"/>
    <w:rsid w:val="002645A4"/>
    <w:rsid w:val="00265267"/>
    <w:rsid w:val="0026546E"/>
    <w:rsid w:val="0026555B"/>
    <w:rsid w:val="002657E3"/>
    <w:rsid w:val="00265F89"/>
    <w:rsid w:val="0026626D"/>
    <w:rsid w:val="00266315"/>
    <w:rsid w:val="002666D8"/>
    <w:rsid w:val="00266D67"/>
    <w:rsid w:val="00266E2E"/>
    <w:rsid w:val="0026710F"/>
    <w:rsid w:val="002678D6"/>
    <w:rsid w:val="00270103"/>
    <w:rsid w:val="00270C9E"/>
    <w:rsid w:val="00270FB1"/>
    <w:rsid w:val="002711B0"/>
    <w:rsid w:val="002713B4"/>
    <w:rsid w:val="00271803"/>
    <w:rsid w:val="00271ACC"/>
    <w:rsid w:val="00272035"/>
    <w:rsid w:val="00272C8B"/>
    <w:rsid w:val="0027379B"/>
    <w:rsid w:val="00273980"/>
    <w:rsid w:val="00273B95"/>
    <w:rsid w:val="00274600"/>
    <w:rsid w:val="00274B64"/>
    <w:rsid w:val="00275FF6"/>
    <w:rsid w:val="00277342"/>
    <w:rsid w:val="002804FD"/>
    <w:rsid w:val="002805B3"/>
    <w:rsid w:val="00281952"/>
    <w:rsid w:val="00281C57"/>
    <w:rsid w:val="002823BB"/>
    <w:rsid w:val="002826FC"/>
    <w:rsid w:val="00282818"/>
    <w:rsid w:val="0028404B"/>
    <w:rsid w:val="002850B0"/>
    <w:rsid w:val="002851FD"/>
    <w:rsid w:val="00285A5C"/>
    <w:rsid w:val="0028636D"/>
    <w:rsid w:val="00286425"/>
    <w:rsid w:val="002868EA"/>
    <w:rsid w:val="00286E9B"/>
    <w:rsid w:val="00287CC7"/>
    <w:rsid w:val="00290034"/>
    <w:rsid w:val="002906ED"/>
    <w:rsid w:val="00290949"/>
    <w:rsid w:val="0029119C"/>
    <w:rsid w:val="002913B9"/>
    <w:rsid w:val="002929A5"/>
    <w:rsid w:val="00292B47"/>
    <w:rsid w:val="00293299"/>
    <w:rsid w:val="0029335B"/>
    <w:rsid w:val="00293391"/>
    <w:rsid w:val="0029354A"/>
    <w:rsid w:val="00294867"/>
    <w:rsid w:val="002949E0"/>
    <w:rsid w:val="002952B9"/>
    <w:rsid w:val="00295538"/>
    <w:rsid w:val="00295822"/>
    <w:rsid w:val="002961C2"/>
    <w:rsid w:val="00296B93"/>
    <w:rsid w:val="002972C5"/>
    <w:rsid w:val="00297670"/>
    <w:rsid w:val="002A0771"/>
    <w:rsid w:val="002A08C1"/>
    <w:rsid w:val="002A1BB2"/>
    <w:rsid w:val="002A5B33"/>
    <w:rsid w:val="002A5CDD"/>
    <w:rsid w:val="002A5D1B"/>
    <w:rsid w:val="002A6687"/>
    <w:rsid w:val="002A6A3D"/>
    <w:rsid w:val="002A72D7"/>
    <w:rsid w:val="002A7347"/>
    <w:rsid w:val="002B01E9"/>
    <w:rsid w:val="002B0BCC"/>
    <w:rsid w:val="002B0DC6"/>
    <w:rsid w:val="002B0F29"/>
    <w:rsid w:val="002B1C26"/>
    <w:rsid w:val="002B1D2B"/>
    <w:rsid w:val="002B1FBE"/>
    <w:rsid w:val="002B2057"/>
    <w:rsid w:val="002B20BF"/>
    <w:rsid w:val="002B22B6"/>
    <w:rsid w:val="002B28C7"/>
    <w:rsid w:val="002B2B22"/>
    <w:rsid w:val="002B2DAB"/>
    <w:rsid w:val="002B3161"/>
    <w:rsid w:val="002B3509"/>
    <w:rsid w:val="002B57DB"/>
    <w:rsid w:val="002B589A"/>
    <w:rsid w:val="002B592E"/>
    <w:rsid w:val="002B5F1F"/>
    <w:rsid w:val="002B69DE"/>
    <w:rsid w:val="002B75B4"/>
    <w:rsid w:val="002B769F"/>
    <w:rsid w:val="002B79C8"/>
    <w:rsid w:val="002C1003"/>
    <w:rsid w:val="002C12E9"/>
    <w:rsid w:val="002C17B1"/>
    <w:rsid w:val="002C1817"/>
    <w:rsid w:val="002C1F5F"/>
    <w:rsid w:val="002C23B0"/>
    <w:rsid w:val="002C2C42"/>
    <w:rsid w:val="002C2D4B"/>
    <w:rsid w:val="002C319C"/>
    <w:rsid w:val="002C33FC"/>
    <w:rsid w:val="002C34DE"/>
    <w:rsid w:val="002C365C"/>
    <w:rsid w:val="002C36DE"/>
    <w:rsid w:val="002C440D"/>
    <w:rsid w:val="002C489C"/>
    <w:rsid w:val="002C49FC"/>
    <w:rsid w:val="002C4D14"/>
    <w:rsid w:val="002C5081"/>
    <w:rsid w:val="002C5146"/>
    <w:rsid w:val="002C6CEF"/>
    <w:rsid w:val="002D0034"/>
    <w:rsid w:val="002D0050"/>
    <w:rsid w:val="002D00F5"/>
    <w:rsid w:val="002D0A37"/>
    <w:rsid w:val="002D0C20"/>
    <w:rsid w:val="002D0CAB"/>
    <w:rsid w:val="002D0E4E"/>
    <w:rsid w:val="002D0F44"/>
    <w:rsid w:val="002D1608"/>
    <w:rsid w:val="002D18A4"/>
    <w:rsid w:val="002D19DE"/>
    <w:rsid w:val="002D1AFD"/>
    <w:rsid w:val="002D1DBB"/>
    <w:rsid w:val="002D2A2C"/>
    <w:rsid w:val="002D32B3"/>
    <w:rsid w:val="002D3B7D"/>
    <w:rsid w:val="002D3CA7"/>
    <w:rsid w:val="002D3ED0"/>
    <w:rsid w:val="002D4043"/>
    <w:rsid w:val="002D4929"/>
    <w:rsid w:val="002D4953"/>
    <w:rsid w:val="002D4E0C"/>
    <w:rsid w:val="002D4E77"/>
    <w:rsid w:val="002D5362"/>
    <w:rsid w:val="002D64AC"/>
    <w:rsid w:val="002D65BA"/>
    <w:rsid w:val="002D671B"/>
    <w:rsid w:val="002D7F92"/>
    <w:rsid w:val="002E025D"/>
    <w:rsid w:val="002E02B9"/>
    <w:rsid w:val="002E0F78"/>
    <w:rsid w:val="002E128D"/>
    <w:rsid w:val="002E1673"/>
    <w:rsid w:val="002E18DA"/>
    <w:rsid w:val="002E1F19"/>
    <w:rsid w:val="002E2567"/>
    <w:rsid w:val="002E311A"/>
    <w:rsid w:val="002E37D8"/>
    <w:rsid w:val="002E43DF"/>
    <w:rsid w:val="002E46F4"/>
    <w:rsid w:val="002E5170"/>
    <w:rsid w:val="002E52E4"/>
    <w:rsid w:val="002E5EAB"/>
    <w:rsid w:val="002E69E3"/>
    <w:rsid w:val="002E6E02"/>
    <w:rsid w:val="002F09BB"/>
    <w:rsid w:val="002F0A96"/>
    <w:rsid w:val="002F1294"/>
    <w:rsid w:val="002F1464"/>
    <w:rsid w:val="002F243E"/>
    <w:rsid w:val="002F2933"/>
    <w:rsid w:val="002F41EC"/>
    <w:rsid w:val="002F44BB"/>
    <w:rsid w:val="002F5577"/>
    <w:rsid w:val="002F5772"/>
    <w:rsid w:val="002F6247"/>
    <w:rsid w:val="002F7814"/>
    <w:rsid w:val="003001C1"/>
    <w:rsid w:val="003001F6"/>
    <w:rsid w:val="00300232"/>
    <w:rsid w:val="003005AB"/>
    <w:rsid w:val="00300AF3"/>
    <w:rsid w:val="00301011"/>
    <w:rsid w:val="003017C7"/>
    <w:rsid w:val="00302228"/>
    <w:rsid w:val="00302F26"/>
    <w:rsid w:val="00303547"/>
    <w:rsid w:val="00303BB8"/>
    <w:rsid w:val="00303E49"/>
    <w:rsid w:val="00304E48"/>
    <w:rsid w:val="0030508E"/>
    <w:rsid w:val="003050B4"/>
    <w:rsid w:val="00305822"/>
    <w:rsid w:val="00305B8E"/>
    <w:rsid w:val="0030643E"/>
    <w:rsid w:val="003064E5"/>
    <w:rsid w:val="00306CDC"/>
    <w:rsid w:val="00307FFD"/>
    <w:rsid w:val="00310276"/>
    <w:rsid w:val="0031056D"/>
    <w:rsid w:val="003117FB"/>
    <w:rsid w:val="00311A38"/>
    <w:rsid w:val="0031231D"/>
    <w:rsid w:val="003125C0"/>
    <w:rsid w:val="00313749"/>
    <w:rsid w:val="003137B4"/>
    <w:rsid w:val="00313DDF"/>
    <w:rsid w:val="003143BF"/>
    <w:rsid w:val="003148CB"/>
    <w:rsid w:val="003148D6"/>
    <w:rsid w:val="00314A88"/>
    <w:rsid w:val="003150BD"/>
    <w:rsid w:val="00315889"/>
    <w:rsid w:val="00315D11"/>
    <w:rsid w:val="003162BB"/>
    <w:rsid w:val="0031693F"/>
    <w:rsid w:val="00316F40"/>
    <w:rsid w:val="003173AD"/>
    <w:rsid w:val="003174E8"/>
    <w:rsid w:val="00317C16"/>
    <w:rsid w:val="00320D11"/>
    <w:rsid w:val="003218ED"/>
    <w:rsid w:val="0032277A"/>
    <w:rsid w:val="00322E93"/>
    <w:rsid w:val="003230BC"/>
    <w:rsid w:val="003235BD"/>
    <w:rsid w:val="003238CC"/>
    <w:rsid w:val="00323F8B"/>
    <w:rsid w:val="00324067"/>
    <w:rsid w:val="003246FA"/>
    <w:rsid w:val="00324C2E"/>
    <w:rsid w:val="00324E1B"/>
    <w:rsid w:val="003251A4"/>
    <w:rsid w:val="003265EC"/>
    <w:rsid w:val="00327F11"/>
    <w:rsid w:val="00327F6E"/>
    <w:rsid w:val="0033032F"/>
    <w:rsid w:val="00330494"/>
    <w:rsid w:val="00330763"/>
    <w:rsid w:val="00330E46"/>
    <w:rsid w:val="003310FD"/>
    <w:rsid w:val="00331241"/>
    <w:rsid w:val="003312CC"/>
    <w:rsid w:val="003313B7"/>
    <w:rsid w:val="0033156F"/>
    <w:rsid w:val="0033246E"/>
    <w:rsid w:val="003326DD"/>
    <w:rsid w:val="00332C22"/>
    <w:rsid w:val="00332F29"/>
    <w:rsid w:val="00333508"/>
    <w:rsid w:val="003337BA"/>
    <w:rsid w:val="00333DAE"/>
    <w:rsid w:val="00333E9F"/>
    <w:rsid w:val="00334010"/>
    <w:rsid w:val="0033457E"/>
    <w:rsid w:val="003349B1"/>
    <w:rsid w:val="0033518C"/>
    <w:rsid w:val="00335404"/>
    <w:rsid w:val="00335BC3"/>
    <w:rsid w:val="00336618"/>
    <w:rsid w:val="00336AF7"/>
    <w:rsid w:val="00336BD8"/>
    <w:rsid w:val="00336E64"/>
    <w:rsid w:val="003370BB"/>
    <w:rsid w:val="00337827"/>
    <w:rsid w:val="0033793A"/>
    <w:rsid w:val="00337979"/>
    <w:rsid w:val="00337C67"/>
    <w:rsid w:val="00340184"/>
    <w:rsid w:val="00340CE6"/>
    <w:rsid w:val="00340E0D"/>
    <w:rsid w:val="00340EAA"/>
    <w:rsid w:val="00340F45"/>
    <w:rsid w:val="003413C5"/>
    <w:rsid w:val="00341630"/>
    <w:rsid w:val="00341EDD"/>
    <w:rsid w:val="00342791"/>
    <w:rsid w:val="00342B19"/>
    <w:rsid w:val="003441A9"/>
    <w:rsid w:val="003442D9"/>
    <w:rsid w:val="00344856"/>
    <w:rsid w:val="00344E57"/>
    <w:rsid w:val="00345240"/>
    <w:rsid w:val="00345473"/>
    <w:rsid w:val="00345CB5"/>
    <w:rsid w:val="00346612"/>
    <w:rsid w:val="00346A14"/>
    <w:rsid w:val="00346B05"/>
    <w:rsid w:val="00347323"/>
    <w:rsid w:val="00347423"/>
    <w:rsid w:val="00347727"/>
    <w:rsid w:val="00347807"/>
    <w:rsid w:val="0035036D"/>
    <w:rsid w:val="003505A6"/>
    <w:rsid w:val="00353409"/>
    <w:rsid w:val="00353726"/>
    <w:rsid w:val="00353BEA"/>
    <w:rsid w:val="0035401B"/>
    <w:rsid w:val="0035420B"/>
    <w:rsid w:val="00355224"/>
    <w:rsid w:val="00355C37"/>
    <w:rsid w:val="00356838"/>
    <w:rsid w:val="00357036"/>
    <w:rsid w:val="0035752E"/>
    <w:rsid w:val="003575A3"/>
    <w:rsid w:val="00357F95"/>
    <w:rsid w:val="00360034"/>
    <w:rsid w:val="00361658"/>
    <w:rsid w:val="0036281B"/>
    <w:rsid w:val="00363B63"/>
    <w:rsid w:val="003642AC"/>
    <w:rsid w:val="00364629"/>
    <w:rsid w:val="00365655"/>
    <w:rsid w:val="00365C1E"/>
    <w:rsid w:val="00366170"/>
    <w:rsid w:val="00366266"/>
    <w:rsid w:val="0036666E"/>
    <w:rsid w:val="00366AD6"/>
    <w:rsid w:val="00367134"/>
    <w:rsid w:val="0036745C"/>
    <w:rsid w:val="0036748B"/>
    <w:rsid w:val="0037074A"/>
    <w:rsid w:val="00370B17"/>
    <w:rsid w:val="00370D88"/>
    <w:rsid w:val="00370FD4"/>
    <w:rsid w:val="00371436"/>
    <w:rsid w:val="0037187D"/>
    <w:rsid w:val="00371A2D"/>
    <w:rsid w:val="00371DF2"/>
    <w:rsid w:val="003723DF"/>
    <w:rsid w:val="00372A12"/>
    <w:rsid w:val="00372FA6"/>
    <w:rsid w:val="003735D8"/>
    <w:rsid w:val="00373EF3"/>
    <w:rsid w:val="0037430F"/>
    <w:rsid w:val="0037461E"/>
    <w:rsid w:val="00375201"/>
    <w:rsid w:val="0037599C"/>
    <w:rsid w:val="00375BF4"/>
    <w:rsid w:val="003768F2"/>
    <w:rsid w:val="00376FC2"/>
    <w:rsid w:val="003770CB"/>
    <w:rsid w:val="00377194"/>
    <w:rsid w:val="00380049"/>
    <w:rsid w:val="003805E8"/>
    <w:rsid w:val="003808B6"/>
    <w:rsid w:val="00380F09"/>
    <w:rsid w:val="00381A34"/>
    <w:rsid w:val="00382257"/>
    <w:rsid w:val="00382730"/>
    <w:rsid w:val="00382906"/>
    <w:rsid w:val="003833D9"/>
    <w:rsid w:val="003836B4"/>
    <w:rsid w:val="003837E8"/>
    <w:rsid w:val="00384845"/>
    <w:rsid w:val="003850AF"/>
    <w:rsid w:val="00385489"/>
    <w:rsid w:val="00385B67"/>
    <w:rsid w:val="0038715C"/>
    <w:rsid w:val="003872E4"/>
    <w:rsid w:val="0038741D"/>
    <w:rsid w:val="003878C3"/>
    <w:rsid w:val="00387F87"/>
    <w:rsid w:val="003902B4"/>
    <w:rsid w:val="00390396"/>
    <w:rsid w:val="00390B9E"/>
    <w:rsid w:val="00390E08"/>
    <w:rsid w:val="00391195"/>
    <w:rsid w:val="00391370"/>
    <w:rsid w:val="003917CB"/>
    <w:rsid w:val="00391A0D"/>
    <w:rsid w:val="0039208F"/>
    <w:rsid w:val="00392804"/>
    <w:rsid w:val="00392A20"/>
    <w:rsid w:val="00392EAE"/>
    <w:rsid w:val="003932A6"/>
    <w:rsid w:val="0039473A"/>
    <w:rsid w:val="00394994"/>
    <w:rsid w:val="003949CE"/>
    <w:rsid w:val="00395468"/>
    <w:rsid w:val="00395952"/>
    <w:rsid w:val="003963F4"/>
    <w:rsid w:val="0039668E"/>
    <w:rsid w:val="00396D7F"/>
    <w:rsid w:val="00397406"/>
    <w:rsid w:val="0039748A"/>
    <w:rsid w:val="00397932"/>
    <w:rsid w:val="00397E40"/>
    <w:rsid w:val="003A1E61"/>
    <w:rsid w:val="003A2E5E"/>
    <w:rsid w:val="003A312C"/>
    <w:rsid w:val="003A370B"/>
    <w:rsid w:val="003A3D2F"/>
    <w:rsid w:val="003A4F81"/>
    <w:rsid w:val="003A53B9"/>
    <w:rsid w:val="003A53E1"/>
    <w:rsid w:val="003A56A2"/>
    <w:rsid w:val="003A5735"/>
    <w:rsid w:val="003A5826"/>
    <w:rsid w:val="003A5B64"/>
    <w:rsid w:val="003A5D69"/>
    <w:rsid w:val="003A62F1"/>
    <w:rsid w:val="003A64E8"/>
    <w:rsid w:val="003A6BDE"/>
    <w:rsid w:val="003A6DDA"/>
    <w:rsid w:val="003A6F1C"/>
    <w:rsid w:val="003A717B"/>
    <w:rsid w:val="003A7309"/>
    <w:rsid w:val="003A77F8"/>
    <w:rsid w:val="003A7949"/>
    <w:rsid w:val="003A7C48"/>
    <w:rsid w:val="003A7D63"/>
    <w:rsid w:val="003A7E49"/>
    <w:rsid w:val="003B012B"/>
    <w:rsid w:val="003B0EBC"/>
    <w:rsid w:val="003B2D64"/>
    <w:rsid w:val="003B45A7"/>
    <w:rsid w:val="003B49CF"/>
    <w:rsid w:val="003B5BB2"/>
    <w:rsid w:val="003B5E6E"/>
    <w:rsid w:val="003B63A7"/>
    <w:rsid w:val="003B6C95"/>
    <w:rsid w:val="003B6DBE"/>
    <w:rsid w:val="003B7E44"/>
    <w:rsid w:val="003C0079"/>
    <w:rsid w:val="003C07E8"/>
    <w:rsid w:val="003C0855"/>
    <w:rsid w:val="003C118D"/>
    <w:rsid w:val="003C13BE"/>
    <w:rsid w:val="003C144A"/>
    <w:rsid w:val="003C1CC4"/>
    <w:rsid w:val="003C1F2E"/>
    <w:rsid w:val="003C3429"/>
    <w:rsid w:val="003C47CD"/>
    <w:rsid w:val="003C4DB2"/>
    <w:rsid w:val="003C5291"/>
    <w:rsid w:val="003C5A84"/>
    <w:rsid w:val="003C64E2"/>
    <w:rsid w:val="003C7240"/>
    <w:rsid w:val="003D01B8"/>
    <w:rsid w:val="003D0CD2"/>
    <w:rsid w:val="003D125E"/>
    <w:rsid w:val="003D18C3"/>
    <w:rsid w:val="003D24C2"/>
    <w:rsid w:val="003D3506"/>
    <w:rsid w:val="003D43A8"/>
    <w:rsid w:val="003D4846"/>
    <w:rsid w:val="003D4996"/>
    <w:rsid w:val="003D5069"/>
    <w:rsid w:val="003D511F"/>
    <w:rsid w:val="003D5EAD"/>
    <w:rsid w:val="003D64F3"/>
    <w:rsid w:val="003D69A0"/>
    <w:rsid w:val="003D6CC4"/>
    <w:rsid w:val="003D7473"/>
    <w:rsid w:val="003D7894"/>
    <w:rsid w:val="003E0130"/>
    <w:rsid w:val="003E01BF"/>
    <w:rsid w:val="003E11A8"/>
    <w:rsid w:val="003E1E6F"/>
    <w:rsid w:val="003E3029"/>
    <w:rsid w:val="003E3551"/>
    <w:rsid w:val="003E3994"/>
    <w:rsid w:val="003E429B"/>
    <w:rsid w:val="003E4690"/>
    <w:rsid w:val="003E4E25"/>
    <w:rsid w:val="003E4FEE"/>
    <w:rsid w:val="003E5B08"/>
    <w:rsid w:val="003E5B84"/>
    <w:rsid w:val="003E5C76"/>
    <w:rsid w:val="003E5FC1"/>
    <w:rsid w:val="003E6BBC"/>
    <w:rsid w:val="003E7037"/>
    <w:rsid w:val="003E70E2"/>
    <w:rsid w:val="003E7219"/>
    <w:rsid w:val="003E7BC4"/>
    <w:rsid w:val="003F038B"/>
    <w:rsid w:val="003F03BB"/>
    <w:rsid w:val="003F0517"/>
    <w:rsid w:val="003F0728"/>
    <w:rsid w:val="003F119E"/>
    <w:rsid w:val="003F1EC0"/>
    <w:rsid w:val="003F21DF"/>
    <w:rsid w:val="003F2428"/>
    <w:rsid w:val="003F256F"/>
    <w:rsid w:val="003F2A04"/>
    <w:rsid w:val="003F3193"/>
    <w:rsid w:val="003F33D9"/>
    <w:rsid w:val="003F3A08"/>
    <w:rsid w:val="003F3C56"/>
    <w:rsid w:val="003F4817"/>
    <w:rsid w:val="003F4C86"/>
    <w:rsid w:val="003F51F0"/>
    <w:rsid w:val="003F55AC"/>
    <w:rsid w:val="003F560F"/>
    <w:rsid w:val="003F5B9F"/>
    <w:rsid w:val="003F5FAC"/>
    <w:rsid w:val="003F61CE"/>
    <w:rsid w:val="003F7213"/>
    <w:rsid w:val="003F7B56"/>
    <w:rsid w:val="003F7B8E"/>
    <w:rsid w:val="004003E1"/>
    <w:rsid w:val="00400617"/>
    <w:rsid w:val="00400F58"/>
    <w:rsid w:val="00401B5B"/>
    <w:rsid w:val="004022FE"/>
    <w:rsid w:val="004023FD"/>
    <w:rsid w:val="004028B4"/>
    <w:rsid w:val="00403406"/>
    <w:rsid w:val="00403E5D"/>
    <w:rsid w:val="004050F7"/>
    <w:rsid w:val="00405B52"/>
    <w:rsid w:val="004064F7"/>
    <w:rsid w:val="00407288"/>
    <w:rsid w:val="0040754C"/>
    <w:rsid w:val="00407AAF"/>
    <w:rsid w:val="0041033B"/>
    <w:rsid w:val="00410521"/>
    <w:rsid w:val="00410566"/>
    <w:rsid w:val="004106DE"/>
    <w:rsid w:val="00410F45"/>
    <w:rsid w:val="004110B0"/>
    <w:rsid w:val="00411573"/>
    <w:rsid w:val="00411907"/>
    <w:rsid w:val="00411DDC"/>
    <w:rsid w:val="004120AF"/>
    <w:rsid w:val="00412B81"/>
    <w:rsid w:val="00412C82"/>
    <w:rsid w:val="00412E28"/>
    <w:rsid w:val="00412F8D"/>
    <w:rsid w:val="004131CE"/>
    <w:rsid w:val="00413518"/>
    <w:rsid w:val="00413C2A"/>
    <w:rsid w:val="0041405D"/>
    <w:rsid w:val="00415665"/>
    <w:rsid w:val="00415CBF"/>
    <w:rsid w:val="004162C1"/>
    <w:rsid w:val="0041643E"/>
    <w:rsid w:val="00416800"/>
    <w:rsid w:val="004172A3"/>
    <w:rsid w:val="00417CD9"/>
    <w:rsid w:val="00417CEE"/>
    <w:rsid w:val="00417E45"/>
    <w:rsid w:val="0042065B"/>
    <w:rsid w:val="00420C5D"/>
    <w:rsid w:val="0042111D"/>
    <w:rsid w:val="0042173F"/>
    <w:rsid w:val="004220EF"/>
    <w:rsid w:val="004224BD"/>
    <w:rsid w:val="00422E5C"/>
    <w:rsid w:val="00423088"/>
    <w:rsid w:val="00423D9A"/>
    <w:rsid w:val="00423DE1"/>
    <w:rsid w:val="00424355"/>
    <w:rsid w:val="0042444F"/>
    <w:rsid w:val="0042454B"/>
    <w:rsid w:val="00424579"/>
    <w:rsid w:val="00424B83"/>
    <w:rsid w:val="00425A0B"/>
    <w:rsid w:val="00425CD2"/>
    <w:rsid w:val="004262B8"/>
    <w:rsid w:val="00426CE5"/>
    <w:rsid w:val="004272A9"/>
    <w:rsid w:val="00427442"/>
    <w:rsid w:val="00427773"/>
    <w:rsid w:val="00427C56"/>
    <w:rsid w:val="00430108"/>
    <w:rsid w:val="004302CE"/>
    <w:rsid w:val="00430544"/>
    <w:rsid w:val="00430F18"/>
    <w:rsid w:val="00430F45"/>
    <w:rsid w:val="0043124F"/>
    <w:rsid w:val="00431467"/>
    <w:rsid w:val="004314D6"/>
    <w:rsid w:val="004317A9"/>
    <w:rsid w:val="00431ADB"/>
    <w:rsid w:val="00431B1B"/>
    <w:rsid w:val="00432496"/>
    <w:rsid w:val="00432732"/>
    <w:rsid w:val="00432AF7"/>
    <w:rsid w:val="004330C0"/>
    <w:rsid w:val="004331D4"/>
    <w:rsid w:val="00433680"/>
    <w:rsid w:val="00433A7F"/>
    <w:rsid w:val="00433B4F"/>
    <w:rsid w:val="00433B87"/>
    <w:rsid w:val="0043476D"/>
    <w:rsid w:val="004352CC"/>
    <w:rsid w:val="00435B37"/>
    <w:rsid w:val="00435DC6"/>
    <w:rsid w:val="004360BB"/>
    <w:rsid w:val="00436746"/>
    <w:rsid w:val="00436C73"/>
    <w:rsid w:val="00436E9D"/>
    <w:rsid w:val="00436F63"/>
    <w:rsid w:val="00440424"/>
    <w:rsid w:val="00440F8C"/>
    <w:rsid w:val="00441450"/>
    <w:rsid w:val="00441B25"/>
    <w:rsid w:val="00441CE4"/>
    <w:rsid w:val="004424C1"/>
    <w:rsid w:val="00442797"/>
    <w:rsid w:val="00442C1A"/>
    <w:rsid w:val="00443EE2"/>
    <w:rsid w:val="00444E21"/>
    <w:rsid w:val="00444EDC"/>
    <w:rsid w:val="00444FC2"/>
    <w:rsid w:val="00445FB9"/>
    <w:rsid w:val="00446D5D"/>
    <w:rsid w:val="004471EC"/>
    <w:rsid w:val="004477C8"/>
    <w:rsid w:val="004477F4"/>
    <w:rsid w:val="0045002B"/>
    <w:rsid w:val="004500B9"/>
    <w:rsid w:val="00450BE5"/>
    <w:rsid w:val="00450D7F"/>
    <w:rsid w:val="004512FF"/>
    <w:rsid w:val="004515FB"/>
    <w:rsid w:val="0045162A"/>
    <w:rsid w:val="00451DC1"/>
    <w:rsid w:val="00451F10"/>
    <w:rsid w:val="00452CF0"/>
    <w:rsid w:val="00452E0D"/>
    <w:rsid w:val="0045309A"/>
    <w:rsid w:val="004534FE"/>
    <w:rsid w:val="00453684"/>
    <w:rsid w:val="00453703"/>
    <w:rsid w:val="0045417C"/>
    <w:rsid w:val="00454187"/>
    <w:rsid w:val="00454C12"/>
    <w:rsid w:val="004552DD"/>
    <w:rsid w:val="00455E08"/>
    <w:rsid w:val="00456851"/>
    <w:rsid w:val="0045687C"/>
    <w:rsid w:val="00456931"/>
    <w:rsid w:val="00456D30"/>
    <w:rsid w:val="00456DC0"/>
    <w:rsid w:val="004575FA"/>
    <w:rsid w:val="00457B43"/>
    <w:rsid w:val="00457C3B"/>
    <w:rsid w:val="0046022F"/>
    <w:rsid w:val="00460292"/>
    <w:rsid w:val="0046093F"/>
    <w:rsid w:val="00461094"/>
    <w:rsid w:val="00461134"/>
    <w:rsid w:val="00461507"/>
    <w:rsid w:val="00461DEA"/>
    <w:rsid w:val="0046278E"/>
    <w:rsid w:val="00462D29"/>
    <w:rsid w:val="00462D37"/>
    <w:rsid w:val="004630B3"/>
    <w:rsid w:val="004631DC"/>
    <w:rsid w:val="00463307"/>
    <w:rsid w:val="004638AA"/>
    <w:rsid w:val="004638FF"/>
    <w:rsid w:val="00463AA2"/>
    <w:rsid w:val="00464033"/>
    <w:rsid w:val="00464221"/>
    <w:rsid w:val="00465684"/>
    <w:rsid w:val="004657AB"/>
    <w:rsid w:val="00465C1A"/>
    <w:rsid w:val="00466B10"/>
    <w:rsid w:val="00467045"/>
    <w:rsid w:val="004672DD"/>
    <w:rsid w:val="00470256"/>
    <w:rsid w:val="004713E0"/>
    <w:rsid w:val="00471656"/>
    <w:rsid w:val="00471678"/>
    <w:rsid w:val="0047260E"/>
    <w:rsid w:val="004729E7"/>
    <w:rsid w:val="004730E5"/>
    <w:rsid w:val="004732F3"/>
    <w:rsid w:val="0047333C"/>
    <w:rsid w:val="00473D04"/>
    <w:rsid w:val="00473F4B"/>
    <w:rsid w:val="0047419E"/>
    <w:rsid w:val="004743EA"/>
    <w:rsid w:val="004744AF"/>
    <w:rsid w:val="004744C1"/>
    <w:rsid w:val="00474A99"/>
    <w:rsid w:val="00474E17"/>
    <w:rsid w:val="00475235"/>
    <w:rsid w:val="004753AC"/>
    <w:rsid w:val="00475543"/>
    <w:rsid w:val="00475BEE"/>
    <w:rsid w:val="004765A3"/>
    <w:rsid w:val="004766B0"/>
    <w:rsid w:val="004767D0"/>
    <w:rsid w:val="00476B0B"/>
    <w:rsid w:val="00477203"/>
    <w:rsid w:val="00477360"/>
    <w:rsid w:val="004777A2"/>
    <w:rsid w:val="00477AE9"/>
    <w:rsid w:val="00477CDF"/>
    <w:rsid w:val="00480024"/>
    <w:rsid w:val="00480137"/>
    <w:rsid w:val="00480219"/>
    <w:rsid w:val="004804DF"/>
    <w:rsid w:val="00480E32"/>
    <w:rsid w:val="004819C9"/>
    <w:rsid w:val="00482CC4"/>
    <w:rsid w:val="00482D8D"/>
    <w:rsid w:val="00483430"/>
    <w:rsid w:val="00483928"/>
    <w:rsid w:val="00483F9D"/>
    <w:rsid w:val="004844B3"/>
    <w:rsid w:val="0048561C"/>
    <w:rsid w:val="0048571B"/>
    <w:rsid w:val="004859A4"/>
    <w:rsid w:val="00485D3D"/>
    <w:rsid w:val="004866C3"/>
    <w:rsid w:val="004867B1"/>
    <w:rsid w:val="0048691D"/>
    <w:rsid w:val="0048699D"/>
    <w:rsid w:val="0048709F"/>
    <w:rsid w:val="0048731A"/>
    <w:rsid w:val="00487843"/>
    <w:rsid w:val="00487B95"/>
    <w:rsid w:val="00487E84"/>
    <w:rsid w:val="00487FD0"/>
    <w:rsid w:val="0049028F"/>
    <w:rsid w:val="004914ED"/>
    <w:rsid w:val="00491CC6"/>
    <w:rsid w:val="00491D9E"/>
    <w:rsid w:val="00494604"/>
    <w:rsid w:val="00494C47"/>
    <w:rsid w:val="0049593B"/>
    <w:rsid w:val="00495D01"/>
    <w:rsid w:val="00496793"/>
    <w:rsid w:val="00496F85"/>
    <w:rsid w:val="00497367"/>
    <w:rsid w:val="0049776D"/>
    <w:rsid w:val="004978E5"/>
    <w:rsid w:val="004979D5"/>
    <w:rsid w:val="00497FA0"/>
    <w:rsid w:val="004A0371"/>
    <w:rsid w:val="004A06E6"/>
    <w:rsid w:val="004A1602"/>
    <w:rsid w:val="004A20EA"/>
    <w:rsid w:val="004A24D7"/>
    <w:rsid w:val="004A257F"/>
    <w:rsid w:val="004A3707"/>
    <w:rsid w:val="004A3795"/>
    <w:rsid w:val="004A3CFD"/>
    <w:rsid w:val="004A3E92"/>
    <w:rsid w:val="004A48F2"/>
    <w:rsid w:val="004A49A0"/>
    <w:rsid w:val="004A50EB"/>
    <w:rsid w:val="004A55FA"/>
    <w:rsid w:val="004A5958"/>
    <w:rsid w:val="004A5B05"/>
    <w:rsid w:val="004A5B7E"/>
    <w:rsid w:val="004A5DC3"/>
    <w:rsid w:val="004A6181"/>
    <w:rsid w:val="004A6F0E"/>
    <w:rsid w:val="004A7010"/>
    <w:rsid w:val="004A7EE6"/>
    <w:rsid w:val="004B00F6"/>
    <w:rsid w:val="004B02D0"/>
    <w:rsid w:val="004B0A99"/>
    <w:rsid w:val="004B18AE"/>
    <w:rsid w:val="004B1F27"/>
    <w:rsid w:val="004B207A"/>
    <w:rsid w:val="004B24BC"/>
    <w:rsid w:val="004B2EA3"/>
    <w:rsid w:val="004B31C5"/>
    <w:rsid w:val="004B3234"/>
    <w:rsid w:val="004B34C3"/>
    <w:rsid w:val="004B35E8"/>
    <w:rsid w:val="004B4027"/>
    <w:rsid w:val="004B4229"/>
    <w:rsid w:val="004B4681"/>
    <w:rsid w:val="004B48A8"/>
    <w:rsid w:val="004B5152"/>
    <w:rsid w:val="004B527E"/>
    <w:rsid w:val="004B531D"/>
    <w:rsid w:val="004B5948"/>
    <w:rsid w:val="004B595B"/>
    <w:rsid w:val="004B65DA"/>
    <w:rsid w:val="004B6967"/>
    <w:rsid w:val="004B6F7B"/>
    <w:rsid w:val="004C0483"/>
    <w:rsid w:val="004C0DB9"/>
    <w:rsid w:val="004C15A3"/>
    <w:rsid w:val="004C1F98"/>
    <w:rsid w:val="004C2095"/>
    <w:rsid w:val="004C20CE"/>
    <w:rsid w:val="004C236B"/>
    <w:rsid w:val="004C2616"/>
    <w:rsid w:val="004C266D"/>
    <w:rsid w:val="004C2887"/>
    <w:rsid w:val="004C2B9D"/>
    <w:rsid w:val="004C3DA5"/>
    <w:rsid w:val="004C41F4"/>
    <w:rsid w:val="004C42AB"/>
    <w:rsid w:val="004C4712"/>
    <w:rsid w:val="004C4925"/>
    <w:rsid w:val="004C4E5D"/>
    <w:rsid w:val="004C5965"/>
    <w:rsid w:val="004C6003"/>
    <w:rsid w:val="004C62D1"/>
    <w:rsid w:val="004C6E5A"/>
    <w:rsid w:val="004C7318"/>
    <w:rsid w:val="004C7A83"/>
    <w:rsid w:val="004C7B32"/>
    <w:rsid w:val="004D14C4"/>
    <w:rsid w:val="004D168F"/>
    <w:rsid w:val="004D1B34"/>
    <w:rsid w:val="004D221D"/>
    <w:rsid w:val="004D26A5"/>
    <w:rsid w:val="004D3578"/>
    <w:rsid w:val="004D36AC"/>
    <w:rsid w:val="004D44EC"/>
    <w:rsid w:val="004D46D0"/>
    <w:rsid w:val="004D473F"/>
    <w:rsid w:val="004D4D7C"/>
    <w:rsid w:val="004D4ECD"/>
    <w:rsid w:val="004D5C51"/>
    <w:rsid w:val="004D71B1"/>
    <w:rsid w:val="004D739E"/>
    <w:rsid w:val="004D767B"/>
    <w:rsid w:val="004D780B"/>
    <w:rsid w:val="004D7C9B"/>
    <w:rsid w:val="004E04E9"/>
    <w:rsid w:val="004E0D21"/>
    <w:rsid w:val="004E1D2E"/>
    <w:rsid w:val="004E21B9"/>
    <w:rsid w:val="004E25F7"/>
    <w:rsid w:val="004E291F"/>
    <w:rsid w:val="004E3132"/>
    <w:rsid w:val="004E3956"/>
    <w:rsid w:val="004E4CDC"/>
    <w:rsid w:val="004E4F04"/>
    <w:rsid w:val="004E55B9"/>
    <w:rsid w:val="004E5D55"/>
    <w:rsid w:val="004E6BC9"/>
    <w:rsid w:val="004E6E92"/>
    <w:rsid w:val="004E751B"/>
    <w:rsid w:val="004F0448"/>
    <w:rsid w:val="004F048D"/>
    <w:rsid w:val="004F0E9E"/>
    <w:rsid w:val="004F109B"/>
    <w:rsid w:val="004F1FD1"/>
    <w:rsid w:val="004F207B"/>
    <w:rsid w:val="004F269E"/>
    <w:rsid w:val="004F2763"/>
    <w:rsid w:val="004F29F2"/>
    <w:rsid w:val="004F32E8"/>
    <w:rsid w:val="004F4039"/>
    <w:rsid w:val="004F4932"/>
    <w:rsid w:val="004F4B72"/>
    <w:rsid w:val="004F5142"/>
    <w:rsid w:val="004F51AF"/>
    <w:rsid w:val="004F52AA"/>
    <w:rsid w:val="004F562B"/>
    <w:rsid w:val="004F56D3"/>
    <w:rsid w:val="004F5A4F"/>
    <w:rsid w:val="004F5E99"/>
    <w:rsid w:val="004F5F07"/>
    <w:rsid w:val="004F5F1B"/>
    <w:rsid w:val="004F647A"/>
    <w:rsid w:val="004F6FB0"/>
    <w:rsid w:val="005000E1"/>
    <w:rsid w:val="00501AA8"/>
    <w:rsid w:val="00501BAE"/>
    <w:rsid w:val="00501F39"/>
    <w:rsid w:val="00502455"/>
    <w:rsid w:val="00502E9D"/>
    <w:rsid w:val="00503D99"/>
    <w:rsid w:val="0050423D"/>
    <w:rsid w:val="0050439C"/>
    <w:rsid w:val="005046B9"/>
    <w:rsid w:val="005049C3"/>
    <w:rsid w:val="005049FA"/>
    <w:rsid w:val="005055DD"/>
    <w:rsid w:val="0050623B"/>
    <w:rsid w:val="005064E6"/>
    <w:rsid w:val="0050664C"/>
    <w:rsid w:val="005067EC"/>
    <w:rsid w:val="00506870"/>
    <w:rsid w:val="00506BE8"/>
    <w:rsid w:val="005072D7"/>
    <w:rsid w:val="00507414"/>
    <w:rsid w:val="00507AA5"/>
    <w:rsid w:val="00507D34"/>
    <w:rsid w:val="005102D3"/>
    <w:rsid w:val="00510B5F"/>
    <w:rsid w:val="00510D45"/>
    <w:rsid w:val="00511037"/>
    <w:rsid w:val="005115E7"/>
    <w:rsid w:val="00511B03"/>
    <w:rsid w:val="00511C57"/>
    <w:rsid w:val="00511DDB"/>
    <w:rsid w:val="00511F3E"/>
    <w:rsid w:val="00512117"/>
    <w:rsid w:val="00513A79"/>
    <w:rsid w:val="00513D75"/>
    <w:rsid w:val="00514E81"/>
    <w:rsid w:val="005154CD"/>
    <w:rsid w:val="00515AA7"/>
    <w:rsid w:val="0051767D"/>
    <w:rsid w:val="00520222"/>
    <w:rsid w:val="00520450"/>
    <w:rsid w:val="00520AC0"/>
    <w:rsid w:val="00520B01"/>
    <w:rsid w:val="00520B33"/>
    <w:rsid w:val="00521A46"/>
    <w:rsid w:val="00521BAD"/>
    <w:rsid w:val="00521F51"/>
    <w:rsid w:val="005225B1"/>
    <w:rsid w:val="0052265A"/>
    <w:rsid w:val="0052291E"/>
    <w:rsid w:val="00522E09"/>
    <w:rsid w:val="0052402B"/>
    <w:rsid w:val="00524C5E"/>
    <w:rsid w:val="00526222"/>
    <w:rsid w:val="00526606"/>
    <w:rsid w:val="00526A6F"/>
    <w:rsid w:val="00530079"/>
    <w:rsid w:val="00530980"/>
    <w:rsid w:val="00531348"/>
    <w:rsid w:val="00531749"/>
    <w:rsid w:val="00531E2B"/>
    <w:rsid w:val="00531E76"/>
    <w:rsid w:val="00532480"/>
    <w:rsid w:val="00532EF3"/>
    <w:rsid w:val="00534185"/>
    <w:rsid w:val="00534392"/>
    <w:rsid w:val="00534641"/>
    <w:rsid w:val="00534A73"/>
    <w:rsid w:val="005353D3"/>
    <w:rsid w:val="005355E4"/>
    <w:rsid w:val="00535A5B"/>
    <w:rsid w:val="005360CC"/>
    <w:rsid w:val="00536B26"/>
    <w:rsid w:val="00537167"/>
    <w:rsid w:val="005407D1"/>
    <w:rsid w:val="00540D26"/>
    <w:rsid w:val="00540D2A"/>
    <w:rsid w:val="00540EAF"/>
    <w:rsid w:val="00541307"/>
    <w:rsid w:val="00541B8B"/>
    <w:rsid w:val="00542842"/>
    <w:rsid w:val="0054312A"/>
    <w:rsid w:val="0054370A"/>
    <w:rsid w:val="00543885"/>
    <w:rsid w:val="00544B75"/>
    <w:rsid w:val="00545A6F"/>
    <w:rsid w:val="00545FC3"/>
    <w:rsid w:val="00545FE3"/>
    <w:rsid w:val="0054627E"/>
    <w:rsid w:val="00546591"/>
    <w:rsid w:val="00546A25"/>
    <w:rsid w:val="00546D03"/>
    <w:rsid w:val="00547240"/>
    <w:rsid w:val="00547565"/>
    <w:rsid w:val="00547843"/>
    <w:rsid w:val="00547B56"/>
    <w:rsid w:val="00550DBD"/>
    <w:rsid w:val="00550F3D"/>
    <w:rsid w:val="00551F38"/>
    <w:rsid w:val="00551F78"/>
    <w:rsid w:val="005523E2"/>
    <w:rsid w:val="0055293F"/>
    <w:rsid w:val="00552944"/>
    <w:rsid w:val="00552A3A"/>
    <w:rsid w:val="005535C4"/>
    <w:rsid w:val="00553C2B"/>
    <w:rsid w:val="00553E28"/>
    <w:rsid w:val="0055475C"/>
    <w:rsid w:val="00554C4A"/>
    <w:rsid w:val="005554AE"/>
    <w:rsid w:val="00555D46"/>
    <w:rsid w:val="00556041"/>
    <w:rsid w:val="005561F9"/>
    <w:rsid w:val="00556CA6"/>
    <w:rsid w:val="00557B5C"/>
    <w:rsid w:val="00560364"/>
    <w:rsid w:val="00560733"/>
    <w:rsid w:val="00561208"/>
    <w:rsid w:val="00561A23"/>
    <w:rsid w:val="00561B4D"/>
    <w:rsid w:val="00561B94"/>
    <w:rsid w:val="0056212E"/>
    <w:rsid w:val="00562437"/>
    <w:rsid w:val="005633C0"/>
    <w:rsid w:val="0056451E"/>
    <w:rsid w:val="00564712"/>
    <w:rsid w:val="0056498B"/>
    <w:rsid w:val="00564A61"/>
    <w:rsid w:val="00564C2A"/>
    <w:rsid w:val="00564CE9"/>
    <w:rsid w:val="00564E78"/>
    <w:rsid w:val="00565015"/>
    <w:rsid w:val="005654AF"/>
    <w:rsid w:val="00565605"/>
    <w:rsid w:val="0056655D"/>
    <w:rsid w:val="005665E1"/>
    <w:rsid w:val="00566CC1"/>
    <w:rsid w:val="00566F90"/>
    <w:rsid w:val="0056744A"/>
    <w:rsid w:val="00567FC8"/>
    <w:rsid w:val="00571021"/>
    <w:rsid w:val="0057158A"/>
    <w:rsid w:val="0057166B"/>
    <w:rsid w:val="0057170C"/>
    <w:rsid w:val="0057214D"/>
    <w:rsid w:val="005723C8"/>
    <w:rsid w:val="0057267F"/>
    <w:rsid w:val="0057282A"/>
    <w:rsid w:val="00572991"/>
    <w:rsid w:val="0057307A"/>
    <w:rsid w:val="00573471"/>
    <w:rsid w:val="00573AC2"/>
    <w:rsid w:val="00573F33"/>
    <w:rsid w:val="005741A9"/>
    <w:rsid w:val="00575264"/>
    <w:rsid w:val="005756BD"/>
    <w:rsid w:val="00575D6B"/>
    <w:rsid w:val="00575E61"/>
    <w:rsid w:val="00577870"/>
    <w:rsid w:val="00580659"/>
    <w:rsid w:val="00580E9B"/>
    <w:rsid w:val="00581516"/>
    <w:rsid w:val="00581EBF"/>
    <w:rsid w:val="00582414"/>
    <w:rsid w:val="00582ED8"/>
    <w:rsid w:val="005831D7"/>
    <w:rsid w:val="00583367"/>
    <w:rsid w:val="00583824"/>
    <w:rsid w:val="005840E9"/>
    <w:rsid w:val="0058444C"/>
    <w:rsid w:val="00584492"/>
    <w:rsid w:val="005847F5"/>
    <w:rsid w:val="0058617A"/>
    <w:rsid w:val="005861FA"/>
    <w:rsid w:val="00586C77"/>
    <w:rsid w:val="00586E9E"/>
    <w:rsid w:val="00586F1B"/>
    <w:rsid w:val="0059070A"/>
    <w:rsid w:val="005916CE"/>
    <w:rsid w:val="00591B17"/>
    <w:rsid w:val="00591D5A"/>
    <w:rsid w:val="005925E6"/>
    <w:rsid w:val="00592A30"/>
    <w:rsid w:val="00592A7C"/>
    <w:rsid w:val="00592C8E"/>
    <w:rsid w:val="00593CCA"/>
    <w:rsid w:val="00593E06"/>
    <w:rsid w:val="00594D41"/>
    <w:rsid w:val="00595511"/>
    <w:rsid w:val="00595633"/>
    <w:rsid w:val="00595AA5"/>
    <w:rsid w:val="00595ADD"/>
    <w:rsid w:val="00595CBA"/>
    <w:rsid w:val="00595D4B"/>
    <w:rsid w:val="00595E5F"/>
    <w:rsid w:val="00596603"/>
    <w:rsid w:val="00596A85"/>
    <w:rsid w:val="00597741"/>
    <w:rsid w:val="005979B0"/>
    <w:rsid w:val="00597EF3"/>
    <w:rsid w:val="005A099D"/>
    <w:rsid w:val="005A0B08"/>
    <w:rsid w:val="005A1636"/>
    <w:rsid w:val="005A2508"/>
    <w:rsid w:val="005A28AE"/>
    <w:rsid w:val="005A2E57"/>
    <w:rsid w:val="005A370E"/>
    <w:rsid w:val="005A3BDC"/>
    <w:rsid w:val="005A51E1"/>
    <w:rsid w:val="005A55F6"/>
    <w:rsid w:val="005A5AA4"/>
    <w:rsid w:val="005A5CAE"/>
    <w:rsid w:val="005A5EA1"/>
    <w:rsid w:val="005A733C"/>
    <w:rsid w:val="005A74F3"/>
    <w:rsid w:val="005B0247"/>
    <w:rsid w:val="005B0838"/>
    <w:rsid w:val="005B0C78"/>
    <w:rsid w:val="005B0C8E"/>
    <w:rsid w:val="005B0E1F"/>
    <w:rsid w:val="005B11E4"/>
    <w:rsid w:val="005B1E7A"/>
    <w:rsid w:val="005B20AE"/>
    <w:rsid w:val="005B2BFF"/>
    <w:rsid w:val="005B2D90"/>
    <w:rsid w:val="005B2E76"/>
    <w:rsid w:val="005B3F82"/>
    <w:rsid w:val="005B5120"/>
    <w:rsid w:val="005B514E"/>
    <w:rsid w:val="005B5382"/>
    <w:rsid w:val="005B55D7"/>
    <w:rsid w:val="005B5918"/>
    <w:rsid w:val="005B5ADB"/>
    <w:rsid w:val="005B6F13"/>
    <w:rsid w:val="005B72B9"/>
    <w:rsid w:val="005B7A0A"/>
    <w:rsid w:val="005C0CD8"/>
    <w:rsid w:val="005C1163"/>
    <w:rsid w:val="005C1341"/>
    <w:rsid w:val="005C2175"/>
    <w:rsid w:val="005C22A1"/>
    <w:rsid w:val="005C2578"/>
    <w:rsid w:val="005C25E8"/>
    <w:rsid w:val="005C2D8B"/>
    <w:rsid w:val="005C3202"/>
    <w:rsid w:val="005C3B2F"/>
    <w:rsid w:val="005C3BD6"/>
    <w:rsid w:val="005C3DE7"/>
    <w:rsid w:val="005C49B1"/>
    <w:rsid w:val="005C5051"/>
    <w:rsid w:val="005C54BF"/>
    <w:rsid w:val="005C5C04"/>
    <w:rsid w:val="005C5E37"/>
    <w:rsid w:val="005C6E8F"/>
    <w:rsid w:val="005C7F40"/>
    <w:rsid w:val="005D0807"/>
    <w:rsid w:val="005D1106"/>
    <w:rsid w:val="005D263E"/>
    <w:rsid w:val="005D2787"/>
    <w:rsid w:val="005D29AD"/>
    <w:rsid w:val="005D2A80"/>
    <w:rsid w:val="005D2D5C"/>
    <w:rsid w:val="005D3A2A"/>
    <w:rsid w:val="005D585C"/>
    <w:rsid w:val="005D645A"/>
    <w:rsid w:val="005D718C"/>
    <w:rsid w:val="005D7354"/>
    <w:rsid w:val="005D77D7"/>
    <w:rsid w:val="005D79FC"/>
    <w:rsid w:val="005D7EDF"/>
    <w:rsid w:val="005E09B2"/>
    <w:rsid w:val="005E0DFF"/>
    <w:rsid w:val="005E1283"/>
    <w:rsid w:val="005E15AE"/>
    <w:rsid w:val="005E1949"/>
    <w:rsid w:val="005E1D17"/>
    <w:rsid w:val="005E1F80"/>
    <w:rsid w:val="005E208D"/>
    <w:rsid w:val="005E21A2"/>
    <w:rsid w:val="005E2E55"/>
    <w:rsid w:val="005E2F86"/>
    <w:rsid w:val="005E35A5"/>
    <w:rsid w:val="005E3EA5"/>
    <w:rsid w:val="005E417A"/>
    <w:rsid w:val="005E4310"/>
    <w:rsid w:val="005E4BC5"/>
    <w:rsid w:val="005E5574"/>
    <w:rsid w:val="005E6773"/>
    <w:rsid w:val="005E68ED"/>
    <w:rsid w:val="005E6F12"/>
    <w:rsid w:val="005E71F8"/>
    <w:rsid w:val="005E764C"/>
    <w:rsid w:val="005F0674"/>
    <w:rsid w:val="005F0EAD"/>
    <w:rsid w:val="005F0F26"/>
    <w:rsid w:val="005F12F4"/>
    <w:rsid w:val="005F2065"/>
    <w:rsid w:val="005F24C3"/>
    <w:rsid w:val="005F3004"/>
    <w:rsid w:val="005F320B"/>
    <w:rsid w:val="005F38E1"/>
    <w:rsid w:val="005F3E38"/>
    <w:rsid w:val="005F4299"/>
    <w:rsid w:val="005F4909"/>
    <w:rsid w:val="005F51B3"/>
    <w:rsid w:val="005F5264"/>
    <w:rsid w:val="005F5A77"/>
    <w:rsid w:val="005F5C60"/>
    <w:rsid w:val="005F5D21"/>
    <w:rsid w:val="005F61BD"/>
    <w:rsid w:val="005F61DB"/>
    <w:rsid w:val="005F67FE"/>
    <w:rsid w:val="005F68A7"/>
    <w:rsid w:val="005F7233"/>
    <w:rsid w:val="005F7256"/>
    <w:rsid w:val="005F7285"/>
    <w:rsid w:val="005F744D"/>
    <w:rsid w:val="005F750A"/>
    <w:rsid w:val="00600290"/>
    <w:rsid w:val="00600635"/>
    <w:rsid w:val="006012B9"/>
    <w:rsid w:val="00602914"/>
    <w:rsid w:val="00604621"/>
    <w:rsid w:val="00604BC3"/>
    <w:rsid w:val="00605441"/>
    <w:rsid w:val="00605DFB"/>
    <w:rsid w:val="006060F0"/>
    <w:rsid w:val="00606326"/>
    <w:rsid w:val="006064F0"/>
    <w:rsid w:val="00606840"/>
    <w:rsid w:val="006069F7"/>
    <w:rsid w:val="00606CBB"/>
    <w:rsid w:val="00607563"/>
    <w:rsid w:val="00607A31"/>
    <w:rsid w:val="00610726"/>
    <w:rsid w:val="00610914"/>
    <w:rsid w:val="006109C8"/>
    <w:rsid w:val="00610C25"/>
    <w:rsid w:val="00610F57"/>
    <w:rsid w:val="006112AD"/>
    <w:rsid w:val="006115B6"/>
    <w:rsid w:val="0061166A"/>
    <w:rsid w:val="00611B59"/>
    <w:rsid w:val="00612878"/>
    <w:rsid w:val="006129A5"/>
    <w:rsid w:val="00612DC8"/>
    <w:rsid w:val="00613898"/>
    <w:rsid w:val="0061404D"/>
    <w:rsid w:val="00615803"/>
    <w:rsid w:val="006163AC"/>
    <w:rsid w:val="006166B1"/>
    <w:rsid w:val="00616CA1"/>
    <w:rsid w:val="00617A19"/>
    <w:rsid w:val="00617ECA"/>
    <w:rsid w:val="00620ED0"/>
    <w:rsid w:val="006223EB"/>
    <w:rsid w:val="00622D2B"/>
    <w:rsid w:val="006236B0"/>
    <w:rsid w:val="00623A8C"/>
    <w:rsid w:val="00624526"/>
    <w:rsid w:val="00624D82"/>
    <w:rsid w:val="00624DD0"/>
    <w:rsid w:val="006260EB"/>
    <w:rsid w:val="0062673B"/>
    <w:rsid w:val="006268D3"/>
    <w:rsid w:val="00626BCD"/>
    <w:rsid w:val="00626DEB"/>
    <w:rsid w:val="00627098"/>
    <w:rsid w:val="0062768C"/>
    <w:rsid w:val="00627876"/>
    <w:rsid w:val="00627BDD"/>
    <w:rsid w:val="00627CE1"/>
    <w:rsid w:val="00627D81"/>
    <w:rsid w:val="00630431"/>
    <w:rsid w:val="00630584"/>
    <w:rsid w:val="00630FA2"/>
    <w:rsid w:val="0063142B"/>
    <w:rsid w:val="0063154C"/>
    <w:rsid w:val="0063179C"/>
    <w:rsid w:val="00631820"/>
    <w:rsid w:val="00631DFE"/>
    <w:rsid w:val="00631F01"/>
    <w:rsid w:val="00632A73"/>
    <w:rsid w:val="00633292"/>
    <w:rsid w:val="00634572"/>
    <w:rsid w:val="00634787"/>
    <w:rsid w:val="006349BF"/>
    <w:rsid w:val="00634AAE"/>
    <w:rsid w:val="006353B2"/>
    <w:rsid w:val="00635702"/>
    <w:rsid w:val="006359F9"/>
    <w:rsid w:val="00635EC8"/>
    <w:rsid w:val="006360B2"/>
    <w:rsid w:val="00637844"/>
    <w:rsid w:val="006378D6"/>
    <w:rsid w:val="00637F95"/>
    <w:rsid w:val="0064001B"/>
    <w:rsid w:val="00640166"/>
    <w:rsid w:val="00640BD6"/>
    <w:rsid w:val="00640F2E"/>
    <w:rsid w:val="00640F49"/>
    <w:rsid w:val="006412BA"/>
    <w:rsid w:val="00641C5E"/>
    <w:rsid w:val="00642AA5"/>
    <w:rsid w:val="00642FB0"/>
    <w:rsid w:val="006431D6"/>
    <w:rsid w:val="006437B8"/>
    <w:rsid w:val="00643F02"/>
    <w:rsid w:val="006440D2"/>
    <w:rsid w:val="00644E65"/>
    <w:rsid w:val="00644F51"/>
    <w:rsid w:val="00645960"/>
    <w:rsid w:val="006462BD"/>
    <w:rsid w:val="006464DF"/>
    <w:rsid w:val="006472CB"/>
    <w:rsid w:val="00647E4B"/>
    <w:rsid w:val="00650A9A"/>
    <w:rsid w:val="00651163"/>
    <w:rsid w:val="00651664"/>
    <w:rsid w:val="00651723"/>
    <w:rsid w:val="00652270"/>
    <w:rsid w:val="0065354C"/>
    <w:rsid w:val="00653715"/>
    <w:rsid w:val="00653829"/>
    <w:rsid w:val="00653AA0"/>
    <w:rsid w:val="00654EAD"/>
    <w:rsid w:val="00655854"/>
    <w:rsid w:val="00655AE6"/>
    <w:rsid w:val="006560E0"/>
    <w:rsid w:val="00656894"/>
    <w:rsid w:val="00656CDA"/>
    <w:rsid w:val="00656E85"/>
    <w:rsid w:val="00657DA2"/>
    <w:rsid w:val="0066035C"/>
    <w:rsid w:val="00660AA1"/>
    <w:rsid w:val="0066102E"/>
    <w:rsid w:val="006613C9"/>
    <w:rsid w:val="0066145D"/>
    <w:rsid w:val="006620D5"/>
    <w:rsid w:val="006625D4"/>
    <w:rsid w:val="00662EFE"/>
    <w:rsid w:val="006632A0"/>
    <w:rsid w:val="006632D4"/>
    <w:rsid w:val="0066391F"/>
    <w:rsid w:val="00663C73"/>
    <w:rsid w:val="00663DA0"/>
    <w:rsid w:val="00663EB0"/>
    <w:rsid w:val="00664113"/>
    <w:rsid w:val="006645C4"/>
    <w:rsid w:val="0066469E"/>
    <w:rsid w:val="006649D2"/>
    <w:rsid w:val="00664D28"/>
    <w:rsid w:val="0066584F"/>
    <w:rsid w:val="00665B4D"/>
    <w:rsid w:val="006662CC"/>
    <w:rsid w:val="006664B8"/>
    <w:rsid w:val="006668EF"/>
    <w:rsid w:val="00666ECD"/>
    <w:rsid w:val="0066739B"/>
    <w:rsid w:val="0066747E"/>
    <w:rsid w:val="006675CB"/>
    <w:rsid w:val="0066783F"/>
    <w:rsid w:val="00670323"/>
    <w:rsid w:val="00670824"/>
    <w:rsid w:val="00670C93"/>
    <w:rsid w:val="00670EB5"/>
    <w:rsid w:val="006711D5"/>
    <w:rsid w:val="00671FBC"/>
    <w:rsid w:val="00673572"/>
    <w:rsid w:val="00674C5D"/>
    <w:rsid w:val="00674D79"/>
    <w:rsid w:val="00674FC1"/>
    <w:rsid w:val="0067559E"/>
    <w:rsid w:val="00675E6E"/>
    <w:rsid w:val="006763B9"/>
    <w:rsid w:val="006769E4"/>
    <w:rsid w:val="00676BD0"/>
    <w:rsid w:val="00676FD6"/>
    <w:rsid w:val="00677417"/>
    <w:rsid w:val="0067785A"/>
    <w:rsid w:val="00677BDD"/>
    <w:rsid w:val="00680967"/>
    <w:rsid w:val="00681A69"/>
    <w:rsid w:val="006823FD"/>
    <w:rsid w:val="006826A8"/>
    <w:rsid w:val="00682C43"/>
    <w:rsid w:val="00682E24"/>
    <w:rsid w:val="00682FCB"/>
    <w:rsid w:val="00683327"/>
    <w:rsid w:val="006834A9"/>
    <w:rsid w:val="0068394A"/>
    <w:rsid w:val="00683A29"/>
    <w:rsid w:val="006843E7"/>
    <w:rsid w:val="00684582"/>
    <w:rsid w:val="00685034"/>
    <w:rsid w:val="00685179"/>
    <w:rsid w:val="00685317"/>
    <w:rsid w:val="006857A0"/>
    <w:rsid w:val="00686572"/>
    <w:rsid w:val="00686C92"/>
    <w:rsid w:val="00686EED"/>
    <w:rsid w:val="0068762B"/>
    <w:rsid w:val="0069007E"/>
    <w:rsid w:val="00690157"/>
    <w:rsid w:val="006905DF"/>
    <w:rsid w:val="00690681"/>
    <w:rsid w:val="006907FA"/>
    <w:rsid w:val="00691206"/>
    <w:rsid w:val="00691966"/>
    <w:rsid w:val="0069209F"/>
    <w:rsid w:val="0069260C"/>
    <w:rsid w:val="00692C45"/>
    <w:rsid w:val="00692D94"/>
    <w:rsid w:val="00692DE2"/>
    <w:rsid w:val="00692E12"/>
    <w:rsid w:val="00693145"/>
    <w:rsid w:val="00693192"/>
    <w:rsid w:val="006931A7"/>
    <w:rsid w:val="0069388F"/>
    <w:rsid w:val="0069390B"/>
    <w:rsid w:val="00693F89"/>
    <w:rsid w:val="0069415E"/>
    <w:rsid w:val="006945DC"/>
    <w:rsid w:val="00695227"/>
    <w:rsid w:val="00695947"/>
    <w:rsid w:val="00695BDA"/>
    <w:rsid w:val="00696572"/>
    <w:rsid w:val="00696B17"/>
    <w:rsid w:val="00696E79"/>
    <w:rsid w:val="00697270"/>
    <w:rsid w:val="0069785D"/>
    <w:rsid w:val="006A09FB"/>
    <w:rsid w:val="006A0AC9"/>
    <w:rsid w:val="006A0D63"/>
    <w:rsid w:val="006A10E3"/>
    <w:rsid w:val="006A1B05"/>
    <w:rsid w:val="006A1EF0"/>
    <w:rsid w:val="006A1FC5"/>
    <w:rsid w:val="006A23A2"/>
    <w:rsid w:val="006A24DE"/>
    <w:rsid w:val="006A26E9"/>
    <w:rsid w:val="006A28C1"/>
    <w:rsid w:val="006A29D2"/>
    <w:rsid w:val="006A305E"/>
    <w:rsid w:val="006A3CE0"/>
    <w:rsid w:val="006A45CC"/>
    <w:rsid w:val="006A45E0"/>
    <w:rsid w:val="006A4C4B"/>
    <w:rsid w:val="006A4C51"/>
    <w:rsid w:val="006A4D01"/>
    <w:rsid w:val="006A51CD"/>
    <w:rsid w:val="006A6424"/>
    <w:rsid w:val="006A6DA5"/>
    <w:rsid w:val="006A7014"/>
    <w:rsid w:val="006A7026"/>
    <w:rsid w:val="006A72F5"/>
    <w:rsid w:val="006A730D"/>
    <w:rsid w:val="006A7695"/>
    <w:rsid w:val="006B00DF"/>
    <w:rsid w:val="006B01D6"/>
    <w:rsid w:val="006B0F38"/>
    <w:rsid w:val="006B0F6B"/>
    <w:rsid w:val="006B36A1"/>
    <w:rsid w:val="006B3B7E"/>
    <w:rsid w:val="006B3F61"/>
    <w:rsid w:val="006B4098"/>
    <w:rsid w:val="006B417D"/>
    <w:rsid w:val="006B4C80"/>
    <w:rsid w:val="006B51AA"/>
    <w:rsid w:val="006B690D"/>
    <w:rsid w:val="006B6C40"/>
    <w:rsid w:val="006B7067"/>
    <w:rsid w:val="006B7361"/>
    <w:rsid w:val="006C013B"/>
    <w:rsid w:val="006C19DB"/>
    <w:rsid w:val="006C1B55"/>
    <w:rsid w:val="006C1BB0"/>
    <w:rsid w:val="006C269B"/>
    <w:rsid w:val="006C2AB5"/>
    <w:rsid w:val="006C2F4A"/>
    <w:rsid w:val="006C2FF4"/>
    <w:rsid w:val="006C3415"/>
    <w:rsid w:val="006C3681"/>
    <w:rsid w:val="006C3BEB"/>
    <w:rsid w:val="006C3CC5"/>
    <w:rsid w:val="006C4500"/>
    <w:rsid w:val="006C488A"/>
    <w:rsid w:val="006C5019"/>
    <w:rsid w:val="006C53E5"/>
    <w:rsid w:val="006C54C7"/>
    <w:rsid w:val="006C578A"/>
    <w:rsid w:val="006C6988"/>
    <w:rsid w:val="006C6AE1"/>
    <w:rsid w:val="006C745F"/>
    <w:rsid w:val="006D0A7F"/>
    <w:rsid w:val="006D0C78"/>
    <w:rsid w:val="006D222C"/>
    <w:rsid w:val="006D231A"/>
    <w:rsid w:val="006D2914"/>
    <w:rsid w:val="006D2F68"/>
    <w:rsid w:val="006D3322"/>
    <w:rsid w:val="006D3993"/>
    <w:rsid w:val="006D413C"/>
    <w:rsid w:val="006D4345"/>
    <w:rsid w:val="006D4C12"/>
    <w:rsid w:val="006D5790"/>
    <w:rsid w:val="006D669D"/>
    <w:rsid w:val="006D6764"/>
    <w:rsid w:val="006D6A03"/>
    <w:rsid w:val="006D6B1D"/>
    <w:rsid w:val="006D7193"/>
    <w:rsid w:val="006D7446"/>
    <w:rsid w:val="006D780A"/>
    <w:rsid w:val="006D7C3B"/>
    <w:rsid w:val="006D7E20"/>
    <w:rsid w:val="006D7E2F"/>
    <w:rsid w:val="006D7FA7"/>
    <w:rsid w:val="006E0439"/>
    <w:rsid w:val="006E056E"/>
    <w:rsid w:val="006E0A2A"/>
    <w:rsid w:val="006E0AAE"/>
    <w:rsid w:val="006E148C"/>
    <w:rsid w:val="006E23EA"/>
    <w:rsid w:val="006E25AC"/>
    <w:rsid w:val="006E2DF5"/>
    <w:rsid w:val="006E33BE"/>
    <w:rsid w:val="006E4713"/>
    <w:rsid w:val="006E4879"/>
    <w:rsid w:val="006E506D"/>
    <w:rsid w:val="006E53D2"/>
    <w:rsid w:val="006E5561"/>
    <w:rsid w:val="006E55E0"/>
    <w:rsid w:val="006E6615"/>
    <w:rsid w:val="006E77F1"/>
    <w:rsid w:val="006E78AB"/>
    <w:rsid w:val="006E7EF0"/>
    <w:rsid w:val="006F02AA"/>
    <w:rsid w:val="006F0867"/>
    <w:rsid w:val="006F10D3"/>
    <w:rsid w:val="006F1455"/>
    <w:rsid w:val="006F15AB"/>
    <w:rsid w:val="006F180C"/>
    <w:rsid w:val="006F229D"/>
    <w:rsid w:val="006F27AA"/>
    <w:rsid w:val="006F33D7"/>
    <w:rsid w:val="006F3765"/>
    <w:rsid w:val="006F3C74"/>
    <w:rsid w:val="006F4135"/>
    <w:rsid w:val="006F416A"/>
    <w:rsid w:val="006F44F6"/>
    <w:rsid w:val="006F56E3"/>
    <w:rsid w:val="006F58AE"/>
    <w:rsid w:val="006F5A82"/>
    <w:rsid w:val="006F7F45"/>
    <w:rsid w:val="00700857"/>
    <w:rsid w:val="007010CA"/>
    <w:rsid w:val="00701199"/>
    <w:rsid w:val="007013DD"/>
    <w:rsid w:val="00701DFA"/>
    <w:rsid w:val="00701ED9"/>
    <w:rsid w:val="00702461"/>
    <w:rsid w:val="0070297E"/>
    <w:rsid w:val="00702DD5"/>
    <w:rsid w:val="0070329F"/>
    <w:rsid w:val="00703330"/>
    <w:rsid w:val="00703378"/>
    <w:rsid w:val="00704EC6"/>
    <w:rsid w:val="00704EFB"/>
    <w:rsid w:val="00705091"/>
    <w:rsid w:val="00705469"/>
    <w:rsid w:val="00705A31"/>
    <w:rsid w:val="00705FA9"/>
    <w:rsid w:val="00706693"/>
    <w:rsid w:val="007067E4"/>
    <w:rsid w:val="00706D42"/>
    <w:rsid w:val="00706E5F"/>
    <w:rsid w:val="0070700E"/>
    <w:rsid w:val="00707041"/>
    <w:rsid w:val="00707070"/>
    <w:rsid w:val="0070759D"/>
    <w:rsid w:val="00707E37"/>
    <w:rsid w:val="00710144"/>
    <w:rsid w:val="00710F6E"/>
    <w:rsid w:val="0071194C"/>
    <w:rsid w:val="00711B1D"/>
    <w:rsid w:val="007126C4"/>
    <w:rsid w:val="00713580"/>
    <w:rsid w:val="00713AD1"/>
    <w:rsid w:val="00713D05"/>
    <w:rsid w:val="00713E41"/>
    <w:rsid w:val="007140F2"/>
    <w:rsid w:val="0071421D"/>
    <w:rsid w:val="007146BF"/>
    <w:rsid w:val="00714A81"/>
    <w:rsid w:val="0071509B"/>
    <w:rsid w:val="0071573B"/>
    <w:rsid w:val="007158F3"/>
    <w:rsid w:val="00716300"/>
    <w:rsid w:val="007171F9"/>
    <w:rsid w:val="00717688"/>
    <w:rsid w:val="00717DD5"/>
    <w:rsid w:val="00717E3E"/>
    <w:rsid w:val="00720FEB"/>
    <w:rsid w:val="0072171B"/>
    <w:rsid w:val="007222DA"/>
    <w:rsid w:val="0072257E"/>
    <w:rsid w:val="00722919"/>
    <w:rsid w:val="0072299A"/>
    <w:rsid w:val="00722DAD"/>
    <w:rsid w:val="00723D39"/>
    <w:rsid w:val="00723DA7"/>
    <w:rsid w:val="00723F0A"/>
    <w:rsid w:val="00724848"/>
    <w:rsid w:val="007258DC"/>
    <w:rsid w:val="00726D6C"/>
    <w:rsid w:val="00727205"/>
    <w:rsid w:val="00727368"/>
    <w:rsid w:val="00727457"/>
    <w:rsid w:val="00730DC9"/>
    <w:rsid w:val="007311ED"/>
    <w:rsid w:val="0073141E"/>
    <w:rsid w:val="00731587"/>
    <w:rsid w:val="00731754"/>
    <w:rsid w:val="0073222A"/>
    <w:rsid w:val="007326F2"/>
    <w:rsid w:val="00733DAD"/>
    <w:rsid w:val="00733EFB"/>
    <w:rsid w:val="00734586"/>
    <w:rsid w:val="007353C5"/>
    <w:rsid w:val="00735449"/>
    <w:rsid w:val="0073560F"/>
    <w:rsid w:val="00735EDF"/>
    <w:rsid w:val="00736237"/>
    <w:rsid w:val="00736997"/>
    <w:rsid w:val="00736BF8"/>
    <w:rsid w:val="0073739D"/>
    <w:rsid w:val="007407C1"/>
    <w:rsid w:val="00740E9A"/>
    <w:rsid w:val="00740F9F"/>
    <w:rsid w:val="00741D80"/>
    <w:rsid w:val="0074214D"/>
    <w:rsid w:val="00742239"/>
    <w:rsid w:val="00742C46"/>
    <w:rsid w:val="00742EE3"/>
    <w:rsid w:val="00744705"/>
    <w:rsid w:val="00744F1F"/>
    <w:rsid w:val="0074526E"/>
    <w:rsid w:val="0074534A"/>
    <w:rsid w:val="00745402"/>
    <w:rsid w:val="0074549B"/>
    <w:rsid w:val="007455A9"/>
    <w:rsid w:val="0074565F"/>
    <w:rsid w:val="00746110"/>
    <w:rsid w:val="00746654"/>
    <w:rsid w:val="007469AC"/>
    <w:rsid w:val="00747126"/>
    <w:rsid w:val="0074716D"/>
    <w:rsid w:val="00747176"/>
    <w:rsid w:val="0074724E"/>
    <w:rsid w:val="00747989"/>
    <w:rsid w:val="00747A71"/>
    <w:rsid w:val="00747E74"/>
    <w:rsid w:val="0075024C"/>
    <w:rsid w:val="00750535"/>
    <w:rsid w:val="00750D29"/>
    <w:rsid w:val="0075218C"/>
    <w:rsid w:val="007521B9"/>
    <w:rsid w:val="00752415"/>
    <w:rsid w:val="0075242B"/>
    <w:rsid w:val="007526E6"/>
    <w:rsid w:val="00752BB4"/>
    <w:rsid w:val="007534AD"/>
    <w:rsid w:val="00753669"/>
    <w:rsid w:val="00754715"/>
    <w:rsid w:val="0075483A"/>
    <w:rsid w:val="0075490E"/>
    <w:rsid w:val="00754A1B"/>
    <w:rsid w:val="00755762"/>
    <w:rsid w:val="0075612B"/>
    <w:rsid w:val="007562BA"/>
    <w:rsid w:val="00756398"/>
    <w:rsid w:val="007572B9"/>
    <w:rsid w:val="007577C3"/>
    <w:rsid w:val="0075793B"/>
    <w:rsid w:val="00757C1A"/>
    <w:rsid w:val="00760398"/>
    <w:rsid w:val="007604EC"/>
    <w:rsid w:val="007605FF"/>
    <w:rsid w:val="00760C18"/>
    <w:rsid w:val="00760F24"/>
    <w:rsid w:val="00761908"/>
    <w:rsid w:val="00762C39"/>
    <w:rsid w:val="00763835"/>
    <w:rsid w:val="00763C66"/>
    <w:rsid w:val="00763E9B"/>
    <w:rsid w:val="00763FE5"/>
    <w:rsid w:val="00764071"/>
    <w:rsid w:val="007647AB"/>
    <w:rsid w:val="00764998"/>
    <w:rsid w:val="007649FC"/>
    <w:rsid w:val="0076656F"/>
    <w:rsid w:val="00766648"/>
    <w:rsid w:val="00766A31"/>
    <w:rsid w:val="00766D37"/>
    <w:rsid w:val="0076726E"/>
    <w:rsid w:val="00767352"/>
    <w:rsid w:val="0076755F"/>
    <w:rsid w:val="00767FEF"/>
    <w:rsid w:val="00770063"/>
    <w:rsid w:val="00770074"/>
    <w:rsid w:val="007700C0"/>
    <w:rsid w:val="007704AB"/>
    <w:rsid w:val="00770707"/>
    <w:rsid w:val="00770746"/>
    <w:rsid w:val="00770F21"/>
    <w:rsid w:val="00771965"/>
    <w:rsid w:val="00771AC8"/>
    <w:rsid w:val="0077325E"/>
    <w:rsid w:val="0077331C"/>
    <w:rsid w:val="00773404"/>
    <w:rsid w:val="007743A8"/>
    <w:rsid w:val="007744F2"/>
    <w:rsid w:val="0077460B"/>
    <w:rsid w:val="00774911"/>
    <w:rsid w:val="00774E49"/>
    <w:rsid w:val="00774F41"/>
    <w:rsid w:val="007752E8"/>
    <w:rsid w:val="00775AB9"/>
    <w:rsid w:val="00776566"/>
    <w:rsid w:val="0077788A"/>
    <w:rsid w:val="00777CFC"/>
    <w:rsid w:val="00777F5D"/>
    <w:rsid w:val="00780D26"/>
    <w:rsid w:val="00780DB4"/>
    <w:rsid w:val="00781866"/>
    <w:rsid w:val="00781A3F"/>
    <w:rsid w:val="00781BE6"/>
    <w:rsid w:val="007822F9"/>
    <w:rsid w:val="0078235A"/>
    <w:rsid w:val="007824A4"/>
    <w:rsid w:val="0078267A"/>
    <w:rsid w:val="00783CB0"/>
    <w:rsid w:val="00783ED3"/>
    <w:rsid w:val="007857BF"/>
    <w:rsid w:val="00785CCF"/>
    <w:rsid w:val="0078617A"/>
    <w:rsid w:val="0078677C"/>
    <w:rsid w:val="007867F7"/>
    <w:rsid w:val="0078720B"/>
    <w:rsid w:val="007872E6"/>
    <w:rsid w:val="00787EFB"/>
    <w:rsid w:val="00790917"/>
    <w:rsid w:val="00790C14"/>
    <w:rsid w:val="007913CA"/>
    <w:rsid w:val="007917BD"/>
    <w:rsid w:val="00791BF2"/>
    <w:rsid w:val="00792500"/>
    <w:rsid w:val="00792619"/>
    <w:rsid w:val="007926D1"/>
    <w:rsid w:val="00792F5D"/>
    <w:rsid w:val="007932BC"/>
    <w:rsid w:val="0079496A"/>
    <w:rsid w:val="0079539B"/>
    <w:rsid w:val="007962E2"/>
    <w:rsid w:val="0079635D"/>
    <w:rsid w:val="007974E6"/>
    <w:rsid w:val="00797C98"/>
    <w:rsid w:val="007A199E"/>
    <w:rsid w:val="007A2158"/>
    <w:rsid w:val="007A27D5"/>
    <w:rsid w:val="007A376D"/>
    <w:rsid w:val="007A3ED2"/>
    <w:rsid w:val="007A43BA"/>
    <w:rsid w:val="007A4729"/>
    <w:rsid w:val="007A486B"/>
    <w:rsid w:val="007A5BC3"/>
    <w:rsid w:val="007A5C93"/>
    <w:rsid w:val="007A5D0C"/>
    <w:rsid w:val="007A6878"/>
    <w:rsid w:val="007A7406"/>
    <w:rsid w:val="007A7B19"/>
    <w:rsid w:val="007A7E9B"/>
    <w:rsid w:val="007B001F"/>
    <w:rsid w:val="007B010F"/>
    <w:rsid w:val="007B0314"/>
    <w:rsid w:val="007B0943"/>
    <w:rsid w:val="007B0AB4"/>
    <w:rsid w:val="007B113B"/>
    <w:rsid w:val="007B124C"/>
    <w:rsid w:val="007B17B5"/>
    <w:rsid w:val="007B18A4"/>
    <w:rsid w:val="007B1E40"/>
    <w:rsid w:val="007B20C0"/>
    <w:rsid w:val="007B2675"/>
    <w:rsid w:val="007B32EA"/>
    <w:rsid w:val="007B3B85"/>
    <w:rsid w:val="007B3F2F"/>
    <w:rsid w:val="007B457F"/>
    <w:rsid w:val="007B4AA7"/>
    <w:rsid w:val="007B4ACF"/>
    <w:rsid w:val="007B4B00"/>
    <w:rsid w:val="007B4F13"/>
    <w:rsid w:val="007B5605"/>
    <w:rsid w:val="007B65F4"/>
    <w:rsid w:val="007B67D5"/>
    <w:rsid w:val="007B7426"/>
    <w:rsid w:val="007B76A5"/>
    <w:rsid w:val="007B7787"/>
    <w:rsid w:val="007B796F"/>
    <w:rsid w:val="007C00B9"/>
    <w:rsid w:val="007C04B9"/>
    <w:rsid w:val="007C1077"/>
    <w:rsid w:val="007C16A9"/>
    <w:rsid w:val="007C1812"/>
    <w:rsid w:val="007C1871"/>
    <w:rsid w:val="007C188C"/>
    <w:rsid w:val="007C19B3"/>
    <w:rsid w:val="007C1C95"/>
    <w:rsid w:val="007C1FE0"/>
    <w:rsid w:val="007C2AF6"/>
    <w:rsid w:val="007C2C6D"/>
    <w:rsid w:val="007C3D69"/>
    <w:rsid w:val="007C3F5A"/>
    <w:rsid w:val="007C4311"/>
    <w:rsid w:val="007C45EB"/>
    <w:rsid w:val="007C491F"/>
    <w:rsid w:val="007C513C"/>
    <w:rsid w:val="007C61C9"/>
    <w:rsid w:val="007C6AB1"/>
    <w:rsid w:val="007C6CDF"/>
    <w:rsid w:val="007C79E8"/>
    <w:rsid w:val="007C7B99"/>
    <w:rsid w:val="007D046D"/>
    <w:rsid w:val="007D0F10"/>
    <w:rsid w:val="007D1B8F"/>
    <w:rsid w:val="007D1FFB"/>
    <w:rsid w:val="007D2235"/>
    <w:rsid w:val="007D2525"/>
    <w:rsid w:val="007D2620"/>
    <w:rsid w:val="007D3035"/>
    <w:rsid w:val="007D319F"/>
    <w:rsid w:val="007D31FE"/>
    <w:rsid w:val="007D3252"/>
    <w:rsid w:val="007D32EA"/>
    <w:rsid w:val="007D3359"/>
    <w:rsid w:val="007D3624"/>
    <w:rsid w:val="007D42F0"/>
    <w:rsid w:val="007D4AAE"/>
    <w:rsid w:val="007D4C8A"/>
    <w:rsid w:val="007D5D48"/>
    <w:rsid w:val="007D5EE1"/>
    <w:rsid w:val="007D6BAC"/>
    <w:rsid w:val="007D6C67"/>
    <w:rsid w:val="007D6F7A"/>
    <w:rsid w:val="007D6FBB"/>
    <w:rsid w:val="007D71F4"/>
    <w:rsid w:val="007D7515"/>
    <w:rsid w:val="007D785A"/>
    <w:rsid w:val="007D788B"/>
    <w:rsid w:val="007E00FE"/>
    <w:rsid w:val="007E0427"/>
    <w:rsid w:val="007E0C31"/>
    <w:rsid w:val="007E0EB3"/>
    <w:rsid w:val="007E18AE"/>
    <w:rsid w:val="007E2092"/>
    <w:rsid w:val="007E3E41"/>
    <w:rsid w:val="007E4916"/>
    <w:rsid w:val="007E4BAF"/>
    <w:rsid w:val="007E5FFC"/>
    <w:rsid w:val="007E6F06"/>
    <w:rsid w:val="007E6FFE"/>
    <w:rsid w:val="007E7E3A"/>
    <w:rsid w:val="007F0199"/>
    <w:rsid w:val="007F0C9C"/>
    <w:rsid w:val="007F11B0"/>
    <w:rsid w:val="007F139F"/>
    <w:rsid w:val="007F1C35"/>
    <w:rsid w:val="007F2C09"/>
    <w:rsid w:val="007F2D22"/>
    <w:rsid w:val="007F334D"/>
    <w:rsid w:val="007F3669"/>
    <w:rsid w:val="007F43AB"/>
    <w:rsid w:val="007F480F"/>
    <w:rsid w:val="007F48F3"/>
    <w:rsid w:val="007F49AF"/>
    <w:rsid w:val="007F57B4"/>
    <w:rsid w:val="007F5F08"/>
    <w:rsid w:val="007F651F"/>
    <w:rsid w:val="007F6672"/>
    <w:rsid w:val="007F6E59"/>
    <w:rsid w:val="007F6F70"/>
    <w:rsid w:val="007F708C"/>
    <w:rsid w:val="007F7B70"/>
    <w:rsid w:val="008000D5"/>
    <w:rsid w:val="00800329"/>
    <w:rsid w:val="0080083E"/>
    <w:rsid w:val="00800888"/>
    <w:rsid w:val="00800FB7"/>
    <w:rsid w:val="00801528"/>
    <w:rsid w:val="00801F0B"/>
    <w:rsid w:val="00802331"/>
    <w:rsid w:val="008027F0"/>
    <w:rsid w:val="0080288A"/>
    <w:rsid w:val="008028E0"/>
    <w:rsid w:val="00802B9C"/>
    <w:rsid w:val="00803708"/>
    <w:rsid w:val="00803A64"/>
    <w:rsid w:val="00803F9E"/>
    <w:rsid w:val="00804125"/>
    <w:rsid w:val="00804618"/>
    <w:rsid w:val="0080468F"/>
    <w:rsid w:val="00804C8B"/>
    <w:rsid w:val="00804E5E"/>
    <w:rsid w:val="00805A3C"/>
    <w:rsid w:val="00805B54"/>
    <w:rsid w:val="00806E71"/>
    <w:rsid w:val="0080709A"/>
    <w:rsid w:val="0080733E"/>
    <w:rsid w:val="00807456"/>
    <w:rsid w:val="0080745B"/>
    <w:rsid w:val="00807B70"/>
    <w:rsid w:val="008113F7"/>
    <w:rsid w:val="00811484"/>
    <w:rsid w:val="00812332"/>
    <w:rsid w:val="008125E7"/>
    <w:rsid w:val="00812865"/>
    <w:rsid w:val="00813EF9"/>
    <w:rsid w:val="0081412F"/>
    <w:rsid w:val="00814D21"/>
    <w:rsid w:val="008150B8"/>
    <w:rsid w:val="00815197"/>
    <w:rsid w:val="00815690"/>
    <w:rsid w:val="00815FD5"/>
    <w:rsid w:val="00816AAF"/>
    <w:rsid w:val="0081703D"/>
    <w:rsid w:val="008172B7"/>
    <w:rsid w:val="00817621"/>
    <w:rsid w:val="00817BF7"/>
    <w:rsid w:val="00820094"/>
    <w:rsid w:val="00820B9F"/>
    <w:rsid w:val="00820F99"/>
    <w:rsid w:val="0082131F"/>
    <w:rsid w:val="0082142B"/>
    <w:rsid w:val="00821489"/>
    <w:rsid w:val="008239FF"/>
    <w:rsid w:val="00823C47"/>
    <w:rsid w:val="0082433F"/>
    <w:rsid w:val="0082458C"/>
    <w:rsid w:val="00824650"/>
    <w:rsid w:val="008251E5"/>
    <w:rsid w:val="008260B3"/>
    <w:rsid w:val="0082629A"/>
    <w:rsid w:val="00826365"/>
    <w:rsid w:val="00826372"/>
    <w:rsid w:val="00826B13"/>
    <w:rsid w:val="00826C50"/>
    <w:rsid w:val="00826E97"/>
    <w:rsid w:val="00826FD3"/>
    <w:rsid w:val="0082726A"/>
    <w:rsid w:val="00827546"/>
    <w:rsid w:val="0082755C"/>
    <w:rsid w:val="00827CAB"/>
    <w:rsid w:val="00830154"/>
    <w:rsid w:val="00830793"/>
    <w:rsid w:val="008329E9"/>
    <w:rsid w:val="00832D27"/>
    <w:rsid w:val="008330D9"/>
    <w:rsid w:val="008337AD"/>
    <w:rsid w:val="00833A4E"/>
    <w:rsid w:val="00834000"/>
    <w:rsid w:val="008343E1"/>
    <w:rsid w:val="0083536B"/>
    <w:rsid w:val="00835A74"/>
    <w:rsid w:val="00835C72"/>
    <w:rsid w:val="00835CE1"/>
    <w:rsid w:val="008367E3"/>
    <w:rsid w:val="00840293"/>
    <w:rsid w:val="008410EE"/>
    <w:rsid w:val="00841428"/>
    <w:rsid w:val="008419B6"/>
    <w:rsid w:val="00842392"/>
    <w:rsid w:val="008427D7"/>
    <w:rsid w:val="00843037"/>
    <w:rsid w:val="008430D3"/>
    <w:rsid w:val="008432E5"/>
    <w:rsid w:val="0084331C"/>
    <w:rsid w:val="00844484"/>
    <w:rsid w:val="0084460D"/>
    <w:rsid w:val="008446C9"/>
    <w:rsid w:val="0084486D"/>
    <w:rsid w:val="00844A16"/>
    <w:rsid w:val="008457D4"/>
    <w:rsid w:val="00846762"/>
    <w:rsid w:val="008467FA"/>
    <w:rsid w:val="00846A66"/>
    <w:rsid w:val="00846C7B"/>
    <w:rsid w:val="00847126"/>
    <w:rsid w:val="0084785D"/>
    <w:rsid w:val="008479F2"/>
    <w:rsid w:val="00847C96"/>
    <w:rsid w:val="00850418"/>
    <w:rsid w:val="00850574"/>
    <w:rsid w:val="00850C6E"/>
    <w:rsid w:val="00850FA1"/>
    <w:rsid w:val="00851350"/>
    <w:rsid w:val="00851596"/>
    <w:rsid w:val="0085196D"/>
    <w:rsid w:val="00851A03"/>
    <w:rsid w:val="00851B90"/>
    <w:rsid w:val="00852130"/>
    <w:rsid w:val="008522C0"/>
    <w:rsid w:val="0085230E"/>
    <w:rsid w:val="00852BB4"/>
    <w:rsid w:val="00852ED6"/>
    <w:rsid w:val="00853AFE"/>
    <w:rsid w:val="00854A8D"/>
    <w:rsid w:val="008551C8"/>
    <w:rsid w:val="00855745"/>
    <w:rsid w:val="008557EF"/>
    <w:rsid w:val="00855B48"/>
    <w:rsid w:val="0085615B"/>
    <w:rsid w:val="00856CCC"/>
    <w:rsid w:val="00856E5B"/>
    <w:rsid w:val="00856E6E"/>
    <w:rsid w:val="00857B32"/>
    <w:rsid w:val="0086112C"/>
    <w:rsid w:val="008616E4"/>
    <w:rsid w:val="00861A41"/>
    <w:rsid w:val="00861BD0"/>
    <w:rsid w:val="00862180"/>
    <w:rsid w:val="0086291B"/>
    <w:rsid w:val="0086338F"/>
    <w:rsid w:val="00863D9D"/>
    <w:rsid w:val="00863FFA"/>
    <w:rsid w:val="00864242"/>
    <w:rsid w:val="00864D21"/>
    <w:rsid w:val="0086545D"/>
    <w:rsid w:val="00865AB2"/>
    <w:rsid w:val="00865D03"/>
    <w:rsid w:val="00865F6F"/>
    <w:rsid w:val="008668F4"/>
    <w:rsid w:val="00866FB4"/>
    <w:rsid w:val="00867650"/>
    <w:rsid w:val="00867692"/>
    <w:rsid w:val="0086770D"/>
    <w:rsid w:val="00867725"/>
    <w:rsid w:val="008709B8"/>
    <w:rsid w:val="00871078"/>
    <w:rsid w:val="00872002"/>
    <w:rsid w:val="0087242A"/>
    <w:rsid w:val="008726DA"/>
    <w:rsid w:val="00872FA1"/>
    <w:rsid w:val="00873279"/>
    <w:rsid w:val="00873353"/>
    <w:rsid w:val="008738AF"/>
    <w:rsid w:val="00873BAE"/>
    <w:rsid w:val="00873C9B"/>
    <w:rsid w:val="00873F69"/>
    <w:rsid w:val="008743EA"/>
    <w:rsid w:val="008752C3"/>
    <w:rsid w:val="0087563F"/>
    <w:rsid w:val="008759A5"/>
    <w:rsid w:val="00876071"/>
    <w:rsid w:val="00876079"/>
    <w:rsid w:val="00876DBB"/>
    <w:rsid w:val="00876DC8"/>
    <w:rsid w:val="0087746C"/>
    <w:rsid w:val="00877534"/>
    <w:rsid w:val="008775D4"/>
    <w:rsid w:val="00877DBD"/>
    <w:rsid w:val="00880AF2"/>
    <w:rsid w:val="00881D93"/>
    <w:rsid w:val="0088258F"/>
    <w:rsid w:val="008828F0"/>
    <w:rsid w:val="008830C6"/>
    <w:rsid w:val="00883522"/>
    <w:rsid w:val="0088380B"/>
    <w:rsid w:val="00883A8D"/>
    <w:rsid w:val="00883AD9"/>
    <w:rsid w:val="008845C2"/>
    <w:rsid w:val="008846B4"/>
    <w:rsid w:val="00884C35"/>
    <w:rsid w:val="0088545F"/>
    <w:rsid w:val="00885630"/>
    <w:rsid w:val="0088604C"/>
    <w:rsid w:val="008863E7"/>
    <w:rsid w:val="00886928"/>
    <w:rsid w:val="00886DD8"/>
    <w:rsid w:val="00886F3C"/>
    <w:rsid w:val="0088713E"/>
    <w:rsid w:val="008879C6"/>
    <w:rsid w:val="00890231"/>
    <w:rsid w:val="0089032E"/>
    <w:rsid w:val="00890E07"/>
    <w:rsid w:val="0089164C"/>
    <w:rsid w:val="00891871"/>
    <w:rsid w:val="00891922"/>
    <w:rsid w:val="00892333"/>
    <w:rsid w:val="00892EC4"/>
    <w:rsid w:val="00892F09"/>
    <w:rsid w:val="008936A2"/>
    <w:rsid w:val="00893DB2"/>
    <w:rsid w:val="008940F4"/>
    <w:rsid w:val="0089451E"/>
    <w:rsid w:val="0089453D"/>
    <w:rsid w:val="008948AB"/>
    <w:rsid w:val="00894EB8"/>
    <w:rsid w:val="00895C87"/>
    <w:rsid w:val="00895E61"/>
    <w:rsid w:val="0089629E"/>
    <w:rsid w:val="008965EA"/>
    <w:rsid w:val="00896BC6"/>
    <w:rsid w:val="00897081"/>
    <w:rsid w:val="008A04C5"/>
    <w:rsid w:val="008A0C13"/>
    <w:rsid w:val="008A0D8D"/>
    <w:rsid w:val="008A15C0"/>
    <w:rsid w:val="008A1CAE"/>
    <w:rsid w:val="008A1E5D"/>
    <w:rsid w:val="008A206B"/>
    <w:rsid w:val="008A214F"/>
    <w:rsid w:val="008A273F"/>
    <w:rsid w:val="008A2A01"/>
    <w:rsid w:val="008A2A1D"/>
    <w:rsid w:val="008A2A73"/>
    <w:rsid w:val="008A2BFC"/>
    <w:rsid w:val="008A3116"/>
    <w:rsid w:val="008A31B1"/>
    <w:rsid w:val="008A35CA"/>
    <w:rsid w:val="008A3643"/>
    <w:rsid w:val="008A3982"/>
    <w:rsid w:val="008A3BD5"/>
    <w:rsid w:val="008A4152"/>
    <w:rsid w:val="008A4501"/>
    <w:rsid w:val="008A4AE6"/>
    <w:rsid w:val="008A62A4"/>
    <w:rsid w:val="008A63D8"/>
    <w:rsid w:val="008A6B29"/>
    <w:rsid w:val="008A7087"/>
    <w:rsid w:val="008A7BBB"/>
    <w:rsid w:val="008B0371"/>
    <w:rsid w:val="008B066E"/>
    <w:rsid w:val="008B12C9"/>
    <w:rsid w:val="008B1324"/>
    <w:rsid w:val="008B139E"/>
    <w:rsid w:val="008B19ED"/>
    <w:rsid w:val="008B1A64"/>
    <w:rsid w:val="008B26A1"/>
    <w:rsid w:val="008B2818"/>
    <w:rsid w:val="008B2893"/>
    <w:rsid w:val="008B2DD1"/>
    <w:rsid w:val="008B3583"/>
    <w:rsid w:val="008B381F"/>
    <w:rsid w:val="008B3DD1"/>
    <w:rsid w:val="008B462A"/>
    <w:rsid w:val="008B471B"/>
    <w:rsid w:val="008B4C6A"/>
    <w:rsid w:val="008B567F"/>
    <w:rsid w:val="008B699A"/>
    <w:rsid w:val="008B6C26"/>
    <w:rsid w:val="008B74F3"/>
    <w:rsid w:val="008B7DC0"/>
    <w:rsid w:val="008C12D4"/>
    <w:rsid w:val="008C1474"/>
    <w:rsid w:val="008C165E"/>
    <w:rsid w:val="008C1A65"/>
    <w:rsid w:val="008C248C"/>
    <w:rsid w:val="008C2897"/>
    <w:rsid w:val="008C289D"/>
    <w:rsid w:val="008C3002"/>
    <w:rsid w:val="008C3836"/>
    <w:rsid w:val="008C3949"/>
    <w:rsid w:val="008C3D0A"/>
    <w:rsid w:val="008C3F26"/>
    <w:rsid w:val="008C41B1"/>
    <w:rsid w:val="008C42B6"/>
    <w:rsid w:val="008C4841"/>
    <w:rsid w:val="008C4928"/>
    <w:rsid w:val="008C5C05"/>
    <w:rsid w:val="008C5FF3"/>
    <w:rsid w:val="008C6601"/>
    <w:rsid w:val="008C6C13"/>
    <w:rsid w:val="008C70F2"/>
    <w:rsid w:val="008C7116"/>
    <w:rsid w:val="008C7DDE"/>
    <w:rsid w:val="008D0154"/>
    <w:rsid w:val="008D05BD"/>
    <w:rsid w:val="008D14DB"/>
    <w:rsid w:val="008D29EC"/>
    <w:rsid w:val="008D2C7B"/>
    <w:rsid w:val="008D2DCC"/>
    <w:rsid w:val="008D3A73"/>
    <w:rsid w:val="008D49B1"/>
    <w:rsid w:val="008D4ED8"/>
    <w:rsid w:val="008D4F47"/>
    <w:rsid w:val="008D51D4"/>
    <w:rsid w:val="008D528B"/>
    <w:rsid w:val="008D6231"/>
    <w:rsid w:val="008D6355"/>
    <w:rsid w:val="008D6414"/>
    <w:rsid w:val="008D6A31"/>
    <w:rsid w:val="008D7624"/>
    <w:rsid w:val="008D7B17"/>
    <w:rsid w:val="008E014E"/>
    <w:rsid w:val="008E03A1"/>
    <w:rsid w:val="008E0D0C"/>
    <w:rsid w:val="008E0FFC"/>
    <w:rsid w:val="008E1523"/>
    <w:rsid w:val="008E1538"/>
    <w:rsid w:val="008E1913"/>
    <w:rsid w:val="008E1FE1"/>
    <w:rsid w:val="008E2356"/>
    <w:rsid w:val="008E2A30"/>
    <w:rsid w:val="008E2BB5"/>
    <w:rsid w:val="008E3A31"/>
    <w:rsid w:val="008E3CF7"/>
    <w:rsid w:val="008E46A2"/>
    <w:rsid w:val="008E4D0D"/>
    <w:rsid w:val="008E4F07"/>
    <w:rsid w:val="008E5659"/>
    <w:rsid w:val="008E58E9"/>
    <w:rsid w:val="008E69AF"/>
    <w:rsid w:val="008E709E"/>
    <w:rsid w:val="008F0D02"/>
    <w:rsid w:val="008F0E82"/>
    <w:rsid w:val="008F0FEA"/>
    <w:rsid w:val="008F10F1"/>
    <w:rsid w:val="008F15F3"/>
    <w:rsid w:val="008F1B1B"/>
    <w:rsid w:val="008F1B43"/>
    <w:rsid w:val="008F1F39"/>
    <w:rsid w:val="008F226B"/>
    <w:rsid w:val="008F32E9"/>
    <w:rsid w:val="008F333A"/>
    <w:rsid w:val="008F3A6D"/>
    <w:rsid w:val="008F4255"/>
    <w:rsid w:val="008F44A2"/>
    <w:rsid w:val="008F46A9"/>
    <w:rsid w:val="008F59FD"/>
    <w:rsid w:val="008F5F88"/>
    <w:rsid w:val="008F5FD5"/>
    <w:rsid w:val="008F6FC2"/>
    <w:rsid w:val="008F7A90"/>
    <w:rsid w:val="0090042A"/>
    <w:rsid w:val="0090085F"/>
    <w:rsid w:val="00900B4E"/>
    <w:rsid w:val="00900DB6"/>
    <w:rsid w:val="00900F8F"/>
    <w:rsid w:val="0090172B"/>
    <w:rsid w:val="00901EDD"/>
    <w:rsid w:val="0090237A"/>
    <w:rsid w:val="009030F0"/>
    <w:rsid w:val="00903771"/>
    <w:rsid w:val="00903A9F"/>
    <w:rsid w:val="00904D08"/>
    <w:rsid w:val="009061B4"/>
    <w:rsid w:val="0090641D"/>
    <w:rsid w:val="00906670"/>
    <w:rsid w:val="00907799"/>
    <w:rsid w:val="00907A39"/>
    <w:rsid w:val="00907BA6"/>
    <w:rsid w:val="0091016B"/>
    <w:rsid w:val="009103B9"/>
    <w:rsid w:val="009105D9"/>
    <w:rsid w:val="0091092A"/>
    <w:rsid w:val="009117A1"/>
    <w:rsid w:val="009129AE"/>
    <w:rsid w:val="00912E42"/>
    <w:rsid w:val="009138A5"/>
    <w:rsid w:val="00914170"/>
    <w:rsid w:val="00914282"/>
    <w:rsid w:val="00914B2E"/>
    <w:rsid w:val="00914B8E"/>
    <w:rsid w:val="00914DD0"/>
    <w:rsid w:val="00914E7F"/>
    <w:rsid w:val="00915097"/>
    <w:rsid w:val="0091536C"/>
    <w:rsid w:val="00915702"/>
    <w:rsid w:val="0091592B"/>
    <w:rsid w:val="00915A44"/>
    <w:rsid w:val="00916B17"/>
    <w:rsid w:val="009177B5"/>
    <w:rsid w:val="00917CE9"/>
    <w:rsid w:val="00920FE9"/>
    <w:rsid w:val="009210A9"/>
    <w:rsid w:val="0092154E"/>
    <w:rsid w:val="009216A1"/>
    <w:rsid w:val="009223F8"/>
    <w:rsid w:val="009229F2"/>
    <w:rsid w:val="009232A5"/>
    <w:rsid w:val="00923869"/>
    <w:rsid w:val="00923AD7"/>
    <w:rsid w:val="00923DE7"/>
    <w:rsid w:val="00924194"/>
    <w:rsid w:val="00924422"/>
    <w:rsid w:val="0092478F"/>
    <w:rsid w:val="0092501E"/>
    <w:rsid w:val="009259C9"/>
    <w:rsid w:val="00925B7C"/>
    <w:rsid w:val="00925C5A"/>
    <w:rsid w:val="00925E5F"/>
    <w:rsid w:val="00925FB0"/>
    <w:rsid w:val="00926329"/>
    <w:rsid w:val="0092650E"/>
    <w:rsid w:val="009268AB"/>
    <w:rsid w:val="00926DE4"/>
    <w:rsid w:val="0092715A"/>
    <w:rsid w:val="0092750E"/>
    <w:rsid w:val="0093119C"/>
    <w:rsid w:val="00931725"/>
    <w:rsid w:val="00932326"/>
    <w:rsid w:val="00932B93"/>
    <w:rsid w:val="00932C2E"/>
    <w:rsid w:val="00932C8B"/>
    <w:rsid w:val="0093331E"/>
    <w:rsid w:val="00933B53"/>
    <w:rsid w:val="00934ABD"/>
    <w:rsid w:val="00935656"/>
    <w:rsid w:val="00935B79"/>
    <w:rsid w:val="00935D2F"/>
    <w:rsid w:val="00935DFE"/>
    <w:rsid w:val="00936080"/>
    <w:rsid w:val="00937153"/>
    <w:rsid w:val="009376BC"/>
    <w:rsid w:val="00937FD0"/>
    <w:rsid w:val="00940DE6"/>
    <w:rsid w:val="00942688"/>
    <w:rsid w:val="00942842"/>
    <w:rsid w:val="00942A25"/>
    <w:rsid w:val="00942A8F"/>
    <w:rsid w:val="00943380"/>
    <w:rsid w:val="0094413F"/>
    <w:rsid w:val="00944573"/>
    <w:rsid w:val="00944D35"/>
    <w:rsid w:val="00945799"/>
    <w:rsid w:val="0094597D"/>
    <w:rsid w:val="00945F41"/>
    <w:rsid w:val="009466C6"/>
    <w:rsid w:val="00950F0F"/>
    <w:rsid w:val="00951217"/>
    <w:rsid w:val="00951EE3"/>
    <w:rsid w:val="00952094"/>
    <w:rsid w:val="009530A0"/>
    <w:rsid w:val="00953965"/>
    <w:rsid w:val="00953FA9"/>
    <w:rsid w:val="0095449C"/>
    <w:rsid w:val="00954B72"/>
    <w:rsid w:val="00955BCB"/>
    <w:rsid w:val="00955E38"/>
    <w:rsid w:val="00956242"/>
    <w:rsid w:val="00956D53"/>
    <w:rsid w:val="0095725A"/>
    <w:rsid w:val="0095738C"/>
    <w:rsid w:val="0095739B"/>
    <w:rsid w:val="00960453"/>
    <w:rsid w:val="00960508"/>
    <w:rsid w:val="00960544"/>
    <w:rsid w:val="00960E79"/>
    <w:rsid w:val="00960EE8"/>
    <w:rsid w:val="0096128B"/>
    <w:rsid w:val="009613C0"/>
    <w:rsid w:val="009619A6"/>
    <w:rsid w:val="00961E78"/>
    <w:rsid w:val="00962046"/>
    <w:rsid w:val="0096224C"/>
    <w:rsid w:val="00962275"/>
    <w:rsid w:val="009628F9"/>
    <w:rsid w:val="00964127"/>
    <w:rsid w:val="00964A8B"/>
    <w:rsid w:val="00964F80"/>
    <w:rsid w:val="00966273"/>
    <w:rsid w:val="00970A94"/>
    <w:rsid w:val="00970F64"/>
    <w:rsid w:val="009710FC"/>
    <w:rsid w:val="0097292D"/>
    <w:rsid w:val="009732C6"/>
    <w:rsid w:val="009740CB"/>
    <w:rsid w:val="009743BD"/>
    <w:rsid w:val="00974831"/>
    <w:rsid w:val="00974D05"/>
    <w:rsid w:val="00975FEA"/>
    <w:rsid w:val="009768B0"/>
    <w:rsid w:val="00976AAD"/>
    <w:rsid w:val="00976B38"/>
    <w:rsid w:val="00976D09"/>
    <w:rsid w:val="00977287"/>
    <w:rsid w:val="009779D9"/>
    <w:rsid w:val="00977ADD"/>
    <w:rsid w:val="00977E9A"/>
    <w:rsid w:val="009806A7"/>
    <w:rsid w:val="009809E3"/>
    <w:rsid w:val="00980C19"/>
    <w:rsid w:val="00981086"/>
    <w:rsid w:val="00981927"/>
    <w:rsid w:val="00981C81"/>
    <w:rsid w:val="00982103"/>
    <w:rsid w:val="00982F76"/>
    <w:rsid w:val="009834A3"/>
    <w:rsid w:val="00983653"/>
    <w:rsid w:val="0098382C"/>
    <w:rsid w:val="00983FA7"/>
    <w:rsid w:val="0098421F"/>
    <w:rsid w:val="00984345"/>
    <w:rsid w:val="009843FC"/>
    <w:rsid w:val="0098465A"/>
    <w:rsid w:val="0098466E"/>
    <w:rsid w:val="00984933"/>
    <w:rsid w:val="00984E25"/>
    <w:rsid w:val="00985841"/>
    <w:rsid w:val="0098598F"/>
    <w:rsid w:val="0098767C"/>
    <w:rsid w:val="00987940"/>
    <w:rsid w:val="00987E88"/>
    <w:rsid w:val="00990039"/>
    <w:rsid w:val="00990932"/>
    <w:rsid w:val="00990E2D"/>
    <w:rsid w:val="00990E67"/>
    <w:rsid w:val="00991854"/>
    <w:rsid w:val="00991866"/>
    <w:rsid w:val="0099230F"/>
    <w:rsid w:val="00992739"/>
    <w:rsid w:val="00992D90"/>
    <w:rsid w:val="0099336F"/>
    <w:rsid w:val="00993B05"/>
    <w:rsid w:val="00993B19"/>
    <w:rsid w:val="00993FB4"/>
    <w:rsid w:val="00994BB6"/>
    <w:rsid w:val="0099521F"/>
    <w:rsid w:val="00995336"/>
    <w:rsid w:val="0099556B"/>
    <w:rsid w:val="00995713"/>
    <w:rsid w:val="00995796"/>
    <w:rsid w:val="00996493"/>
    <w:rsid w:val="00997A14"/>
    <w:rsid w:val="009A005D"/>
    <w:rsid w:val="009A053A"/>
    <w:rsid w:val="009A1135"/>
    <w:rsid w:val="009A12C4"/>
    <w:rsid w:val="009A18C3"/>
    <w:rsid w:val="009A1DF2"/>
    <w:rsid w:val="009A2478"/>
    <w:rsid w:val="009A26E0"/>
    <w:rsid w:val="009A2D3F"/>
    <w:rsid w:val="009A3587"/>
    <w:rsid w:val="009A3772"/>
    <w:rsid w:val="009A382F"/>
    <w:rsid w:val="009A4C15"/>
    <w:rsid w:val="009A52D5"/>
    <w:rsid w:val="009A5711"/>
    <w:rsid w:val="009A5943"/>
    <w:rsid w:val="009A59CB"/>
    <w:rsid w:val="009A5ED8"/>
    <w:rsid w:val="009A70CC"/>
    <w:rsid w:val="009A7753"/>
    <w:rsid w:val="009A7ADA"/>
    <w:rsid w:val="009A7C4C"/>
    <w:rsid w:val="009B008B"/>
    <w:rsid w:val="009B057E"/>
    <w:rsid w:val="009B084D"/>
    <w:rsid w:val="009B1823"/>
    <w:rsid w:val="009B18DC"/>
    <w:rsid w:val="009B222A"/>
    <w:rsid w:val="009B2ECB"/>
    <w:rsid w:val="009B350E"/>
    <w:rsid w:val="009B3E72"/>
    <w:rsid w:val="009B4271"/>
    <w:rsid w:val="009B497A"/>
    <w:rsid w:val="009B5012"/>
    <w:rsid w:val="009B5406"/>
    <w:rsid w:val="009B5495"/>
    <w:rsid w:val="009B6B52"/>
    <w:rsid w:val="009B6C92"/>
    <w:rsid w:val="009B6D71"/>
    <w:rsid w:val="009B6F95"/>
    <w:rsid w:val="009B70E6"/>
    <w:rsid w:val="009B718F"/>
    <w:rsid w:val="009B7DA7"/>
    <w:rsid w:val="009C0478"/>
    <w:rsid w:val="009C056E"/>
    <w:rsid w:val="009C0665"/>
    <w:rsid w:val="009C0B26"/>
    <w:rsid w:val="009C0DBB"/>
    <w:rsid w:val="009C143A"/>
    <w:rsid w:val="009C14E1"/>
    <w:rsid w:val="009C15EF"/>
    <w:rsid w:val="009C2490"/>
    <w:rsid w:val="009C2F46"/>
    <w:rsid w:val="009C3013"/>
    <w:rsid w:val="009C3388"/>
    <w:rsid w:val="009C4326"/>
    <w:rsid w:val="009C44B3"/>
    <w:rsid w:val="009C47A6"/>
    <w:rsid w:val="009C4C80"/>
    <w:rsid w:val="009C52B2"/>
    <w:rsid w:val="009C5315"/>
    <w:rsid w:val="009C5E77"/>
    <w:rsid w:val="009C6095"/>
    <w:rsid w:val="009C6CC5"/>
    <w:rsid w:val="009C6CC7"/>
    <w:rsid w:val="009C7ACA"/>
    <w:rsid w:val="009C7E03"/>
    <w:rsid w:val="009C7ED2"/>
    <w:rsid w:val="009D0420"/>
    <w:rsid w:val="009D05CF"/>
    <w:rsid w:val="009D0B27"/>
    <w:rsid w:val="009D17C3"/>
    <w:rsid w:val="009D1BD9"/>
    <w:rsid w:val="009D31BA"/>
    <w:rsid w:val="009D39A7"/>
    <w:rsid w:val="009D3CF6"/>
    <w:rsid w:val="009D3D23"/>
    <w:rsid w:val="009D43DE"/>
    <w:rsid w:val="009D4841"/>
    <w:rsid w:val="009D4DA0"/>
    <w:rsid w:val="009D4EB4"/>
    <w:rsid w:val="009D5152"/>
    <w:rsid w:val="009D520F"/>
    <w:rsid w:val="009D5330"/>
    <w:rsid w:val="009D634F"/>
    <w:rsid w:val="009D6BA7"/>
    <w:rsid w:val="009D76A3"/>
    <w:rsid w:val="009D7810"/>
    <w:rsid w:val="009D789D"/>
    <w:rsid w:val="009D7ACE"/>
    <w:rsid w:val="009D7E21"/>
    <w:rsid w:val="009E0276"/>
    <w:rsid w:val="009E1F80"/>
    <w:rsid w:val="009E2230"/>
    <w:rsid w:val="009E2730"/>
    <w:rsid w:val="009E2CEC"/>
    <w:rsid w:val="009E3065"/>
    <w:rsid w:val="009E313A"/>
    <w:rsid w:val="009E3861"/>
    <w:rsid w:val="009E470A"/>
    <w:rsid w:val="009E4BEB"/>
    <w:rsid w:val="009E5B7E"/>
    <w:rsid w:val="009E5CF6"/>
    <w:rsid w:val="009E678B"/>
    <w:rsid w:val="009F024A"/>
    <w:rsid w:val="009F049E"/>
    <w:rsid w:val="009F0913"/>
    <w:rsid w:val="009F0AF8"/>
    <w:rsid w:val="009F10F1"/>
    <w:rsid w:val="009F17C1"/>
    <w:rsid w:val="009F1860"/>
    <w:rsid w:val="009F2329"/>
    <w:rsid w:val="009F2415"/>
    <w:rsid w:val="009F3102"/>
    <w:rsid w:val="009F46D0"/>
    <w:rsid w:val="009F4FA4"/>
    <w:rsid w:val="009F4FDA"/>
    <w:rsid w:val="009F5026"/>
    <w:rsid w:val="009F539C"/>
    <w:rsid w:val="009F5505"/>
    <w:rsid w:val="009F63D4"/>
    <w:rsid w:val="009F7911"/>
    <w:rsid w:val="009F7A93"/>
    <w:rsid w:val="009F7D9B"/>
    <w:rsid w:val="00A00821"/>
    <w:rsid w:val="00A013B4"/>
    <w:rsid w:val="00A0158B"/>
    <w:rsid w:val="00A025AF"/>
    <w:rsid w:val="00A03DB9"/>
    <w:rsid w:val="00A040A6"/>
    <w:rsid w:val="00A040ED"/>
    <w:rsid w:val="00A0418A"/>
    <w:rsid w:val="00A043A6"/>
    <w:rsid w:val="00A0443C"/>
    <w:rsid w:val="00A044C0"/>
    <w:rsid w:val="00A04864"/>
    <w:rsid w:val="00A052AC"/>
    <w:rsid w:val="00A057F8"/>
    <w:rsid w:val="00A06965"/>
    <w:rsid w:val="00A06F06"/>
    <w:rsid w:val="00A0700E"/>
    <w:rsid w:val="00A07355"/>
    <w:rsid w:val="00A07A75"/>
    <w:rsid w:val="00A07BA4"/>
    <w:rsid w:val="00A07E91"/>
    <w:rsid w:val="00A10282"/>
    <w:rsid w:val="00A10A31"/>
    <w:rsid w:val="00A10EE3"/>
    <w:rsid w:val="00A115E1"/>
    <w:rsid w:val="00A11D8E"/>
    <w:rsid w:val="00A12204"/>
    <w:rsid w:val="00A12217"/>
    <w:rsid w:val="00A123E5"/>
    <w:rsid w:val="00A124C8"/>
    <w:rsid w:val="00A12648"/>
    <w:rsid w:val="00A1373B"/>
    <w:rsid w:val="00A13BD3"/>
    <w:rsid w:val="00A1427A"/>
    <w:rsid w:val="00A1427D"/>
    <w:rsid w:val="00A14471"/>
    <w:rsid w:val="00A14A8D"/>
    <w:rsid w:val="00A14AF7"/>
    <w:rsid w:val="00A15348"/>
    <w:rsid w:val="00A158D6"/>
    <w:rsid w:val="00A159B2"/>
    <w:rsid w:val="00A15E0A"/>
    <w:rsid w:val="00A164D9"/>
    <w:rsid w:val="00A165A3"/>
    <w:rsid w:val="00A16B98"/>
    <w:rsid w:val="00A16CF1"/>
    <w:rsid w:val="00A170DA"/>
    <w:rsid w:val="00A173DA"/>
    <w:rsid w:val="00A17797"/>
    <w:rsid w:val="00A177D7"/>
    <w:rsid w:val="00A17D08"/>
    <w:rsid w:val="00A2047D"/>
    <w:rsid w:val="00A20816"/>
    <w:rsid w:val="00A20D2D"/>
    <w:rsid w:val="00A20EA3"/>
    <w:rsid w:val="00A21257"/>
    <w:rsid w:val="00A21924"/>
    <w:rsid w:val="00A21A32"/>
    <w:rsid w:val="00A2211D"/>
    <w:rsid w:val="00A22772"/>
    <w:rsid w:val="00A227D4"/>
    <w:rsid w:val="00A2285C"/>
    <w:rsid w:val="00A238F3"/>
    <w:rsid w:val="00A23A92"/>
    <w:rsid w:val="00A240A3"/>
    <w:rsid w:val="00A24601"/>
    <w:rsid w:val="00A2473B"/>
    <w:rsid w:val="00A24D89"/>
    <w:rsid w:val="00A2500F"/>
    <w:rsid w:val="00A25272"/>
    <w:rsid w:val="00A257F9"/>
    <w:rsid w:val="00A259E9"/>
    <w:rsid w:val="00A2617E"/>
    <w:rsid w:val="00A271B1"/>
    <w:rsid w:val="00A27777"/>
    <w:rsid w:val="00A27F58"/>
    <w:rsid w:val="00A30794"/>
    <w:rsid w:val="00A30DA9"/>
    <w:rsid w:val="00A31ACE"/>
    <w:rsid w:val="00A31F3D"/>
    <w:rsid w:val="00A3238E"/>
    <w:rsid w:val="00A32491"/>
    <w:rsid w:val="00A3363C"/>
    <w:rsid w:val="00A33B70"/>
    <w:rsid w:val="00A33EB5"/>
    <w:rsid w:val="00A342A1"/>
    <w:rsid w:val="00A34363"/>
    <w:rsid w:val="00A344C7"/>
    <w:rsid w:val="00A3473A"/>
    <w:rsid w:val="00A34AC2"/>
    <w:rsid w:val="00A3564A"/>
    <w:rsid w:val="00A358B2"/>
    <w:rsid w:val="00A35AD4"/>
    <w:rsid w:val="00A3616B"/>
    <w:rsid w:val="00A36378"/>
    <w:rsid w:val="00A37074"/>
    <w:rsid w:val="00A3722F"/>
    <w:rsid w:val="00A37827"/>
    <w:rsid w:val="00A4043C"/>
    <w:rsid w:val="00A4080C"/>
    <w:rsid w:val="00A40DF4"/>
    <w:rsid w:val="00A41287"/>
    <w:rsid w:val="00A414EE"/>
    <w:rsid w:val="00A4298A"/>
    <w:rsid w:val="00A43970"/>
    <w:rsid w:val="00A43D64"/>
    <w:rsid w:val="00A44477"/>
    <w:rsid w:val="00A45344"/>
    <w:rsid w:val="00A4534F"/>
    <w:rsid w:val="00A45BD4"/>
    <w:rsid w:val="00A46DD5"/>
    <w:rsid w:val="00A47469"/>
    <w:rsid w:val="00A47B9B"/>
    <w:rsid w:val="00A47FE1"/>
    <w:rsid w:val="00A50832"/>
    <w:rsid w:val="00A50FA4"/>
    <w:rsid w:val="00A511C1"/>
    <w:rsid w:val="00A51202"/>
    <w:rsid w:val="00A512D3"/>
    <w:rsid w:val="00A51558"/>
    <w:rsid w:val="00A51DA1"/>
    <w:rsid w:val="00A51F04"/>
    <w:rsid w:val="00A5232B"/>
    <w:rsid w:val="00A52461"/>
    <w:rsid w:val="00A526EA"/>
    <w:rsid w:val="00A53153"/>
    <w:rsid w:val="00A540A4"/>
    <w:rsid w:val="00A54123"/>
    <w:rsid w:val="00A54A98"/>
    <w:rsid w:val="00A54B71"/>
    <w:rsid w:val="00A5587A"/>
    <w:rsid w:val="00A559A1"/>
    <w:rsid w:val="00A55BF0"/>
    <w:rsid w:val="00A5624A"/>
    <w:rsid w:val="00A5674A"/>
    <w:rsid w:val="00A56A52"/>
    <w:rsid w:val="00A60753"/>
    <w:rsid w:val="00A60FE2"/>
    <w:rsid w:val="00A610FD"/>
    <w:rsid w:val="00A61752"/>
    <w:rsid w:val="00A617EF"/>
    <w:rsid w:val="00A61F39"/>
    <w:rsid w:val="00A631AA"/>
    <w:rsid w:val="00A64620"/>
    <w:rsid w:val="00A64916"/>
    <w:rsid w:val="00A64CC8"/>
    <w:rsid w:val="00A64CFE"/>
    <w:rsid w:val="00A64DD0"/>
    <w:rsid w:val="00A65219"/>
    <w:rsid w:val="00A65A15"/>
    <w:rsid w:val="00A65C5B"/>
    <w:rsid w:val="00A66E87"/>
    <w:rsid w:val="00A673DB"/>
    <w:rsid w:val="00A67423"/>
    <w:rsid w:val="00A70D0C"/>
    <w:rsid w:val="00A70FFF"/>
    <w:rsid w:val="00A71F49"/>
    <w:rsid w:val="00A71F7D"/>
    <w:rsid w:val="00A73FC9"/>
    <w:rsid w:val="00A752A0"/>
    <w:rsid w:val="00A7581F"/>
    <w:rsid w:val="00A75AF8"/>
    <w:rsid w:val="00A76658"/>
    <w:rsid w:val="00A76666"/>
    <w:rsid w:val="00A7678C"/>
    <w:rsid w:val="00A768B2"/>
    <w:rsid w:val="00A77BEA"/>
    <w:rsid w:val="00A80432"/>
    <w:rsid w:val="00A80443"/>
    <w:rsid w:val="00A80BB1"/>
    <w:rsid w:val="00A81A95"/>
    <w:rsid w:val="00A82A4F"/>
    <w:rsid w:val="00A82ADA"/>
    <w:rsid w:val="00A8305E"/>
    <w:rsid w:val="00A83328"/>
    <w:rsid w:val="00A83608"/>
    <w:rsid w:val="00A839C8"/>
    <w:rsid w:val="00A83DD7"/>
    <w:rsid w:val="00A83FAD"/>
    <w:rsid w:val="00A845AA"/>
    <w:rsid w:val="00A84844"/>
    <w:rsid w:val="00A85602"/>
    <w:rsid w:val="00A85735"/>
    <w:rsid w:val="00A85CCB"/>
    <w:rsid w:val="00A85E6B"/>
    <w:rsid w:val="00A860E2"/>
    <w:rsid w:val="00A86896"/>
    <w:rsid w:val="00A86C28"/>
    <w:rsid w:val="00A86D69"/>
    <w:rsid w:val="00A870E6"/>
    <w:rsid w:val="00A8712C"/>
    <w:rsid w:val="00A8777E"/>
    <w:rsid w:val="00A90917"/>
    <w:rsid w:val="00A90BCE"/>
    <w:rsid w:val="00A90C29"/>
    <w:rsid w:val="00A90DD9"/>
    <w:rsid w:val="00A90F08"/>
    <w:rsid w:val="00A918BF"/>
    <w:rsid w:val="00A92249"/>
    <w:rsid w:val="00A93076"/>
    <w:rsid w:val="00A93248"/>
    <w:rsid w:val="00A938AF"/>
    <w:rsid w:val="00A949E3"/>
    <w:rsid w:val="00A95471"/>
    <w:rsid w:val="00A9555E"/>
    <w:rsid w:val="00A95971"/>
    <w:rsid w:val="00A9666C"/>
    <w:rsid w:val="00A96D2D"/>
    <w:rsid w:val="00A9747E"/>
    <w:rsid w:val="00A97B28"/>
    <w:rsid w:val="00AA02A2"/>
    <w:rsid w:val="00AA0315"/>
    <w:rsid w:val="00AA07CF"/>
    <w:rsid w:val="00AA0F32"/>
    <w:rsid w:val="00AA16E3"/>
    <w:rsid w:val="00AA23A9"/>
    <w:rsid w:val="00AA2AD1"/>
    <w:rsid w:val="00AA2C2E"/>
    <w:rsid w:val="00AA2FD9"/>
    <w:rsid w:val="00AA30F1"/>
    <w:rsid w:val="00AA3279"/>
    <w:rsid w:val="00AA3622"/>
    <w:rsid w:val="00AA45AD"/>
    <w:rsid w:val="00AA4E11"/>
    <w:rsid w:val="00AA5B8B"/>
    <w:rsid w:val="00AA5C00"/>
    <w:rsid w:val="00AA5EB7"/>
    <w:rsid w:val="00AA66DA"/>
    <w:rsid w:val="00AA6E1E"/>
    <w:rsid w:val="00AA6EAA"/>
    <w:rsid w:val="00AA762C"/>
    <w:rsid w:val="00AB0346"/>
    <w:rsid w:val="00AB0769"/>
    <w:rsid w:val="00AB0849"/>
    <w:rsid w:val="00AB0C0C"/>
    <w:rsid w:val="00AB2587"/>
    <w:rsid w:val="00AB2C17"/>
    <w:rsid w:val="00AB309C"/>
    <w:rsid w:val="00AB382B"/>
    <w:rsid w:val="00AB472F"/>
    <w:rsid w:val="00AB5042"/>
    <w:rsid w:val="00AB5089"/>
    <w:rsid w:val="00AB529E"/>
    <w:rsid w:val="00AB5947"/>
    <w:rsid w:val="00AB6320"/>
    <w:rsid w:val="00AB6EC1"/>
    <w:rsid w:val="00AB73CB"/>
    <w:rsid w:val="00AB7BE2"/>
    <w:rsid w:val="00AC1090"/>
    <w:rsid w:val="00AC32C9"/>
    <w:rsid w:val="00AC363F"/>
    <w:rsid w:val="00AC37EB"/>
    <w:rsid w:val="00AC3B42"/>
    <w:rsid w:val="00AC3F09"/>
    <w:rsid w:val="00AC408B"/>
    <w:rsid w:val="00AC46C4"/>
    <w:rsid w:val="00AC4E46"/>
    <w:rsid w:val="00AC4E4A"/>
    <w:rsid w:val="00AC4FC4"/>
    <w:rsid w:val="00AC508B"/>
    <w:rsid w:val="00AC57BF"/>
    <w:rsid w:val="00AC5D73"/>
    <w:rsid w:val="00AC6157"/>
    <w:rsid w:val="00AC61D5"/>
    <w:rsid w:val="00AC68AE"/>
    <w:rsid w:val="00AC69B6"/>
    <w:rsid w:val="00AC7132"/>
    <w:rsid w:val="00AC741A"/>
    <w:rsid w:val="00AC767F"/>
    <w:rsid w:val="00AD19DE"/>
    <w:rsid w:val="00AD20DB"/>
    <w:rsid w:val="00AD2235"/>
    <w:rsid w:val="00AD240C"/>
    <w:rsid w:val="00AD264E"/>
    <w:rsid w:val="00AD2670"/>
    <w:rsid w:val="00AD2CC2"/>
    <w:rsid w:val="00AD2F0F"/>
    <w:rsid w:val="00AD3553"/>
    <w:rsid w:val="00AD3A2F"/>
    <w:rsid w:val="00AD4392"/>
    <w:rsid w:val="00AD4DFB"/>
    <w:rsid w:val="00AD55B1"/>
    <w:rsid w:val="00AD5756"/>
    <w:rsid w:val="00AD63C1"/>
    <w:rsid w:val="00AD645C"/>
    <w:rsid w:val="00AE25A7"/>
    <w:rsid w:val="00AE36F0"/>
    <w:rsid w:val="00AE36FC"/>
    <w:rsid w:val="00AE3BB6"/>
    <w:rsid w:val="00AE54D8"/>
    <w:rsid w:val="00AE5892"/>
    <w:rsid w:val="00AE5BC9"/>
    <w:rsid w:val="00AE5DEC"/>
    <w:rsid w:val="00AE64C4"/>
    <w:rsid w:val="00AE72B1"/>
    <w:rsid w:val="00AE72CD"/>
    <w:rsid w:val="00AE7387"/>
    <w:rsid w:val="00AE7C93"/>
    <w:rsid w:val="00AE7EE4"/>
    <w:rsid w:val="00AE7F2C"/>
    <w:rsid w:val="00AE7F3A"/>
    <w:rsid w:val="00AF0300"/>
    <w:rsid w:val="00AF0E3A"/>
    <w:rsid w:val="00AF0F2F"/>
    <w:rsid w:val="00AF1E5D"/>
    <w:rsid w:val="00AF2030"/>
    <w:rsid w:val="00AF2177"/>
    <w:rsid w:val="00AF2FF8"/>
    <w:rsid w:val="00AF3296"/>
    <w:rsid w:val="00AF4B9C"/>
    <w:rsid w:val="00AF4CAA"/>
    <w:rsid w:val="00AF534C"/>
    <w:rsid w:val="00AF5422"/>
    <w:rsid w:val="00AF6BAE"/>
    <w:rsid w:val="00AF6F5A"/>
    <w:rsid w:val="00AF71C0"/>
    <w:rsid w:val="00B00815"/>
    <w:rsid w:val="00B00AF3"/>
    <w:rsid w:val="00B01188"/>
    <w:rsid w:val="00B01373"/>
    <w:rsid w:val="00B01C20"/>
    <w:rsid w:val="00B01E66"/>
    <w:rsid w:val="00B029F6"/>
    <w:rsid w:val="00B034A2"/>
    <w:rsid w:val="00B03BA1"/>
    <w:rsid w:val="00B058A7"/>
    <w:rsid w:val="00B0665D"/>
    <w:rsid w:val="00B06C71"/>
    <w:rsid w:val="00B07E6D"/>
    <w:rsid w:val="00B107C3"/>
    <w:rsid w:val="00B10BA9"/>
    <w:rsid w:val="00B10DED"/>
    <w:rsid w:val="00B110D2"/>
    <w:rsid w:val="00B1177F"/>
    <w:rsid w:val="00B11AD0"/>
    <w:rsid w:val="00B126C0"/>
    <w:rsid w:val="00B12C19"/>
    <w:rsid w:val="00B13353"/>
    <w:rsid w:val="00B13CA4"/>
    <w:rsid w:val="00B142F0"/>
    <w:rsid w:val="00B14555"/>
    <w:rsid w:val="00B14624"/>
    <w:rsid w:val="00B1514C"/>
    <w:rsid w:val="00B154BB"/>
    <w:rsid w:val="00B15A2F"/>
    <w:rsid w:val="00B16E1F"/>
    <w:rsid w:val="00B17773"/>
    <w:rsid w:val="00B20478"/>
    <w:rsid w:val="00B20556"/>
    <w:rsid w:val="00B20649"/>
    <w:rsid w:val="00B209F2"/>
    <w:rsid w:val="00B20AE6"/>
    <w:rsid w:val="00B20BBD"/>
    <w:rsid w:val="00B20D51"/>
    <w:rsid w:val="00B20FD1"/>
    <w:rsid w:val="00B215CE"/>
    <w:rsid w:val="00B21DA9"/>
    <w:rsid w:val="00B22566"/>
    <w:rsid w:val="00B2263B"/>
    <w:rsid w:val="00B226E6"/>
    <w:rsid w:val="00B228F2"/>
    <w:rsid w:val="00B23486"/>
    <w:rsid w:val="00B2402A"/>
    <w:rsid w:val="00B241A6"/>
    <w:rsid w:val="00B244E8"/>
    <w:rsid w:val="00B24908"/>
    <w:rsid w:val="00B24FA2"/>
    <w:rsid w:val="00B250ED"/>
    <w:rsid w:val="00B251A7"/>
    <w:rsid w:val="00B252BB"/>
    <w:rsid w:val="00B2613B"/>
    <w:rsid w:val="00B262AC"/>
    <w:rsid w:val="00B2667D"/>
    <w:rsid w:val="00B2690B"/>
    <w:rsid w:val="00B26A64"/>
    <w:rsid w:val="00B26B6D"/>
    <w:rsid w:val="00B26F7E"/>
    <w:rsid w:val="00B27599"/>
    <w:rsid w:val="00B275A2"/>
    <w:rsid w:val="00B27E9B"/>
    <w:rsid w:val="00B30143"/>
    <w:rsid w:val="00B301FF"/>
    <w:rsid w:val="00B30249"/>
    <w:rsid w:val="00B304E3"/>
    <w:rsid w:val="00B30565"/>
    <w:rsid w:val="00B3076B"/>
    <w:rsid w:val="00B31317"/>
    <w:rsid w:val="00B31743"/>
    <w:rsid w:val="00B31A95"/>
    <w:rsid w:val="00B31C44"/>
    <w:rsid w:val="00B31C94"/>
    <w:rsid w:val="00B31EA2"/>
    <w:rsid w:val="00B326DD"/>
    <w:rsid w:val="00B328DD"/>
    <w:rsid w:val="00B32EC5"/>
    <w:rsid w:val="00B33015"/>
    <w:rsid w:val="00B332D0"/>
    <w:rsid w:val="00B333D8"/>
    <w:rsid w:val="00B33517"/>
    <w:rsid w:val="00B33CD5"/>
    <w:rsid w:val="00B33CED"/>
    <w:rsid w:val="00B33FAF"/>
    <w:rsid w:val="00B343CC"/>
    <w:rsid w:val="00B34C35"/>
    <w:rsid w:val="00B3573B"/>
    <w:rsid w:val="00B35B53"/>
    <w:rsid w:val="00B36A8F"/>
    <w:rsid w:val="00B3714C"/>
    <w:rsid w:val="00B40C7F"/>
    <w:rsid w:val="00B40C97"/>
    <w:rsid w:val="00B40F83"/>
    <w:rsid w:val="00B41866"/>
    <w:rsid w:val="00B4198F"/>
    <w:rsid w:val="00B42322"/>
    <w:rsid w:val="00B428BF"/>
    <w:rsid w:val="00B42A9F"/>
    <w:rsid w:val="00B42E4C"/>
    <w:rsid w:val="00B42ED6"/>
    <w:rsid w:val="00B435F6"/>
    <w:rsid w:val="00B44286"/>
    <w:rsid w:val="00B446B2"/>
    <w:rsid w:val="00B4497C"/>
    <w:rsid w:val="00B44E6E"/>
    <w:rsid w:val="00B44F7E"/>
    <w:rsid w:val="00B45265"/>
    <w:rsid w:val="00B47113"/>
    <w:rsid w:val="00B47F2A"/>
    <w:rsid w:val="00B507BF"/>
    <w:rsid w:val="00B50AD5"/>
    <w:rsid w:val="00B50DE9"/>
    <w:rsid w:val="00B50F57"/>
    <w:rsid w:val="00B5130D"/>
    <w:rsid w:val="00B5151E"/>
    <w:rsid w:val="00B52C3A"/>
    <w:rsid w:val="00B52FDD"/>
    <w:rsid w:val="00B53126"/>
    <w:rsid w:val="00B5371F"/>
    <w:rsid w:val="00B53E8C"/>
    <w:rsid w:val="00B540F2"/>
    <w:rsid w:val="00B54567"/>
    <w:rsid w:val="00B5613B"/>
    <w:rsid w:val="00B56DCB"/>
    <w:rsid w:val="00B57864"/>
    <w:rsid w:val="00B57BA3"/>
    <w:rsid w:val="00B57E29"/>
    <w:rsid w:val="00B61430"/>
    <w:rsid w:val="00B619AB"/>
    <w:rsid w:val="00B61B19"/>
    <w:rsid w:val="00B62540"/>
    <w:rsid w:val="00B6263E"/>
    <w:rsid w:val="00B63542"/>
    <w:rsid w:val="00B635D2"/>
    <w:rsid w:val="00B636A2"/>
    <w:rsid w:val="00B63C13"/>
    <w:rsid w:val="00B63ECC"/>
    <w:rsid w:val="00B64AA2"/>
    <w:rsid w:val="00B65050"/>
    <w:rsid w:val="00B651B4"/>
    <w:rsid w:val="00B6592F"/>
    <w:rsid w:val="00B65F72"/>
    <w:rsid w:val="00B6719F"/>
    <w:rsid w:val="00B67C3F"/>
    <w:rsid w:val="00B703CD"/>
    <w:rsid w:val="00B7139C"/>
    <w:rsid w:val="00B71BA3"/>
    <w:rsid w:val="00B71CF4"/>
    <w:rsid w:val="00B72067"/>
    <w:rsid w:val="00B721A7"/>
    <w:rsid w:val="00B72846"/>
    <w:rsid w:val="00B72973"/>
    <w:rsid w:val="00B729F0"/>
    <w:rsid w:val="00B73992"/>
    <w:rsid w:val="00B7434B"/>
    <w:rsid w:val="00B7466C"/>
    <w:rsid w:val="00B746C7"/>
    <w:rsid w:val="00B74B6A"/>
    <w:rsid w:val="00B758D0"/>
    <w:rsid w:val="00B75A4C"/>
    <w:rsid w:val="00B75DB7"/>
    <w:rsid w:val="00B76116"/>
    <w:rsid w:val="00B769CF"/>
    <w:rsid w:val="00B76BE5"/>
    <w:rsid w:val="00B771E7"/>
    <w:rsid w:val="00B7756F"/>
    <w:rsid w:val="00B775BA"/>
    <w:rsid w:val="00B7763C"/>
    <w:rsid w:val="00B77735"/>
    <w:rsid w:val="00B80024"/>
    <w:rsid w:val="00B804A3"/>
    <w:rsid w:val="00B806A7"/>
    <w:rsid w:val="00B81059"/>
    <w:rsid w:val="00B813A0"/>
    <w:rsid w:val="00B817C3"/>
    <w:rsid w:val="00B819BE"/>
    <w:rsid w:val="00B8337D"/>
    <w:rsid w:val="00B8408A"/>
    <w:rsid w:val="00B847BE"/>
    <w:rsid w:val="00B84A17"/>
    <w:rsid w:val="00B85DDC"/>
    <w:rsid w:val="00B86C23"/>
    <w:rsid w:val="00B876DD"/>
    <w:rsid w:val="00B877AA"/>
    <w:rsid w:val="00B87CFA"/>
    <w:rsid w:val="00B87E17"/>
    <w:rsid w:val="00B9050E"/>
    <w:rsid w:val="00B90646"/>
    <w:rsid w:val="00B909E1"/>
    <w:rsid w:val="00B90CD5"/>
    <w:rsid w:val="00B90FAD"/>
    <w:rsid w:val="00B9101C"/>
    <w:rsid w:val="00B91130"/>
    <w:rsid w:val="00B91A33"/>
    <w:rsid w:val="00B91ABD"/>
    <w:rsid w:val="00B91AFC"/>
    <w:rsid w:val="00B91F6E"/>
    <w:rsid w:val="00B928E0"/>
    <w:rsid w:val="00B94971"/>
    <w:rsid w:val="00B94CE5"/>
    <w:rsid w:val="00B95AF3"/>
    <w:rsid w:val="00B95F13"/>
    <w:rsid w:val="00B96849"/>
    <w:rsid w:val="00B96ACD"/>
    <w:rsid w:val="00B96F0C"/>
    <w:rsid w:val="00B9717D"/>
    <w:rsid w:val="00B97BB1"/>
    <w:rsid w:val="00B97F4B"/>
    <w:rsid w:val="00BA05E3"/>
    <w:rsid w:val="00BA0E8A"/>
    <w:rsid w:val="00BA116E"/>
    <w:rsid w:val="00BA18CB"/>
    <w:rsid w:val="00BA1D50"/>
    <w:rsid w:val="00BA1E62"/>
    <w:rsid w:val="00BA22BB"/>
    <w:rsid w:val="00BA23FD"/>
    <w:rsid w:val="00BA2533"/>
    <w:rsid w:val="00BA2787"/>
    <w:rsid w:val="00BA2C78"/>
    <w:rsid w:val="00BA38B4"/>
    <w:rsid w:val="00BA3CB5"/>
    <w:rsid w:val="00BA4C7A"/>
    <w:rsid w:val="00BA558A"/>
    <w:rsid w:val="00BA5C48"/>
    <w:rsid w:val="00BA5D53"/>
    <w:rsid w:val="00BA6F15"/>
    <w:rsid w:val="00BA719A"/>
    <w:rsid w:val="00BA7EF0"/>
    <w:rsid w:val="00BA7F3D"/>
    <w:rsid w:val="00BB0088"/>
    <w:rsid w:val="00BB00AD"/>
    <w:rsid w:val="00BB0AF1"/>
    <w:rsid w:val="00BB10EC"/>
    <w:rsid w:val="00BB134D"/>
    <w:rsid w:val="00BB1540"/>
    <w:rsid w:val="00BB1749"/>
    <w:rsid w:val="00BB1A42"/>
    <w:rsid w:val="00BB1F74"/>
    <w:rsid w:val="00BB2340"/>
    <w:rsid w:val="00BB2814"/>
    <w:rsid w:val="00BB2B65"/>
    <w:rsid w:val="00BB3D12"/>
    <w:rsid w:val="00BB3E6F"/>
    <w:rsid w:val="00BB4FB6"/>
    <w:rsid w:val="00BB539E"/>
    <w:rsid w:val="00BB5942"/>
    <w:rsid w:val="00BB6147"/>
    <w:rsid w:val="00BB6EA7"/>
    <w:rsid w:val="00BB72CC"/>
    <w:rsid w:val="00BB75CB"/>
    <w:rsid w:val="00BB76F5"/>
    <w:rsid w:val="00BB77C0"/>
    <w:rsid w:val="00BC09BF"/>
    <w:rsid w:val="00BC0D69"/>
    <w:rsid w:val="00BC0E02"/>
    <w:rsid w:val="00BC20AD"/>
    <w:rsid w:val="00BC2F9E"/>
    <w:rsid w:val="00BC445D"/>
    <w:rsid w:val="00BC4BE8"/>
    <w:rsid w:val="00BC5112"/>
    <w:rsid w:val="00BC5C9D"/>
    <w:rsid w:val="00BC6311"/>
    <w:rsid w:val="00BC714D"/>
    <w:rsid w:val="00BC71D6"/>
    <w:rsid w:val="00BC7261"/>
    <w:rsid w:val="00BC7268"/>
    <w:rsid w:val="00BD068A"/>
    <w:rsid w:val="00BD09F1"/>
    <w:rsid w:val="00BD0BAB"/>
    <w:rsid w:val="00BD17B8"/>
    <w:rsid w:val="00BD1E63"/>
    <w:rsid w:val="00BD2061"/>
    <w:rsid w:val="00BD30FA"/>
    <w:rsid w:val="00BD3CF4"/>
    <w:rsid w:val="00BD47BF"/>
    <w:rsid w:val="00BD50FA"/>
    <w:rsid w:val="00BD51C2"/>
    <w:rsid w:val="00BD5665"/>
    <w:rsid w:val="00BD6221"/>
    <w:rsid w:val="00BD6786"/>
    <w:rsid w:val="00BD75AA"/>
    <w:rsid w:val="00BE06C0"/>
    <w:rsid w:val="00BE0D1C"/>
    <w:rsid w:val="00BE0DBE"/>
    <w:rsid w:val="00BE1EE7"/>
    <w:rsid w:val="00BE397F"/>
    <w:rsid w:val="00BE3CD6"/>
    <w:rsid w:val="00BE4A55"/>
    <w:rsid w:val="00BE4DE4"/>
    <w:rsid w:val="00BE529C"/>
    <w:rsid w:val="00BE5472"/>
    <w:rsid w:val="00BE55BD"/>
    <w:rsid w:val="00BE5B9F"/>
    <w:rsid w:val="00BE5D93"/>
    <w:rsid w:val="00BE6EDC"/>
    <w:rsid w:val="00BE77B1"/>
    <w:rsid w:val="00BE7EA3"/>
    <w:rsid w:val="00BF03CB"/>
    <w:rsid w:val="00BF0F54"/>
    <w:rsid w:val="00BF1030"/>
    <w:rsid w:val="00BF1D1B"/>
    <w:rsid w:val="00BF22E0"/>
    <w:rsid w:val="00BF3404"/>
    <w:rsid w:val="00BF385B"/>
    <w:rsid w:val="00BF3B8C"/>
    <w:rsid w:val="00BF3E02"/>
    <w:rsid w:val="00BF3E50"/>
    <w:rsid w:val="00BF3F8D"/>
    <w:rsid w:val="00BF4CA5"/>
    <w:rsid w:val="00BF4E4B"/>
    <w:rsid w:val="00BF4F00"/>
    <w:rsid w:val="00BF575F"/>
    <w:rsid w:val="00BF5F28"/>
    <w:rsid w:val="00BF61D9"/>
    <w:rsid w:val="00BF6683"/>
    <w:rsid w:val="00BF6A96"/>
    <w:rsid w:val="00BF6DC9"/>
    <w:rsid w:val="00BF7006"/>
    <w:rsid w:val="00BF7686"/>
    <w:rsid w:val="00BF794D"/>
    <w:rsid w:val="00BF7BFE"/>
    <w:rsid w:val="00BF7F25"/>
    <w:rsid w:val="00C00704"/>
    <w:rsid w:val="00C008A1"/>
    <w:rsid w:val="00C013AE"/>
    <w:rsid w:val="00C023AA"/>
    <w:rsid w:val="00C02ED3"/>
    <w:rsid w:val="00C02F61"/>
    <w:rsid w:val="00C03FC3"/>
    <w:rsid w:val="00C04DF2"/>
    <w:rsid w:val="00C04F9E"/>
    <w:rsid w:val="00C0579F"/>
    <w:rsid w:val="00C060A5"/>
    <w:rsid w:val="00C06549"/>
    <w:rsid w:val="00C066A1"/>
    <w:rsid w:val="00C06C37"/>
    <w:rsid w:val="00C10966"/>
    <w:rsid w:val="00C11450"/>
    <w:rsid w:val="00C11772"/>
    <w:rsid w:val="00C1187F"/>
    <w:rsid w:val="00C12343"/>
    <w:rsid w:val="00C12382"/>
    <w:rsid w:val="00C127DC"/>
    <w:rsid w:val="00C1285A"/>
    <w:rsid w:val="00C12B91"/>
    <w:rsid w:val="00C12C57"/>
    <w:rsid w:val="00C12FD4"/>
    <w:rsid w:val="00C13AA6"/>
    <w:rsid w:val="00C13C7B"/>
    <w:rsid w:val="00C13EA7"/>
    <w:rsid w:val="00C14863"/>
    <w:rsid w:val="00C1566C"/>
    <w:rsid w:val="00C15691"/>
    <w:rsid w:val="00C16B3B"/>
    <w:rsid w:val="00C16E67"/>
    <w:rsid w:val="00C172B4"/>
    <w:rsid w:val="00C176A4"/>
    <w:rsid w:val="00C178ED"/>
    <w:rsid w:val="00C20B92"/>
    <w:rsid w:val="00C210C2"/>
    <w:rsid w:val="00C22610"/>
    <w:rsid w:val="00C22631"/>
    <w:rsid w:val="00C23867"/>
    <w:rsid w:val="00C24026"/>
    <w:rsid w:val="00C24037"/>
    <w:rsid w:val="00C2469A"/>
    <w:rsid w:val="00C24C2A"/>
    <w:rsid w:val="00C255A9"/>
    <w:rsid w:val="00C25A01"/>
    <w:rsid w:val="00C25D7D"/>
    <w:rsid w:val="00C264AC"/>
    <w:rsid w:val="00C26758"/>
    <w:rsid w:val="00C269CD"/>
    <w:rsid w:val="00C27B2B"/>
    <w:rsid w:val="00C27D14"/>
    <w:rsid w:val="00C304B0"/>
    <w:rsid w:val="00C30803"/>
    <w:rsid w:val="00C31033"/>
    <w:rsid w:val="00C311C8"/>
    <w:rsid w:val="00C313EF"/>
    <w:rsid w:val="00C320F2"/>
    <w:rsid w:val="00C3223B"/>
    <w:rsid w:val="00C324A8"/>
    <w:rsid w:val="00C3291F"/>
    <w:rsid w:val="00C32BC8"/>
    <w:rsid w:val="00C33ADF"/>
    <w:rsid w:val="00C34BFF"/>
    <w:rsid w:val="00C34DCD"/>
    <w:rsid w:val="00C350AB"/>
    <w:rsid w:val="00C35309"/>
    <w:rsid w:val="00C35C7F"/>
    <w:rsid w:val="00C35FB0"/>
    <w:rsid w:val="00C36238"/>
    <w:rsid w:val="00C36353"/>
    <w:rsid w:val="00C36361"/>
    <w:rsid w:val="00C36EA0"/>
    <w:rsid w:val="00C36FA9"/>
    <w:rsid w:val="00C375E0"/>
    <w:rsid w:val="00C376AF"/>
    <w:rsid w:val="00C402C2"/>
    <w:rsid w:val="00C4144A"/>
    <w:rsid w:val="00C4188B"/>
    <w:rsid w:val="00C41A5D"/>
    <w:rsid w:val="00C41E52"/>
    <w:rsid w:val="00C423DF"/>
    <w:rsid w:val="00C431D4"/>
    <w:rsid w:val="00C4389B"/>
    <w:rsid w:val="00C44A65"/>
    <w:rsid w:val="00C45450"/>
    <w:rsid w:val="00C460E4"/>
    <w:rsid w:val="00C46295"/>
    <w:rsid w:val="00C46484"/>
    <w:rsid w:val="00C4691F"/>
    <w:rsid w:val="00C46BF3"/>
    <w:rsid w:val="00C46CD4"/>
    <w:rsid w:val="00C46E58"/>
    <w:rsid w:val="00C46FCF"/>
    <w:rsid w:val="00C50313"/>
    <w:rsid w:val="00C51004"/>
    <w:rsid w:val="00C5117B"/>
    <w:rsid w:val="00C51531"/>
    <w:rsid w:val="00C528FD"/>
    <w:rsid w:val="00C53DBC"/>
    <w:rsid w:val="00C546F9"/>
    <w:rsid w:val="00C54F8C"/>
    <w:rsid w:val="00C558D9"/>
    <w:rsid w:val="00C55E0A"/>
    <w:rsid w:val="00C55FA2"/>
    <w:rsid w:val="00C56008"/>
    <w:rsid w:val="00C56911"/>
    <w:rsid w:val="00C56929"/>
    <w:rsid w:val="00C56B57"/>
    <w:rsid w:val="00C56B72"/>
    <w:rsid w:val="00C56D24"/>
    <w:rsid w:val="00C5714A"/>
    <w:rsid w:val="00C57481"/>
    <w:rsid w:val="00C57816"/>
    <w:rsid w:val="00C57F63"/>
    <w:rsid w:val="00C60015"/>
    <w:rsid w:val="00C600A5"/>
    <w:rsid w:val="00C603CE"/>
    <w:rsid w:val="00C61142"/>
    <w:rsid w:val="00C61649"/>
    <w:rsid w:val="00C618B3"/>
    <w:rsid w:val="00C61EC4"/>
    <w:rsid w:val="00C62B9A"/>
    <w:rsid w:val="00C62DA7"/>
    <w:rsid w:val="00C63339"/>
    <w:rsid w:val="00C63F24"/>
    <w:rsid w:val="00C641B5"/>
    <w:rsid w:val="00C641BE"/>
    <w:rsid w:val="00C6441B"/>
    <w:rsid w:val="00C645BF"/>
    <w:rsid w:val="00C646EB"/>
    <w:rsid w:val="00C64A7F"/>
    <w:rsid w:val="00C6530A"/>
    <w:rsid w:val="00C655B8"/>
    <w:rsid w:val="00C656B3"/>
    <w:rsid w:val="00C65B80"/>
    <w:rsid w:val="00C65E0A"/>
    <w:rsid w:val="00C65FAB"/>
    <w:rsid w:val="00C667B5"/>
    <w:rsid w:val="00C66856"/>
    <w:rsid w:val="00C6698C"/>
    <w:rsid w:val="00C67DF5"/>
    <w:rsid w:val="00C709EE"/>
    <w:rsid w:val="00C70AE8"/>
    <w:rsid w:val="00C71B17"/>
    <w:rsid w:val="00C73004"/>
    <w:rsid w:val="00C73521"/>
    <w:rsid w:val="00C7352B"/>
    <w:rsid w:val="00C73F95"/>
    <w:rsid w:val="00C74B4D"/>
    <w:rsid w:val="00C74BD3"/>
    <w:rsid w:val="00C74C34"/>
    <w:rsid w:val="00C74F22"/>
    <w:rsid w:val="00C7574F"/>
    <w:rsid w:val="00C760A6"/>
    <w:rsid w:val="00C761E0"/>
    <w:rsid w:val="00C7707F"/>
    <w:rsid w:val="00C77242"/>
    <w:rsid w:val="00C80862"/>
    <w:rsid w:val="00C809C4"/>
    <w:rsid w:val="00C8164B"/>
    <w:rsid w:val="00C81761"/>
    <w:rsid w:val="00C822FA"/>
    <w:rsid w:val="00C82AD4"/>
    <w:rsid w:val="00C82CCE"/>
    <w:rsid w:val="00C833D1"/>
    <w:rsid w:val="00C834AB"/>
    <w:rsid w:val="00C83551"/>
    <w:rsid w:val="00C8363A"/>
    <w:rsid w:val="00C84085"/>
    <w:rsid w:val="00C8422C"/>
    <w:rsid w:val="00C84620"/>
    <w:rsid w:val="00C8516E"/>
    <w:rsid w:val="00C8576B"/>
    <w:rsid w:val="00C8682E"/>
    <w:rsid w:val="00C8689A"/>
    <w:rsid w:val="00C86A25"/>
    <w:rsid w:val="00C87D9C"/>
    <w:rsid w:val="00C90169"/>
    <w:rsid w:val="00C9041C"/>
    <w:rsid w:val="00C909BE"/>
    <w:rsid w:val="00C91D10"/>
    <w:rsid w:val="00C92AD4"/>
    <w:rsid w:val="00C937F5"/>
    <w:rsid w:val="00C94175"/>
    <w:rsid w:val="00C9438F"/>
    <w:rsid w:val="00C943B5"/>
    <w:rsid w:val="00C952E0"/>
    <w:rsid w:val="00C952F0"/>
    <w:rsid w:val="00C956DC"/>
    <w:rsid w:val="00C95C20"/>
    <w:rsid w:val="00C95CE4"/>
    <w:rsid w:val="00C96806"/>
    <w:rsid w:val="00C96D17"/>
    <w:rsid w:val="00C97B99"/>
    <w:rsid w:val="00C97CD8"/>
    <w:rsid w:val="00CA05C0"/>
    <w:rsid w:val="00CA1EFC"/>
    <w:rsid w:val="00CA1F9C"/>
    <w:rsid w:val="00CA224D"/>
    <w:rsid w:val="00CA2AAF"/>
    <w:rsid w:val="00CA39F9"/>
    <w:rsid w:val="00CA3ADD"/>
    <w:rsid w:val="00CA3D50"/>
    <w:rsid w:val="00CA4048"/>
    <w:rsid w:val="00CA41DD"/>
    <w:rsid w:val="00CA4449"/>
    <w:rsid w:val="00CA4B92"/>
    <w:rsid w:val="00CA614A"/>
    <w:rsid w:val="00CA64D5"/>
    <w:rsid w:val="00CA65D1"/>
    <w:rsid w:val="00CA6AA1"/>
    <w:rsid w:val="00CA6F26"/>
    <w:rsid w:val="00CA6FA6"/>
    <w:rsid w:val="00CA7017"/>
    <w:rsid w:val="00CA7831"/>
    <w:rsid w:val="00CA7AB6"/>
    <w:rsid w:val="00CA7B43"/>
    <w:rsid w:val="00CA7B85"/>
    <w:rsid w:val="00CA7E5C"/>
    <w:rsid w:val="00CA7E6E"/>
    <w:rsid w:val="00CB0B0F"/>
    <w:rsid w:val="00CB15BB"/>
    <w:rsid w:val="00CB1D5A"/>
    <w:rsid w:val="00CB1DA2"/>
    <w:rsid w:val="00CB1F66"/>
    <w:rsid w:val="00CB2B5F"/>
    <w:rsid w:val="00CB31EF"/>
    <w:rsid w:val="00CB342D"/>
    <w:rsid w:val="00CB3523"/>
    <w:rsid w:val="00CB3CA4"/>
    <w:rsid w:val="00CB4A71"/>
    <w:rsid w:val="00CB51BE"/>
    <w:rsid w:val="00CB5470"/>
    <w:rsid w:val="00CB57B7"/>
    <w:rsid w:val="00CB5A09"/>
    <w:rsid w:val="00CB668B"/>
    <w:rsid w:val="00CB73A4"/>
    <w:rsid w:val="00CC0685"/>
    <w:rsid w:val="00CC0D26"/>
    <w:rsid w:val="00CC1434"/>
    <w:rsid w:val="00CC2137"/>
    <w:rsid w:val="00CC29BA"/>
    <w:rsid w:val="00CC2B2D"/>
    <w:rsid w:val="00CC31E6"/>
    <w:rsid w:val="00CC336B"/>
    <w:rsid w:val="00CC3FAC"/>
    <w:rsid w:val="00CC4386"/>
    <w:rsid w:val="00CC50A0"/>
    <w:rsid w:val="00CC54DE"/>
    <w:rsid w:val="00CC5CA3"/>
    <w:rsid w:val="00CC6684"/>
    <w:rsid w:val="00CC7A30"/>
    <w:rsid w:val="00CC7BFE"/>
    <w:rsid w:val="00CC7D29"/>
    <w:rsid w:val="00CD13B9"/>
    <w:rsid w:val="00CD149C"/>
    <w:rsid w:val="00CD1B30"/>
    <w:rsid w:val="00CD1EDE"/>
    <w:rsid w:val="00CD25A0"/>
    <w:rsid w:val="00CD2DEB"/>
    <w:rsid w:val="00CD2EA4"/>
    <w:rsid w:val="00CD34AE"/>
    <w:rsid w:val="00CD3D68"/>
    <w:rsid w:val="00CD4529"/>
    <w:rsid w:val="00CD46A4"/>
    <w:rsid w:val="00CD49E0"/>
    <w:rsid w:val="00CD4EDF"/>
    <w:rsid w:val="00CD52E5"/>
    <w:rsid w:val="00CD5394"/>
    <w:rsid w:val="00CD55A7"/>
    <w:rsid w:val="00CD5A38"/>
    <w:rsid w:val="00CD5B41"/>
    <w:rsid w:val="00CD5D8D"/>
    <w:rsid w:val="00CD5E23"/>
    <w:rsid w:val="00CD6454"/>
    <w:rsid w:val="00CD6F05"/>
    <w:rsid w:val="00CE0838"/>
    <w:rsid w:val="00CE0C30"/>
    <w:rsid w:val="00CE10C4"/>
    <w:rsid w:val="00CE1FC8"/>
    <w:rsid w:val="00CE210C"/>
    <w:rsid w:val="00CE22E3"/>
    <w:rsid w:val="00CE29A4"/>
    <w:rsid w:val="00CE3A8B"/>
    <w:rsid w:val="00CE3B2E"/>
    <w:rsid w:val="00CE3C5F"/>
    <w:rsid w:val="00CE3F03"/>
    <w:rsid w:val="00CE479A"/>
    <w:rsid w:val="00CE4A12"/>
    <w:rsid w:val="00CE4B2C"/>
    <w:rsid w:val="00CE54CE"/>
    <w:rsid w:val="00CE559F"/>
    <w:rsid w:val="00CE58EB"/>
    <w:rsid w:val="00CE59C0"/>
    <w:rsid w:val="00CE5A56"/>
    <w:rsid w:val="00CE623D"/>
    <w:rsid w:val="00CE6767"/>
    <w:rsid w:val="00CE6E52"/>
    <w:rsid w:val="00CE71FB"/>
    <w:rsid w:val="00CE7A88"/>
    <w:rsid w:val="00CE7ADE"/>
    <w:rsid w:val="00CF054D"/>
    <w:rsid w:val="00CF09C1"/>
    <w:rsid w:val="00CF1063"/>
    <w:rsid w:val="00CF12CD"/>
    <w:rsid w:val="00CF16B2"/>
    <w:rsid w:val="00CF21A4"/>
    <w:rsid w:val="00CF2211"/>
    <w:rsid w:val="00CF2233"/>
    <w:rsid w:val="00CF2284"/>
    <w:rsid w:val="00CF276C"/>
    <w:rsid w:val="00CF294E"/>
    <w:rsid w:val="00CF340F"/>
    <w:rsid w:val="00CF3D79"/>
    <w:rsid w:val="00CF3E66"/>
    <w:rsid w:val="00CF41F8"/>
    <w:rsid w:val="00CF52AE"/>
    <w:rsid w:val="00CF52F8"/>
    <w:rsid w:val="00CF5411"/>
    <w:rsid w:val="00CF5E1E"/>
    <w:rsid w:val="00CF5FEF"/>
    <w:rsid w:val="00CF61C4"/>
    <w:rsid w:val="00CF6686"/>
    <w:rsid w:val="00CF6B6B"/>
    <w:rsid w:val="00CF6BD8"/>
    <w:rsid w:val="00CF770F"/>
    <w:rsid w:val="00CF7775"/>
    <w:rsid w:val="00CF782A"/>
    <w:rsid w:val="00CF7C7F"/>
    <w:rsid w:val="00D008D6"/>
    <w:rsid w:val="00D01471"/>
    <w:rsid w:val="00D02E42"/>
    <w:rsid w:val="00D03260"/>
    <w:rsid w:val="00D0463F"/>
    <w:rsid w:val="00D049D0"/>
    <w:rsid w:val="00D049D6"/>
    <w:rsid w:val="00D0592C"/>
    <w:rsid w:val="00D05A37"/>
    <w:rsid w:val="00D0608E"/>
    <w:rsid w:val="00D069F6"/>
    <w:rsid w:val="00D07C32"/>
    <w:rsid w:val="00D07F4A"/>
    <w:rsid w:val="00D109A3"/>
    <w:rsid w:val="00D10E02"/>
    <w:rsid w:val="00D10F61"/>
    <w:rsid w:val="00D10F75"/>
    <w:rsid w:val="00D110E6"/>
    <w:rsid w:val="00D11ABD"/>
    <w:rsid w:val="00D12151"/>
    <w:rsid w:val="00D12E38"/>
    <w:rsid w:val="00D12E54"/>
    <w:rsid w:val="00D1374F"/>
    <w:rsid w:val="00D13E46"/>
    <w:rsid w:val="00D148BF"/>
    <w:rsid w:val="00D16119"/>
    <w:rsid w:val="00D16B33"/>
    <w:rsid w:val="00D179A4"/>
    <w:rsid w:val="00D17B5B"/>
    <w:rsid w:val="00D17B7F"/>
    <w:rsid w:val="00D205AA"/>
    <w:rsid w:val="00D20CCA"/>
    <w:rsid w:val="00D222FC"/>
    <w:rsid w:val="00D2239A"/>
    <w:rsid w:val="00D22CB7"/>
    <w:rsid w:val="00D23302"/>
    <w:rsid w:val="00D23F1E"/>
    <w:rsid w:val="00D247B5"/>
    <w:rsid w:val="00D247CC"/>
    <w:rsid w:val="00D24924"/>
    <w:rsid w:val="00D24AB9"/>
    <w:rsid w:val="00D24FC6"/>
    <w:rsid w:val="00D25580"/>
    <w:rsid w:val="00D2576F"/>
    <w:rsid w:val="00D25D5B"/>
    <w:rsid w:val="00D2606E"/>
    <w:rsid w:val="00D270EB"/>
    <w:rsid w:val="00D271BF"/>
    <w:rsid w:val="00D27813"/>
    <w:rsid w:val="00D27EAB"/>
    <w:rsid w:val="00D3033D"/>
    <w:rsid w:val="00D303E8"/>
    <w:rsid w:val="00D30CBC"/>
    <w:rsid w:val="00D31154"/>
    <w:rsid w:val="00D31315"/>
    <w:rsid w:val="00D31BAD"/>
    <w:rsid w:val="00D327CE"/>
    <w:rsid w:val="00D328CF"/>
    <w:rsid w:val="00D32FA4"/>
    <w:rsid w:val="00D33273"/>
    <w:rsid w:val="00D334A6"/>
    <w:rsid w:val="00D33E2A"/>
    <w:rsid w:val="00D34578"/>
    <w:rsid w:val="00D35136"/>
    <w:rsid w:val="00D353AF"/>
    <w:rsid w:val="00D358A2"/>
    <w:rsid w:val="00D35942"/>
    <w:rsid w:val="00D35F50"/>
    <w:rsid w:val="00D3647A"/>
    <w:rsid w:val="00D369CE"/>
    <w:rsid w:val="00D36BBA"/>
    <w:rsid w:val="00D370DA"/>
    <w:rsid w:val="00D37B56"/>
    <w:rsid w:val="00D40093"/>
    <w:rsid w:val="00D40F54"/>
    <w:rsid w:val="00D41BF5"/>
    <w:rsid w:val="00D426A8"/>
    <w:rsid w:val="00D42B33"/>
    <w:rsid w:val="00D431AD"/>
    <w:rsid w:val="00D4339E"/>
    <w:rsid w:val="00D43866"/>
    <w:rsid w:val="00D43885"/>
    <w:rsid w:val="00D45169"/>
    <w:rsid w:val="00D4524D"/>
    <w:rsid w:val="00D454C0"/>
    <w:rsid w:val="00D45B56"/>
    <w:rsid w:val="00D45C66"/>
    <w:rsid w:val="00D4627B"/>
    <w:rsid w:val="00D46499"/>
    <w:rsid w:val="00D46906"/>
    <w:rsid w:val="00D46C1E"/>
    <w:rsid w:val="00D46D61"/>
    <w:rsid w:val="00D46FC0"/>
    <w:rsid w:val="00D46FF2"/>
    <w:rsid w:val="00D47556"/>
    <w:rsid w:val="00D479A9"/>
    <w:rsid w:val="00D504E4"/>
    <w:rsid w:val="00D50B52"/>
    <w:rsid w:val="00D50FB9"/>
    <w:rsid w:val="00D5132A"/>
    <w:rsid w:val="00D518B9"/>
    <w:rsid w:val="00D52344"/>
    <w:rsid w:val="00D52587"/>
    <w:rsid w:val="00D525B1"/>
    <w:rsid w:val="00D5269C"/>
    <w:rsid w:val="00D53195"/>
    <w:rsid w:val="00D54BC1"/>
    <w:rsid w:val="00D54CB6"/>
    <w:rsid w:val="00D54E92"/>
    <w:rsid w:val="00D55C25"/>
    <w:rsid w:val="00D55C27"/>
    <w:rsid w:val="00D55E4A"/>
    <w:rsid w:val="00D56170"/>
    <w:rsid w:val="00D56284"/>
    <w:rsid w:val="00D565D8"/>
    <w:rsid w:val="00D56F5C"/>
    <w:rsid w:val="00D57194"/>
    <w:rsid w:val="00D601F2"/>
    <w:rsid w:val="00D6077B"/>
    <w:rsid w:val="00D611C3"/>
    <w:rsid w:val="00D61203"/>
    <w:rsid w:val="00D61355"/>
    <w:rsid w:val="00D61396"/>
    <w:rsid w:val="00D61A4D"/>
    <w:rsid w:val="00D620E9"/>
    <w:rsid w:val="00D62B3B"/>
    <w:rsid w:val="00D633DA"/>
    <w:rsid w:val="00D63986"/>
    <w:rsid w:val="00D640E8"/>
    <w:rsid w:val="00D643C9"/>
    <w:rsid w:val="00D65B4C"/>
    <w:rsid w:val="00D65BED"/>
    <w:rsid w:val="00D660E8"/>
    <w:rsid w:val="00D66DE1"/>
    <w:rsid w:val="00D6710D"/>
    <w:rsid w:val="00D67C37"/>
    <w:rsid w:val="00D67FA8"/>
    <w:rsid w:val="00D700D8"/>
    <w:rsid w:val="00D70B9C"/>
    <w:rsid w:val="00D70BF8"/>
    <w:rsid w:val="00D70E34"/>
    <w:rsid w:val="00D70E78"/>
    <w:rsid w:val="00D7132A"/>
    <w:rsid w:val="00D71689"/>
    <w:rsid w:val="00D71C05"/>
    <w:rsid w:val="00D72A2B"/>
    <w:rsid w:val="00D72C35"/>
    <w:rsid w:val="00D73251"/>
    <w:rsid w:val="00D73908"/>
    <w:rsid w:val="00D73AAF"/>
    <w:rsid w:val="00D73B5B"/>
    <w:rsid w:val="00D73FA7"/>
    <w:rsid w:val="00D7412B"/>
    <w:rsid w:val="00D742D3"/>
    <w:rsid w:val="00D749D8"/>
    <w:rsid w:val="00D74AF2"/>
    <w:rsid w:val="00D74D31"/>
    <w:rsid w:val="00D7526D"/>
    <w:rsid w:val="00D7555B"/>
    <w:rsid w:val="00D75777"/>
    <w:rsid w:val="00D75D58"/>
    <w:rsid w:val="00D770B9"/>
    <w:rsid w:val="00D773F7"/>
    <w:rsid w:val="00D8005E"/>
    <w:rsid w:val="00D8053E"/>
    <w:rsid w:val="00D80B9B"/>
    <w:rsid w:val="00D81B74"/>
    <w:rsid w:val="00D824A8"/>
    <w:rsid w:val="00D825A1"/>
    <w:rsid w:val="00D82CF1"/>
    <w:rsid w:val="00D83C31"/>
    <w:rsid w:val="00D84C30"/>
    <w:rsid w:val="00D862FA"/>
    <w:rsid w:val="00D877B5"/>
    <w:rsid w:val="00D90278"/>
    <w:rsid w:val="00D9054E"/>
    <w:rsid w:val="00D90875"/>
    <w:rsid w:val="00D91088"/>
    <w:rsid w:val="00D91BC6"/>
    <w:rsid w:val="00D91E01"/>
    <w:rsid w:val="00D9235C"/>
    <w:rsid w:val="00D92372"/>
    <w:rsid w:val="00D927E4"/>
    <w:rsid w:val="00D92CC8"/>
    <w:rsid w:val="00D92F19"/>
    <w:rsid w:val="00D92FAD"/>
    <w:rsid w:val="00D92FD7"/>
    <w:rsid w:val="00D933BF"/>
    <w:rsid w:val="00D935CA"/>
    <w:rsid w:val="00D94003"/>
    <w:rsid w:val="00D941EB"/>
    <w:rsid w:val="00D9431C"/>
    <w:rsid w:val="00D946B7"/>
    <w:rsid w:val="00D94C78"/>
    <w:rsid w:val="00D9553B"/>
    <w:rsid w:val="00D955CE"/>
    <w:rsid w:val="00D958DF"/>
    <w:rsid w:val="00D95B76"/>
    <w:rsid w:val="00D95D0C"/>
    <w:rsid w:val="00D95EC0"/>
    <w:rsid w:val="00D95FD4"/>
    <w:rsid w:val="00D962F1"/>
    <w:rsid w:val="00D96391"/>
    <w:rsid w:val="00D96B71"/>
    <w:rsid w:val="00D96C0C"/>
    <w:rsid w:val="00D96FE4"/>
    <w:rsid w:val="00D971B4"/>
    <w:rsid w:val="00D9737F"/>
    <w:rsid w:val="00D975AB"/>
    <w:rsid w:val="00DA133F"/>
    <w:rsid w:val="00DA27A0"/>
    <w:rsid w:val="00DA2D51"/>
    <w:rsid w:val="00DA3313"/>
    <w:rsid w:val="00DA3368"/>
    <w:rsid w:val="00DA387F"/>
    <w:rsid w:val="00DA38FF"/>
    <w:rsid w:val="00DA3936"/>
    <w:rsid w:val="00DA3E0D"/>
    <w:rsid w:val="00DA3ECF"/>
    <w:rsid w:val="00DA3F9D"/>
    <w:rsid w:val="00DA488E"/>
    <w:rsid w:val="00DA4C1D"/>
    <w:rsid w:val="00DA4E9B"/>
    <w:rsid w:val="00DA6A42"/>
    <w:rsid w:val="00DA7C0A"/>
    <w:rsid w:val="00DA7E69"/>
    <w:rsid w:val="00DB049E"/>
    <w:rsid w:val="00DB116B"/>
    <w:rsid w:val="00DB178A"/>
    <w:rsid w:val="00DB24EA"/>
    <w:rsid w:val="00DB28BC"/>
    <w:rsid w:val="00DB2A3B"/>
    <w:rsid w:val="00DB3083"/>
    <w:rsid w:val="00DB35A9"/>
    <w:rsid w:val="00DB360F"/>
    <w:rsid w:val="00DB443E"/>
    <w:rsid w:val="00DB5794"/>
    <w:rsid w:val="00DB5A5F"/>
    <w:rsid w:val="00DB5A69"/>
    <w:rsid w:val="00DB5C99"/>
    <w:rsid w:val="00DB7940"/>
    <w:rsid w:val="00DB7CDB"/>
    <w:rsid w:val="00DC0232"/>
    <w:rsid w:val="00DC0481"/>
    <w:rsid w:val="00DC051D"/>
    <w:rsid w:val="00DC059E"/>
    <w:rsid w:val="00DC06CA"/>
    <w:rsid w:val="00DC0A3C"/>
    <w:rsid w:val="00DC1471"/>
    <w:rsid w:val="00DC1483"/>
    <w:rsid w:val="00DC1C84"/>
    <w:rsid w:val="00DC1D8C"/>
    <w:rsid w:val="00DC1E66"/>
    <w:rsid w:val="00DC21A9"/>
    <w:rsid w:val="00DC2B34"/>
    <w:rsid w:val="00DC2B56"/>
    <w:rsid w:val="00DC2E41"/>
    <w:rsid w:val="00DC3D1E"/>
    <w:rsid w:val="00DC3E96"/>
    <w:rsid w:val="00DC49F0"/>
    <w:rsid w:val="00DC4D86"/>
    <w:rsid w:val="00DC5226"/>
    <w:rsid w:val="00DC583D"/>
    <w:rsid w:val="00DC6A16"/>
    <w:rsid w:val="00DC73E0"/>
    <w:rsid w:val="00DC7707"/>
    <w:rsid w:val="00DC78AD"/>
    <w:rsid w:val="00DC7F6D"/>
    <w:rsid w:val="00DD06D3"/>
    <w:rsid w:val="00DD138E"/>
    <w:rsid w:val="00DD1E23"/>
    <w:rsid w:val="00DD2260"/>
    <w:rsid w:val="00DD2619"/>
    <w:rsid w:val="00DD3FDF"/>
    <w:rsid w:val="00DD4FC5"/>
    <w:rsid w:val="00DD5212"/>
    <w:rsid w:val="00DD5FA5"/>
    <w:rsid w:val="00DD690B"/>
    <w:rsid w:val="00DD6942"/>
    <w:rsid w:val="00DD6AC1"/>
    <w:rsid w:val="00DD6D74"/>
    <w:rsid w:val="00DD6FB6"/>
    <w:rsid w:val="00DD7294"/>
    <w:rsid w:val="00DD7299"/>
    <w:rsid w:val="00DD77BB"/>
    <w:rsid w:val="00DD77E7"/>
    <w:rsid w:val="00DE00FB"/>
    <w:rsid w:val="00DE043F"/>
    <w:rsid w:val="00DE077D"/>
    <w:rsid w:val="00DE0D81"/>
    <w:rsid w:val="00DE169C"/>
    <w:rsid w:val="00DE17A4"/>
    <w:rsid w:val="00DE1CF5"/>
    <w:rsid w:val="00DE23FF"/>
    <w:rsid w:val="00DE3020"/>
    <w:rsid w:val="00DE3AB5"/>
    <w:rsid w:val="00DE420A"/>
    <w:rsid w:val="00DE54B3"/>
    <w:rsid w:val="00DE5BA3"/>
    <w:rsid w:val="00DE724D"/>
    <w:rsid w:val="00DE7F66"/>
    <w:rsid w:val="00DF0A76"/>
    <w:rsid w:val="00DF0ACB"/>
    <w:rsid w:val="00DF0CF3"/>
    <w:rsid w:val="00DF1165"/>
    <w:rsid w:val="00DF16B5"/>
    <w:rsid w:val="00DF1AB9"/>
    <w:rsid w:val="00DF1C5E"/>
    <w:rsid w:val="00DF3110"/>
    <w:rsid w:val="00DF41EF"/>
    <w:rsid w:val="00DF46F7"/>
    <w:rsid w:val="00DF46FF"/>
    <w:rsid w:val="00DF4D1B"/>
    <w:rsid w:val="00DF50B6"/>
    <w:rsid w:val="00DF536A"/>
    <w:rsid w:val="00DF53D3"/>
    <w:rsid w:val="00DF5402"/>
    <w:rsid w:val="00DF57EF"/>
    <w:rsid w:val="00DF6426"/>
    <w:rsid w:val="00DF65B8"/>
    <w:rsid w:val="00DF7906"/>
    <w:rsid w:val="00DF7D2F"/>
    <w:rsid w:val="00DF7DAE"/>
    <w:rsid w:val="00E006C6"/>
    <w:rsid w:val="00E00775"/>
    <w:rsid w:val="00E00A30"/>
    <w:rsid w:val="00E0134C"/>
    <w:rsid w:val="00E013B2"/>
    <w:rsid w:val="00E01400"/>
    <w:rsid w:val="00E019DA"/>
    <w:rsid w:val="00E02178"/>
    <w:rsid w:val="00E022B9"/>
    <w:rsid w:val="00E024F9"/>
    <w:rsid w:val="00E02E6C"/>
    <w:rsid w:val="00E02EE0"/>
    <w:rsid w:val="00E031D4"/>
    <w:rsid w:val="00E047D7"/>
    <w:rsid w:val="00E0541F"/>
    <w:rsid w:val="00E05B92"/>
    <w:rsid w:val="00E05DA5"/>
    <w:rsid w:val="00E061EE"/>
    <w:rsid w:val="00E06247"/>
    <w:rsid w:val="00E06B0B"/>
    <w:rsid w:val="00E06F8C"/>
    <w:rsid w:val="00E07E09"/>
    <w:rsid w:val="00E101C0"/>
    <w:rsid w:val="00E105F9"/>
    <w:rsid w:val="00E10E3E"/>
    <w:rsid w:val="00E113BE"/>
    <w:rsid w:val="00E119A2"/>
    <w:rsid w:val="00E11EC4"/>
    <w:rsid w:val="00E12751"/>
    <w:rsid w:val="00E12EA1"/>
    <w:rsid w:val="00E13B41"/>
    <w:rsid w:val="00E14897"/>
    <w:rsid w:val="00E14E51"/>
    <w:rsid w:val="00E151A7"/>
    <w:rsid w:val="00E1550E"/>
    <w:rsid w:val="00E166A9"/>
    <w:rsid w:val="00E16EE8"/>
    <w:rsid w:val="00E16FBE"/>
    <w:rsid w:val="00E17FA8"/>
    <w:rsid w:val="00E20049"/>
    <w:rsid w:val="00E204E6"/>
    <w:rsid w:val="00E20E21"/>
    <w:rsid w:val="00E210D3"/>
    <w:rsid w:val="00E2145C"/>
    <w:rsid w:val="00E21D75"/>
    <w:rsid w:val="00E21F3E"/>
    <w:rsid w:val="00E223AB"/>
    <w:rsid w:val="00E22408"/>
    <w:rsid w:val="00E22483"/>
    <w:rsid w:val="00E227A9"/>
    <w:rsid w:val="00E2326C"/>
    <w:rsid w:val="00E232F2"/>
    <w:rsid w:val="00E23ABC"/>
    <w:rsid w:val="00E247AC"/>
    <w:rsid w:val="00E24B41"/>
    <w:rsid w:val="00E24E91"/>
    <w:rsid w:val="00E257DE"/>
    <w:rsid w:val="00E25ED2"/>
    <w:rsid w:val="00E25F19"/>
    <w:rsid w:val="00E263DF"/>
    <w:rsid w:val="00E265C3"/>
    <w:rsid w:val="00E267A5"/>
    <w:rsid w:val="00E26B57"/>
    <w:rsid w:val="00E2770C"/>
    <w:rsid w:val="00E27916"/>
    <w:rsid w:val="00E27D8B"/>
    <w:rsid w:val="00E30353"/>
    <w:rsid w:val="00E306A1"/>
    <w:rsid w:val="00E31144"/>
    <w:rsid w:val="00E31D7A"/>
    <w:rsid w:val="00E32169"/>
    <w:rsid w:val="00E33702"/>
    <w:rsid w:val="00E33A56"/>
    <w:rsid w:val="00E33BBA"/>
    <w:rsid w:val="00E3407D"/>
    <w:rsid w:val="00E3429D"/>
    <w:rsid w:val="00E3461F"/>
    <w:rsid w:val="00E34E6D"/>
    <w:rsid w:val="00E34E9F"/>
    <w:rsid w:val="00E34F34"/>
    <w:rsid w:val="00E35ACC"/>
    <w:rsid w:val="00E36052"/>
    <w:rsid w:val="00E36E35"/>
    <w:rsid w:val="00E37E98"/>
    <w:rsid w:val="00E40005"/>
    <w:rsid w:val="00E4093D"/>
    <w:rsid w:val="00E40C2A"/>
    <w:rsid w:val="00E42198"/>
    <w:rsid w:val="00E435D2"/>
    <w:rsid w:val="00E4398B"/>
    <w:rsid w:val="00E43B49"/>
    <w:rsid w:val="00E44576"/>
    <w:rsid w:val="00E445D7"/>
    <w:rsid w:val="00E450F6"/>
    <w:rsid w:val="00E4523C"/>
    <w:rsid w:val="00E455D9"/>
    <w:rsid w:val="00E45842"/>
    <w:rsid w:val="00E45AF2"/>
    <w:rsid w:val="00E461C4"/>
    <w:rsid w:val="00E472EC"/>
    <w:rsid w:val="00E474A2"/>
    <w:rsid w:val="00E47517"/>
    <w:rsid w:val="00E47811"/>
    <w:rsid w:val="00E50749"/>
    <w:rsid w:val="00E51777"/>
    <w:rsid w:val="00E5188E"/>
    <w:rsid w:val="00E51C1B"/>
    <w:rsid w:val="00E53A9E"/>
    <w:rsid w:val="00E53E72"/>
    <w:rsid w:val="00E5537A"/>
    <w:rsid w:val="00E56B84"/>
    <w:rsid w:val="00E56E85"/>
    <w:rsid w:val="00E577D5"/>
    <w:rsid w:val="00E57A5E"/>
    <w:rsid w:val="00E604A5"/>
    <w:rsid w:val="00E61845"/>
    <w:rsid w:val="00E618AA"/>
    <w:rsid w:val="00E61B0A"/>
    <w:rsid w:val="00E622C6"/>
    <w:rsid w:val="00E62526"/>
    <w:rsid w:val="00E62586"/>
    <w:rsid w:val="00E634A2"/>
    <w:rsid w:val="00E63833"/>
    <w:rsid w:val="00E63DBD"/>
    <w:rsid w:val="00E643E0"/>
    <w:rsid w:val="00E6465A"/>
    <w:rsid w:val="00E6502E"/>
    <w:rsid w:val="00E6572D"/>
    <w:rsid w:val="00E65CB4"/>
    <w:rsid w:val="00E65E67"/>
    <w:rsid w:val="00E663FB"/>
    <w:rsid w:val="00E66AE6"/>
    <w:rsid w:val="00E66DC8"/>
    <w:rsid w:val="00E67195"/>
    <w:rsid w:val="00E6795A"/>
    <w:rsid w:val="00E7014B"/>
    <w:rsid w:val="00E70393"/>
    <w:rsid w:val="00E707D4"/>
    <w:rsid w:val="00E70839"/>
    <w:rsid w:val="00E71825"/>
    <w:rsid w:val="00E71CE6"/>
    <w:rsid w:val="00E7255E"/>
    <w:rsid w:val="00E7268C"/>
    <w:rsid w:val="00E731B4"/>
    <w:rsid w:val="00E73641"/>
    <w:rsid w:val="00E73C4C"/>
    <w:rsid w:val="00E73F1E"/>
    <w:rsid w:val="00E746B4"/>
    <w:rsid w:val="00E748C6"/>
    <w:rsid w:val="00E748EA"/>
    <w:rsid w:val="00E7530A"/>
    <w:rsid w:val="00E755DC"/>
    <w:rsid w:val="00E75679"/>
    <w:rsid w:val="00E75E80"/>
    <w:rsid w:val="00E76088"/>
    <w:rsid w:val="00E765B0"/>
    <w:rsid w:val="00E76A7E"/>
    <w:rsid w:val="00E76DF0"/>
    <w:rsid w:val="00E77261"/>
    <w:rsid w:val="00E776E3"/>
    <w:rsid w:val="00E778B5"/>
    <w:rsid w:val="00E80AC9"/>
    <w:rsid w:val="00E80CC6"/>
    <w:rsid w:val="00E8118B"/>
    <w:rsid w:val="00E81728"/>
    <w:rsid w:val="00E81BAB"/>
    <w:rsid w:val="00E820C1"/>
    <w:rsid w:val="00E826FC"/>
    <w:rsid w:val="00E82A23"/>
    <w:rsid w:val="00E83D04"/>
    <w:rsid w:val="00E85507"/>
    <w:rsid w:val="00E85E14"/>
    <w:rsid w:val="00E86234"/>
    <w:rsid w:val="00E86CC5"/>
    <w:rsid w:val="00E87A14"/>
    <w:rsid w:val="00E90253"/>
    <w:rsid w:val="00E904AF"/>
    <w:rsid w:val="00E90C81"/>
    <w:rsid w:val="00E90D67"/>
    <w:rsid w:val="00E90E80"/>
    <w:rsid w:val="00E918B4"/>
    <w:rsid w:val="00E92A51"/>
    <w:rsid w:val="00E92AA7"/>
    <w:rsid w:val="00E92D21"/>
    <w:rsid w:val="00E9304A"/>
    <w:rsid w:val="00E93067"/>
    <w:rsid w:val="00E9351B"/>
    <w:rsid w:val="00E937A5"/>
    <w:rsid w:val="00E93A17"/>
    <w:rsid w:val="00E942E4"/>
    <w:rsid w:val="00E943B2"/>
    <w:rsid w:val="00E94E2B"/>
    <w:rsid w:val="00E952A9"/>
    <w:rsid w:val="00E954FB"/>
    <w:rsid w:val="00E960B0"/>
    <w:rsid w:val="00E966AE"/>
    <w:rsid w:val="00E96EA0"/>
    <w:rsid w:val="00E97BE3"/>
    <w:rsid w:val="00E97DF3"/>
    <w:rsid w:val="00EA04B0"/>
    <w:rsid w:val="00EA1365"/>
    <w:rsid w:val="00EA1A97"/>
    <w:rsid w:val="00EA21FD"/>
    <w:rsid w:val="00EA26D2"/>
    <w:rsid w:val="00EA2D76"/>
    <w:rsid w:val="00EA2E4B"/>
    <w:rsid w:val="00EA2FDC"/>
    <w:rsid w:val="00EA3CBC"/>
    <w:rsid w:val="00EA442B"/>
    <w:rsid w:val="00EA4555"/>
    <w:rsid w:val="00EA468E"/>
    <w:rsid w:val="00EA54A7"/>
    <w:rsid w:val="00EA5578"/>
    <w:rsid w:val="00EA5589"/>
    <w:rsid w:val="00EA56C3"/>
    <w:rsid w:val="00EA56E6"/>
    <w:rsid w:val="00EA6378"/>
    <w:rsid w:val="00EA64E5"/>
    <w:rsid w:val="00EA6F33"/>
    <w:rsid w:val="00EA740C"/>
    <w:rsid w:val="00EA7EDC"/>
    <w:rsid w:val="00EB05B8"/>
    <w:rsid w:val="00EB0887"/>
    <w:rsid w:val="00EB09F4"/>
    <w:rsid w:val="00EB0A09"/>
    <w:rsid w:val="00EB0B70"/>
    <w:rsid w:val="00EB1BC6"/>
    <w:rsid w:val="00EB1F90"/>
    <w:rsid w:val="00EB273F"/>
    <w:rsid w:val="00EB32FF"/>
    <w:rsid w:val="00EB4730"/>
    <w:rsid w:val="00EB48EF"/>
    <w:rsid w:val="00EB4B69"/>
    <w:rsid w:val="00EB4D64"/>
    <w:rsid w:val="00EB4E5B"/>
    <w:rsid w:val="00EB4F6D"/>
    <w:rsid w:val="00EB5A84"/>
    <w:rsid w:val="00EB662E"/>
    <w:rsid w:val="00EB6A95"/>
    <w:rsid w:val="00EB6E66"/>
    <w:rsid w:val="00EB7127"/>
    <w:rsid w:val="00EB712A"/>
    <w:rsid w:val="00EB72A6"/>
    <w:rsid w:val="00EB7F1A"/>
    <w:rsid w:val="00EC036C"/>
    <w:rsid w:val="00EC0DA6"/>
    <w:rsid w:val="00EC1106"/>
    <w:rsid w:val="00EC12A9"/>
    <w:rsid w:val="00EC1F18"/>
    <w:rsid w:val="00EC2460"/>
    <w:rsid w:val="00EC2646"/>
    <w:rsid w:val="00EC2693"/>
    <w:rsid w:val="00EC2A7D"/>
    <w:rsid w:val="00EC2BF2"/>
    <w:rsid w:val="00EC4792"/>
    <w:rsid w:val="00EC54CB"/>
    <w:rsid w:val="00EC55BC"/>
    <w:rsid w:val="00EC56AF"/>
    <w:rsid w:val="00EC5D52"/>
    <w:rsid w:val="00EC6032"/>
    <w:rsid w:val="00EC673B"/>
    <w:rsid w:val="00EC6F08"/>
    <w:rsid w:val="00EC71ED"/>
    <w:rsid w:val="00EC7652"/>
    <w:rsid w:val="00ED0098"/>
    <w:rsid w:val="00ED1BA3"/>
    <w:rsid w:val="00ED1C22"/>
    <w:rsid w:val="00ED1E68"/>
    <w:rsid w:val="00ED208E"/>
    <w:rsid w:val="00ED238C"/>
    <w:rsid w:val="00ED371D"/>
    <w:rsid w:val="00ED4336"/>
    <w:rsid w:val="00ED48B0"/>
    <w:rsid w:val="00ED4A5E"/>
    <w:rsid w:val="00ED4C6B"/>
    <w:rsid w:val="00ED5AD3"/>
    <w:rsid w:val="00ED5BD2"/>
    <w:rsid w:val="00ED5CEE"/>
    <w:rsid w:val="00ED61BC"/>
    <w:rsid w:val="00ED626C"/>
    <w:rsid w:val="00ED657E"/>
    <w:rsid w:val="00ED66DB"/>
    <w:rsid w:val="00ED68C9"/>
    <w:rsid w:val="00ED7A4B"/>
    <w:rsid w:val="00ED7AC6"/>
    <w:rsid w:val="00EE0113"/>
    <w:rsid w:val="00EE1849"/>
    <w:rsid w:val="00EE1C7B"/>
    <w:rsid w:val="00EE1D29"/>
    <w:rsid w:val="00EE1D80"/>
    <w:rsid w:val="00EE269F"/>
    <w:rsid w:val="00EE29AA"/>
    <w:rsid w:val="00EE2CD5"/>
    <w:rsid w:val="00EE317E"/>
    <w:rsid w:val="00EE505F"/>
    <w:rsid w:val="00EE5873"/>
    <w:rsid w:val="00EE5C7E"/>
    <w:rsid w:val="00EE611E"/>
    <w:rsid w:val="00EE6F89"/>
    <w:rsid w:val="00EE7213"/>
    <w:rsid w:val="00EE7845"/>
    <w:rsid w:val="00EF0188"/>
    <w:rsid w:val="00EF0E5D"/>
    <w:rsid w:val="00EF3796"/>
    <w:rsid w:val="00EF3D65"/>
    <w:rsid w:val="00EF3F37"/>
    <w:rsid w:val="00EF40BF"/>
    <w:rsid w:val="00EF45CC"/>
    <w:rsid w:val="00EF57DA"/>
    <w:rsid w:val="00EF5F73"/>
    <w:rsid w:val="00EF64FF"/>
    <w:rsid w:val="00EF7275"/>
    <w:rsid w:val="00EF7AD5"/>
    <w:rsid w:val="00F000AE"/>
    <w:rsid w:val="00F00109"/>
    <w:rsid w:val="00F00BA0"/>
    <w:rsid w:val="00F00DA4"/>
    <w:rsid w:val="00F012CD"/>
    <w:rsid w:val="00F01C3C"/>
    <w:rsid w:val="00F0252F"/>
    <w:rsid w:val="00F02625"/>
    <w:rsid w:val="00F028CE"/>
    <w:rsid w:val="00F03077"/>
    <w:rsid w:val="00F0330A"/>
    <w:rsid w:val="00F03829"/>
    <w:rsid w:val="00F038C0"/>
    <w:rsid w:val="00F04D2E"/>
    <w:rsid w:val="00F05E4A"/>
    <w:rsid w:val="00F06357"/>
    <w:rsid w:val="00F06C1E"/>
    <w:rsid w:val="00F07750"/>
    <w:rsid w:val="00F07785"/>
    <w:rsid w:val="00F07A18"/>
    <w:rsid w:val="00F07C00"/>
    <w:rsid w:val="00F07D62"/>
    <w:rsid w:val="00F07E51"/>
    <w:rsid w:val="00F10180"/>
    <w:rsid w:val="00F105E3"/>
    <w:rsid w:val="00F107BB"/>
    <w:rsid w:val="00F1084F"/>
    <w:rsid w:val="00F10E72"/>
    <w:rsid w:val="00F10F32"/>
    <w:rsid w:val="00F11254"/>
    <w:rsid w:val="00F11431"/>
    <w:rsid w:val="00F11DA9"/>
    <w:rsid w:val="00F12031"/>
    <w:rsid w:val="00F12275"/>
    <w:rsid w:val="00F1239F"/>
    <w:rsid w:val="00F13A7A"/>
    <w:rsid w:val="00F14250"/>
    <w:rsid w:val="00F1489A"/>
    <w:rsid w:val="00F14AB0"/>
    <w:rsid w:val="00F1582D"/>
    <w:rsid w:val="00F15B0F"/>
    <w:rsid w:val="00F162F5"/>
    <w:rsid w:val="00F1638C"/>
    <w:rsid w:val="00F1703F"/>
    <w:rsid w:val="00F1705F"/>
    <w:rsid w:val="00F171AA"/>
    <w:rsid w:val="00F1747C"/>
    <w:rsid w:val="00F1747E"/>
    <w:rsid w:val="00F176DA"/>
    <w:rsid w:val="00F17705"/>
    <w:rsid w:val="00F17A2B"/>
    <w:rsid w:val="00F17C3C"/>
    <w:rsid w:val="00F2059C"/>
    <w:rsid w:val="00F205BE"/>
    <w:rsid w:val="00F21255"/>
    <w:rsid w:val="00F219F2"/>
    <w:rsid w:val="00F21E24"/>
    <w:rsid w:val="00F220A9"/>
    <w:rsid w:val="00F23432"/>
    <w:rsid w:val="00F235E6"/>
    <w:rsid w:val="00F24C48"/>
    <w:rsid w:val="00F25079"/>
    <w:rsid w:val="00F251BD"/>
    <w:rsid w:val="00F25844"/>
    <w:rsid w:val="00F25C25"/>
    <w:rsid w:val="00F25DA0"/>
    <w:rsid w:val="00F25FC5"/>
    <w:rsid w:val="00F26C4E"/>
    <w:rsid w:val="00F27102"/>
    <w:rsid w:val="00F27965"/>
    <w:rsid w:val="00F2797B"/>
    <w:rsid w:val="00F303BB"/>
    <w:rsid w:val="00F31271"/>
    <w:rsid w:val="00F312F8"/>
    <w:rsid w:val="00F3196D"/>
    <w:rsid w:val="00F319BC"/>
    <w:rsid w:val="00F31CD9"/>
    <w:rsid w:val="00F32630"/>
    <w:rsid w:val="00F328DE"/>
    <w:rsid w:val="00F33501"/>
    <w:rsid w:val="00F33F19"/>
    <w:rsid w:val="00F3501E"/>
    <w:rsid w:val="00F354AE"/>
    <w:rsid w:val="00F35638"/>
    <w:rsid w:val="00F36448"/>
    <w:rsid w:val="00F36894"/>
    <w:rsid w:val="00F3695E"/>
    <w:rsid w:val="00F4040C"/>
    <w:rsid w:val="00F41315"/>
    <w:rsid w:val="00F4185E"/>
    <w:rsid w:val="00F41D0A"/>
    <w:rsid w:val="00F422AF"/>
    <w:rsid w:val="00F423DE"/>
    <w:rsid w:val="00F42A41"/>
    <w:rsid w:val="00F42C01"/>
    <w:rsid w:val="00F42F66"/>
    <w:rsid w:val="00F43058"/>
    <w:rsid w:val="00F43097"/>
    <w:rsid w:val="00F431DE"/>
    <w:rsid w:val="00F435C2"/>
    <w:rsid w:val="00F43A45"/>
    <w:rsid w:val="00F44980"/>
    <w:rsid w:val="00F458DA"/>
    <w:rsid w:val="00F465B5"/>
    <w:rsid w:val="00F46E04"/>
    <w:rsid w:val="00F47553"/>
    <w:rsid w:val="00F47F37"/>
    <w:rsid w:val="00F500E5"/>
    <w:rsid w:val="00F501BB"/>
    <w:rsid w:val="00F50DA9"/>
    <w:rsid w:val="00F510F5"/>
    <w:rsid w:val="00F5161E"/>
    <w:rsid w:val="00F51A8C"/>
    <w:rsid w:val="00F52290"/>
    <w:rsid w:val="00F528A0"/>
    <w:rsid w:val="00F53677"/>
    <w:rsid w:val="00F53850"/>
    <w:rsid w:val="00F53F58"/>
    <w:rsid w:val="00F5409F"/>
    <w:rsid w:val="00F55392"/>
    <w:rsid w:val="00F55767"/>
    <w:rsid w:val="00F55C4D"/>
    <w:rsid w:val="00F55FCF"/>
    <w:rsid w:val="00F5602C"/>
    <w:rsid w:val="00F5691D"/>
    <w:rsid w:val="00F56AFB"/>
    <w:rsid w:val="00F57564"/>
    <w:rsid w:val="00F57A32"/>
    <w:rsid w:val="00F57D5B"/>
    <w:rsid w:val="00F60046"/>
    <w:rsid w:val="00F6058B"/>
    <w:rsid w:val="00F60A9D"/>
    <w:rsid w:val="00F6160B"/>
    <w:rsid w:val="00F616E1"/>
    <w:rsid w:val="00F6198F"/>
    <w:rsid w:val="00F61C96"/>
    <w:rsid w:val="00F61F1D"/>
    <w:rsid w:val="00F626E4"/>
    <w:rsid w:val="00F627AF"/>
    <w:rsid w:val="00F639A5"/>
    <w:rsid w:val="00F659DA"/>
    <w:rsid w:val="00F65DC6"/>
    <w:rsid w:val="00F65E66"/>
    <w:rsid w:val="00F666F8"/>
    <w:rsid w:val="00F66A0A"/>
    <w:rsid w:val="00F66DBB"/>
    <w:rsid w:val="00F66F93"/>
    <w:rsid w:val="00F670C1"/>
    <w:rsid w:val="00F67A35"/>
    <w:rsid w:val="00F7012B"/>
    <w:rsid w:val="00F70D65"/>
    <w:rsid w:val="00F71177"/>
    <w:rsid w:val="00F7125F"/>
    <w:rsid w:val="00F7155A"/>
    <w:rsid w:val="00F71A09"/>
    <w:rsid w:val="00F71C49"/>
    <w:rsid w:val="00F72AF7"/>
    <w:rsid w:val="00F72CC6"/>
    <w:rsid w:val="00F734C3"/>
    <w:rsid w:val="00F739F6"/>
    <w:rsid w:val="00F744F1"/>
    <w:rsid w:val="00F745FF"/>
    <w:rsid w:val="00F75506"/>
    <w:rsid w:val="00F75FCC"/>
    <w:rsid w:val="00F769ED"/>
    <w:rsid w:val="00F774B4"/>
    <w:rsid w:val="00F801F7"/>
    <w:rsid w:val="00F8090F"/>
    <w:rsid w:val="00F80B2A"/>
    <w:rsid w:val="00F8171E"/>
    <w:rsid w:val="00F81A39"/>
    <w:rsid w:val="00F8204D"/>
    <w:rsid w:val="00F8299A"/>
    <w:rsid w:val="00F83091"/>
    <w:rsid w:val="00F830B3"/>
    <w:rsid w:val="00F8361B"/>
    <w:rsid w:val="00F8361D"/>
    <w:rsid w:val="00F84388"/>
    <w:rsid w:val="00F844D5"/>
    <w:rsid w:val="00F84BDE"/>
    <w:rsid w:val="00F851C7"/>
    <w:rsid w:val="00F85622"/>
    <w:rsid w:val="00F85C86"/>
    <w:rsid w:val="00F8609A"/>
    <w:rsid w:val="00F860E2"/>
    <w:rsid w:val="00F86C03"/>
    <w:rsid w:val="00F87576"/>
    <w:rsid w:val="00F8769D"/>
    <w:rsid w:val="00F87E6B"/>
    <w:rsid w:val="00F9045B"/>
    <w:rsid w:val="00F90EB9"/>
    <w:rsid w:val="00F91D44"/>
    <w:rsid w:val="00F923F8"/>
    <w:rsid w:val="00F92504"/>
    <w:rsid w:val="00F92830"/>
    <w:rsid w:val="00F92BEA"/>
    <w:rsid w:val="00F92C51"/>
    <w:rsid w:val="00F92DD2"/>
    <w:rsid w:val="00F93A98"/>
    <w:rsid w:val="00F94D41"/>
    <w:rsid w:val="00F956D1"/>
    <w:rsid w:val="00F95923"/>
    <w:rsid w:val="00F95BE2"/>
    <w:rsid w:val="00F95C23"/>
    <w:rsid w:val="00F95F26"/>
    <w:rsid w:val="00F9616B"/>
    <w:rsid w:val="00F96644"/>
    <w:rsid w:val="00F96BA0"/>
    <w:rsid w:val="00F96ECA"/>
    <w:rsid w:val="00F970C5"/>
    <w:rsid w:val="00F9795A"/>
    <w:rsid w:val="00FA013F"/>
    <w:rsid w:val="00FA01A1"/>
    <w:rsid w:val="00FA06F9"/>
    <w:rsid w:val="00FA0958"/>
    <w:rsid w:val="00FA0987"/>
    <w:rsid w:val="00FA31D9"/>
    <w:rsid w:val="00FA34E5"/>
    <w:rsid w:val="00FA36EF"/>
    <w:rsid w:val="00FA37FE"/>
    <w:rsid w:val="00FA3D93"/>
    <w:rsid w:val="00FA4903"/>
    <w:rsid w:val="00FA4BB7"/>
    <w:rsid w:val="00FA5B5A"/>
    <w:rsid w:val="00FA5DED"/>
    <w:rsid w:val="00FA5F29"/>
    <w:rsid w:val="00FA6176"/>
    <w:rsid w:val="00FA61FA"/>
    <w:rsid w:val="00FA7712"/>
    <w:rsid w:val="00FA798B"/>
    <w:rsid w:val="00FA7A21"/>
    <w:rsid w:val="00FA7ADB"/>
    <w:rsid w:val="00FB0D38"/>
    <w:rsid w:val="00FB1DB4"/>
    <w:rsid w:val="00FB1E07"/>
    <w:rsid w:val="00FB3465"/>
    <w:rsid w:val="00FB3FEA"/>
    <w:rsid w:val="00FB4675"/>
    <w:rsid w:val="00FB490A"/>
    <w:rsid w:val="00FB4A56"/>
    <w:rsid w:val="00FB5886"/>
    <w:rsid w:val="00FB6189"/>
    <w:rsid w:val="00FB68ED"/>
    <w:rsid w:val="00FB6BCA"/>
    <w:rsid w:val="00FB703E"/>
    <w:rsid w:val="00FB7A6A"/>
    <w:rsid w:val="00FB7C5A"/>
    <w:rsid w:val="00FC01AD"/>
    <w:rsid w:val="00FC02F9"/>
    <w:rsid w:val="00FC0525"/>
    <w:rsid w:val="00FC0A42"/>
    <w:rsid w:val="00FC0A91"/>
    <w:rsid w:val="00FC0AF0"/>
    <w:rsid w:val="00FC0DD2"/>
    <w:rsid w:val="00FC0F97"/>
    <w:rsid w:val="00FC10F6"/>
    <w:rsid w:val="00FC19D6"/>
    <w:rsid w:val="00FC2226"/>
    <w:rsid w:val="00FC2A21"/>
    <w:rsid w:val="00FC2ED9"/>
    <w:rsid w:val="00FC3400"/>
    <w:rsid w:val="00FC3689"/>
    <w:rsid w:val="00FC3882"/>
    <w:rsid w:val="00FC42CD"/>
    <w:rsid w:val="00FC449E"/>
    <w:rsid w:val="00FC4C5A"/>
    <w:rsid w:val="00FC4D00"/>
    <w:rsid w:val="00FC5A15"/>
    <w:rsid w:val="00FC5A26"/>
    <w:rsid w:val="00FC5B32"/>
    <w:rsid w:val="00FC6A96"/>
    <w:rsid w:val="00FC7AE5"/>
    <w:rsid w:val="00FC7E38"/>
    <w:rsid w:val="00FD0040"/>
    <w:rsid w:val="00FD01EC"/>
    <w:rsid w:val="00FD07CE"/>
    <w:rsid w:val="00FD214F"/>
    <w:rsid w:val="00FD25DD"/>
    <w:rsid w:val="00FD2E45"/>
    <w:rsid w:val="00FD3028"/>
    <w:rsid w:val="00FD3D40"/>
    <w:rsid w:val="00FD3D78"/>
    <w:rsid w:val="00FD41BB"/>
    <w:rsid w:val="00FD4762"/>
    <w:rsid w:val="00FD4901"/>
    <w:rsid w:val="00FD4F65"/>
    <w:rsid w:val="00FD508D"/>
    <w:rsid w:val="00FD53C8"/>
    <w:rsid w:val="00FD5713"/>
    <w:rsid w:val="00FD5CD9"/>
    <w:rsid w:val="00FD679B"/>
    <w:rsid w:val="00FD7005"/>
    <w:rsid w:val="00FD7FE2"/>
    <w:rsid w:val="00FE0F46"/>
    <w:rsid w:val="00FE1795"/>
    <w:rsid w:val="00FE1CFA"/>
    <w:rsid w:val="00FE22F3"/>
    <w:rsid w:val="00FE2BDC"/>
    <w:rsid w:val="00FE2DD3"/>
    <w:rsid w:val="00FE3320"/>
    <w:rsid w:val="00FE3491"/>
    <w:rsid w:val="00FE34D0"/>
    <w:rsid w:val="00FE34EB"/>
    <w:rsid w:val="00FE3AFC"/>
    <w:rsid w:val="00FE3D2D"/>
    <w:rsid w:val="00FE3E90"/>
    <w:rsid w:val="00FE435E"/>
    <w:rsid w:val="00FE47E3"/>
    <w:rsid w:val="00FE5872"/>
    <w:rsid w:val="00FE590A"/>
    <w:rsid w:val="00FE5BE3"/>
    <w:rsid w:val="00FE5F90"/>
    <w:rsid w:val="00FE70F3"/>
    <w:rsid w:val="00FE7854"/>
    <w:rsid w:val="00FE7E3E"/>
    <w:rsid w:val="00FF09C8"/>
    <w:rsid w:val="00FF108D"/>
    <w:rsid w:val="00FF113E"/>
    <w:rsid w:val="00FF1914"/>
    <w:rsid w:val="00FF237F"/>
    <w:rsid w:val="00FF2BDF"/>
    <w:rsid w:val="00FF37B2"/>
    <w:rsid w:val="00FF3840"/>
    <w:rsid w:val="00FF3D09"/>
    <w:rsid w:val="00FF3D33"/>
    <w:rsid w:val="00FF3F17"/>
    <w:rsid w:val="00FF4157"/>
    <w:rsid w:val="00FF44C6"/>
    <w:rsid w:val="00FF5C9B"/>
    <w:rsid w:val="00FF5DF8"/>
    <w:rsid w:val="00FF5E41"/>
    <w:rsid w:val="00FF6194"/>
    <w:rsid w:val="00FF6F60"/>
    <w:rsid w:val="00FF738F"/>
    <w:rsid w:val="00FF7A56"/>
    <w:rsid w:val="00FF7D20"/>
    <w:rsid w:val="00FF7D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strokecolor="#d4d4d4">
      <v:stroke color="#d4d4d4" weight="1.75pt"/>
      <v:shadow on="t" origin=",32385f" offset="0,-1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header" w:uiPriority="99"/>
    <w:lsdException w:name="footer" w:uiPriority="99"/>
    <w:lsdException w:name="caption" w:semiHidden="1" w:uiPriority="35" w:unhideWhenUsed="1" w:qFormat="1"/>
    <w:lsdException w:name="footnote reference" w:uiPriority="99"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57816"/>
    <w:pPr>
      <w:spacing w:line="300" w:lineRule="atLeast"/>
      <w:ind w:firstLine="284"/>
      <w:jc w:val="both"/>
    </w:pPr>
    <w:rPr>
      <w:rFonts w:ascii="Arial" w:hAnsi="Arial"/>
      <w:sz w:val="22"/>
    </w:rPr>
  </w:style>
  <w:style w:type="paragraph" w:styleId="Titolo1">
    <w:name w:val="heading 1"/>
    <w:basedOn w:val="Normale"/>
    <w:next w:val="Normale"/>
    <w:link w:val="Titolo1Carattere1"/>
    <w:qFormat/>
    <w:rsid w:val="006223EB"/>
    <w:pPr>
      <w:keepNext/>
      <w:spacing w:before="480" w:after="480"/>
      <w:ind w:firstLine="0"/>
      <w:jc w:val="center"/>
      <w:outlineLvl w:val="0"/>
    </w:pPr>
    <w:rPr>
      <w:b/>
      <w:smallCaps/>
      <w:kern w:val="28"/>
      <w:sz w:val="26"/>
    </w:rPr>
  </w:style>
  <w:style w:type="paragraph" w:styleId="Titolo2">
    <w:name w:val="heading 2"/>
    <w:basedOn w:val="Normale"/>
    <w:next w:val="Normale"/>
    <w:link w:val="Titolo2Carattere"/>
    <w:qFormat/>
    <w:rsid w:val="006223EB"/>
    <w:pPr>
      <w:keepNext/>
      <w:spacing w:before="480" w:after="240"/>
      <w:ind w:left="284" w:hanging="284"/>
      <w:outlineLvl w:val="1"/>
    </w:pPr>
    <w:rPr>
      <w:b/>
      <w:sz w:val="24"/>
    </w:rPr>
  </w:style>
  <w:style w:type="paragraph" w:styleId="Titolo3">
    <w:name w:val="heading 3"/>
    <w:basedOn w:val="Normale"/>
    <w:next w:val="Normale"/>
    <w:link w:val="Titolo3Carattere"/>
    <w:qFormat/>
    <w:rsid w:val="006223EB"/>
    <w:pPr>
      <w:keepNext/>
      <w:spacing w:before="240" w:after="180"/>
      <w:ind w:left="568" w:hanging="284"/>
      <w:outlineLvl w:val="2"/>
    </w:pPr>
    <w:rPr>
      <w:b/>
      <w:i/>
    </w:rPr>
  </w:style>
  <w:style w:type="paragraph" w:styleId="Titolo4">
    <w:name w:val="heading 4"/>
    <w:basedOn w:val="Normale"/>
    <w:next w:val="Normale"/>
    <w:qFormat/>
    <w:rsid w:val="006223EB"/>
    <w:pPr>
      <w:keepNext/>
      <w:spacing w:before="240" w:after="180"/>
      <w:ind w:left="568" w:hanging="284"/>
      <w:outlineLvl w:val="3"/>
    </w:pPr>
    <w:rPr>
      <w:i/>
    </w:rPr>
  </w:style>
  <w:style w:type="paragraph" w:styleId="Titolo5">
    <w:name w:val="heading 5"/>
    <w:basedOn w:val="Normale"/>
    <w:next w:val="Normale"/>
    <w:qFormat/>
    <w:rsid w:val="006223EB"/>
    <w:pPr>
      <w:keepNext/>
      <w:spacing w:before="180" w:after="60"/>
      <w:ind w:left="568" w:hanging="284"/>
      <w:outlineLvl w:val="4"/>
    </w:pPr>
    <w:rPr>
      <w:u w:val="single"/>
    </w:rPr>
  </w:style>
  <w:style w:type="paragraph" w:styleId="Titolo6">
    <w:name w:val="heading 6"/>
    <w:basedOn w:val="Normale"/>
    <w:next w:val="Normale"/>
    <w:qFormat/>
    <w:rsid w:val="006223EB"/>
    <w:pPr>
      <w:spacing w:before="240" w:after="60"/>
      <w:ind w:firstLine="0"/>
      <w:outlineLvl w:val="5"/>
    </w:pPr>
    <w:rPr>
      <w:rFonts w:ascii="Times New Roman" w:hAnsi="Times New Roman"/>
      <w:i/>
    </w:rPr>
  </w:style>
  <w:style w:type="paragraph" w:styleId="Titolo7">
    <w:name w:val="heading 7"/>
    <w:basedOn w:val="Normale"/>
    <w:next w:val="Normale"/>
    <w:qFormat/>
    <w:rsid w:val="006223EB"/>
    <w:pPr>
      <w:spacing w:before="240" w:after="60"/>
      <w:ind w:firstLine="0"/>
      <w:outlineLvl w:val="6"/>
    </w:pPr>
    <w:rPr>
      <w:sz w:val="20"/>
    </w:rPr>
  </w:style>
  <w:style w:type="paragraph" w:styleId="Titolo8">
    <w:name w:val="heading 8"/>
    <w:basedOn w:val="Normale"/>
    <w:next w:val="Normale"/>
    <w:qFormat/>
    <w:rsid w:val="006223EB"/>
    <w:pPr>
      <w:spacing w:before="240" w:after="60"/>
      <w:ind w:firstLine="0"/>
      <w:outlineLvl w:val="7"/>
    </w:pPr>
    <w:rPr>
      <w:i/>
      <w:sz w:val="20"/>
    </w:rPr>
  </w:style>
  <w:style w:type="paragraph" w:styleId="Titolo9">
    <w:name w:val="heading 9"/>
    <w:basedOn w:val="Normale"/>
    <w:next w:val="Normale"/>
    <w:qFormat/>
    <w:rsid w:val="006223EB"/>
    <w:pPr>
      <w:spacing w:before="240" w:after="60"/>
      <w:ind w:firstLine="0"/>
      <w:outlineLvl w:val="8"/>
    </w:pPr>
    <w:rPr>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selladitesto">
    <w:name w:val="Casella di testo"/>
    <w:basedOn w:val="Normale"/>
    <w:rsid w:val="006223EB"/>
    <w:pPr>
      <w:spacing w:line="240" w:lineRule="auto"/>
      <w:ind w:firstLine="0"/>
      <w:jc w:val="left"/>
    </w:pPr>
    <w:rPr>
      <w:rFonts w:ascii="Times New Roman" w:hAnsi="Times New Roman"/>
      <w:b/>
      <w:sz w:val="20"/>
    </w:rPr>
  </w:style>
  <w:style w:type="paragraph" w:styleId="Intestazione">
    <w:name w:val="header"/>
    <w:basedOn w:val="Normale"/>
    <w:link w:val="IntestazioneCarattere"/>
    <w:uiPriority w:val="99"/>
    <w:rsid w:val="006223EB"/>
    <w:pPr>
      <w:tabs>
        <w:tab w:val="center" w:pos="3969"/>
        <w:tab w:val="right" w:pos="7938"/>
      </w:tabs>
    </w:pPr>
  </w:style>
  <w:style w:type="paragraph" w:customStyle="1" w:styleId="Intestazionedispari">
    <w:name w:val="Intestazione dispari"/>
    <w:basedOn w:val="Normale"/>
    <w:rsid w:val="006223EB"/>
    <w:pPr>
      <w:pBdr>
        <w:bottom w:val="single" w:sz="4" w:space="1" w:color="auto"/>
      </w:pBdr>
      <w:ind w:firstLine="0"/>
      <w:jc w:val="right"/>
    </w:pPr>
    <w:rPr>
      <w:smallCaps/>
      <w:sz w:val="18"/>
    </w:rPr>
  </w:style>
  <w:style w:type="paragraph" w:customStyle="1" w:styleId="Intestazionepari">
    <w:name w:val="Intestazione pari"/>
    <w:basedOn w:val="Normale"/>
    <w:rsid w:val="006223EB"/>
    <w:pPr>
      <w:pBdr>
        <w:bottom w:val="single" w:sz="4" w:space="1" w:color="auto"/>
      </w:pBdr>
      <w:spacing w:line="240" w:lineRule="auto"/>
      <w:ind w:firstLine="0"/>
    </w:pPr>
    <w:rPr>
      <w:smallCaps/>
      <w:sz w:val="18"/>
    </w:rPr>
  </w:style>
  <w:style w:type="character" w:styleId="Numeropagina">
    <w:name w:val="page number"/>
    <w:rsid w:val="006223EB"/>
    <w:rPr>
      <w:rFonts w:ascii="Arial" w:hAnsi="Arial"/>
      <w:sz w:val="22"/>
    </w:rPr>
  </w:style>
  <w:style w:type="paragraph" w:customStyle="1" w:styleId="Occhiello">
    <w:name w:val="Occhiello"/>
    <w:basedOn w:val="Normale"/>
    <w:rsid w:val="006223EB"/>
    <w:pPr>
      <w:spacing w:before="4800"/>
      <w:ind w:firstLine="0"/>
      <w:jc w:val="center"/>
      <w:outlineLvl w:val="0"/>
    </w:pPr>
    <w:rPr>
      <w:b/>
      <w:sz w:val="36"/>
    </w:rPr>
  </w:style>
  <w:style w:type="paragraph" w:styleId="Pidipagina">
    <w:name w:val="footer"/>
    <w:basedOn w:val="Normale"/>
    <w:link w:val="PidipaginaCarattere"/>
    <w:uiPriority w:val="99"/>
    <w:rsid w:val="006223EB"/>
    <w:pPr>
      <w:ind w:firstLine="0"/>
      <w:jc w:val="center"/>
    </w:pPr>
  </w:style>
  <w:style w:type="paragraph" w:customStyle="1" w:styleId="Ridotto">
    <w:name w:val="Ridotto"/>
    <w:basedOn w:val="Normale"/>
    <w:link w:val="RidottoCarattere"/>
    <w:qFormat/>
    <w:rsid w:val="006223EB"/>
    <w:pPr>
      <w:spacing w:line="260" w:lineRule="atLeast"/>
    </w:pPr>
    <w:rPr>
      <w:sz w:val="20"/>
    </w:rPr>
  </w:style>
  <w:style w:type="character" w:styleId="Rimandonotaapidipagina">
    <w:name w:val="footnote reference"/>
    <w:aliases w:val="(Footnote ReferenceI,SUPERS,(Footnote Reference),EN Footnote Reference,Footnote symbol,Footnote,Footnote number,fr,o,Footnotemark,FR,Footnotemark1,Footnotemark2,FR1,Footnotemark3,FR2,Footnotemark4,FR3,Footnotemark5,FR4"/>
    <w:uiPriority w:val="99"/>
    <w:qFormat/>
    <w:rsid w:val="006223EB"/>
    <w:rPr>
      <w:vertAlign w:val="superscript"/>
    </w:rPr>
  </w:style>
  <w:style w:type="paragraph" w:customStyle="1" w:styleId="Tabellare">
    <w:name w:val="Tabellare"/>
    <w:basedOn w:val="Ridotto"/>
    <w:rsid w:val="006223EB"/>
    <w:pPr>
      <w:keepLines/>
      <w:spacing w:before="60" w:after="60" w:line="240" w:lineRule="auto"/>
      <w:ind w:firstLine="0"/>
      <w:jc w:val="left"/>
    </w:pPr>
  </w:style>
  <w:style w:type="paragraph" w:styleId="Testonotaapidipagina">
    <w:name w:val="footnote text"/>
    <w:aliases w:val="Testo nota a piè di pagina Carattere,Testo nota a piè di pagina Carattere1,Testo nota a piè di pagina Carattere2,Testo nota a piè di pagina Carattere Carattere1,Testo nota a piè di pagina Carattere1 Carattere,stile 1"/>
    <w:basedOn w:val="Normale"/>
    <w:link w:val="TestonotaapidipaginaCarattere3"/>
    <w:rsid w:val="006223EB"/>
    <w:pPr>
      <w:spacing w:line="240" w:lineRule="auto"/>
      <w:ind w:left="284" w:hanging="284"/>
    </w:pPr>
    <w:rPr>
      <w:sz w:val="18"/>
    </w:rPr>
  </w:style>
  <w:style w:type="paragraph" w:customStyle="1" w:styleId="leggitesto">
    <w:name w:val="leggi_testo"/>
    <w:basedOn w:val="Normale"/>
    <w:rsid w:val="00F84BDE"/>
    <w:pPr>
      <w:spacing w:before="60" w:line="240" w:lineRule="auto"/>
    </w:pPr>
    <w:rPr>
      <w:sz w:val="20"/>
    </w:rPr>
  </w:style>
  <w:style w:type="paragraph" w:customStyle="1" w:styleId="legge-note">
    <w:name w:val="legge-note"/>
    <w:basedOn w:val="Normale"/>
    <w:rsid w:val="00F84BDE"/>
    <w:pPr>
      <w:spacing w:line="240" w:lineRule="auto"/>
      <w:ind w:left="284" w:hanging="284"/>
    </w:pPr>
    <w:rPr>
      <w:i/>
      <w:sz w:val="18"/>
    </w:rPr>
  </w:style>
  <w:style w:type="paragraph" w:customStyle="1" w:styleId="leggirubricaarticolo">
    <w:name w:val="leggi_(rubrica articolo)"/>
    <w:basedOn w:val="leggitesto"/>
    <w:next w:val="leggitesto"/>
    <w:rsid w:val="00F84BDE"/>
    <w:pPr>
      <w:keepNext/>
      <w:spacing w:after="240"/>
      <w:ind w:firstLine="0"/>
      <w:jc w:val="center"/>
    </w:pPr>
    <w:rPr>
      <w:i/>
    </w:rPr>
  </w:style>
  <w:style w:type="paragraph" w:customStyle="1" w:styleId="leggiArt">
    <w:name w:val="leggi_Art."/>
    <w:basedOn w:val="leggitesto"/>
    <w:next w:val="leggirubricaarticolo"/>
    <w:rsid w:val="00F84BDE"/>
    <w:pPr>
      <w:keepNext/>
      <w:ind w:firstLine="0"/>
      <w:jc w:val="center"/>
    </w:pPr>
  </w:style>
  <w:style w:type="paragraph" w:customStyle="1" w:styleId="Leggicapo">
    <w:name w:val="Leggi_capo"/>
    <w:basedOn w:val="Normale"/>
    <w:rsid w:val="00F84BDE"/>
    <w:pPr>
      <w:spacing w:before="60" w:after="60" w:line="240" w:lineRule="auto"/>
      <w:ind w:firstLine="0"/>
      <w:jc w:val="center"/>
    </w:pPr>
    <w:rPr>
      <w:b/>
      <w:sz w:val="20"/>
    </w:rPr>
  </w:style>
  <w:style w:type="paragraph" w:customStyle="1" w:styleId="leggititolo">
    <w:name w:val="leggi_titolo"/>
    <w:basedOn w:val="Normale"/>
    <w:link w:val="leggititoloCarattere"/>
    <w:rsid w:val="00F84BDE"/>
    <w:pPr>
      <w:spacing w:after="120" w:line="240" w:lineRule="auto"/>
      <w:ind w:firstLine="0"/>
      <w:jc w:val="center"/>
    </w:pPr>
    <w:rPr>
      <w:b/>
      <w:sz w:val="20"/>
    </w:rPr>
  </w:style>
  <w:style w:type="paragraph" w:customStyle="1" w:styleId="SENCOMMcommissione">
    <w:name w:val="SEN_COMM_commissione"/>
    <w:basedOn w:val="Normale"/>
    <w:rsid w:val="00F84BDE"/>
    <w:pPr>
      <w:spacing w:before="1080" w:after="120" w:line="240" w:lineRule="auto"/>
      <w:ind w:firstLine="0"/>
      <w:jc w:val="center"/>
    </w:pPr>
    <w:rPr>
      <w:rFonts w:ascii="Times New Roman" w:hAnsi="Times New Roman"/>
      <w:b/>
      <w:spacing w:val="26"/>
      <w:sz w:val="28"/>
    </w:rPr>
  </w:style>
  <w:style w:type="paragraph" w:customStyle="1" w:styleId="SENCOMMdata">
    <w:name w:val="SEN_COMM_data"/>
    <w:basedOn w:val="Normale"/>
    <w:next w:val="SENCOMMseduta"/>
    <w:link w:val="SENCOMMdataCarattere"/>
    <w:rsid w:val="00F84BDE"/>
    <w:pPr>
      <w:spacing w:before="120" w:after="120" w:line="240" w:lineRule="auto"/>
      <w:ind w:firstLine="0"/>
      <w:jc w:val="center"/>
    </w:pPr>
    <w:rPr>
      <w:rFonts w:ascii="Times New Roman" w:hAnsi="Times New Roman"/>
      <w:caps/>
      <w:sz w:val="20"/>
    </w:rPr>
  </w:style>
  <w:style w:type="paragraph" w:customStyle="1" w:styleId="SENCOMMseduta">
    <w:name w:val="SEN_COMM_seduta"/>
    <w:basedOn w:val="Normale"/>
    <w:next w:val="Normale"/>
    <w:rsid w:val="00F84BDE"/>
    <w:pPr>
      <w:spacing w:before="120" w:after="120" w:line="240" w:lineRule="auto"/>
      <w:ind w:firstLine="0"/>
      <w:jc w:val="center"/>
    </w:pPr>
    <w:rPr>
      <w:rFonts w:ascii="Times New Roman" w:hAnsi="Times New Roman"/>
      <w:b/>
    </w:rPr>
  </w:style>
  <w:style w:type="character" w:customStyle="1" w:styleId="SENCOMMdataCarattere">
    <w:name w:val="SEN_COMM_data Carattere"/>
    <w:link w:val="SENCOMMdata"/>
    <w:rsid w:val="00034E07"/>
    <w:rPr>
      <w:caps/>
      <w:lang w:val="it-IT" w:eastAsia="it-IT" w:bidi="ar-SA"/>
    </w:rPr>
  </w:style>
  <w:style w:type="paragraph" w:customStyle="1" w:styleId="SENCOMMintestazione">
    <w:name w:val="SEN_COMM_intestazione"/>
    <w:basedOn w:val="Intestazione"/>
    <w:rsid w:val="00034E07"/>
    <w:pPr>
      <w:tabs>
        <w:tab w:val="clear" w:pos="3969"/>
        <w:tab w:val="clear" w:pos="7938"/>
        <w:tab w:val="center" w:pos="4253"/>
        <w:tab w:val="right" w:pos="8505"/>
      </w:tabs>
      <w:spacing w:after="60" w:line="240" w:lineRule="auto"/>
      <w:ind w:firstLine="0"/>
      <w:jc w:val="left"/>
    </w:pPr>
    <w:rPr>
      <w:rFonts w:ascii="Times New Roman" w:hAnsi="Times New Roman"/>
      <w:i/>
      <w:szCs w:val="22"/>
    </w:rPr>
  </w:style>
  <w:style w:type="paragraph" w:customStyle="1" w:styleId="SENCOMMtitolocommissione">
    <w:name w:val="SEN_COMM_titolo commissione"/>
    <w:basedOn w:val="Normale"/>
    <w:rsid w:val="00F84BDE"/>
    <w:pPr>
      <w:spacing w:before="1080" w:after="120" w:line="240" w:lineRule="auto"/>
      <w:ind w:firstLine="0"/>
      <w:jc w:val="center"/>
    </w:pPr>
    <w:rPr>
      <w:rFonts w:ascii="Times New Roman" w:hAnsi="Times New Roman"/>
      <w:b/>
      <w:spacing w:val="26"/>
      <w:sz w:val="28"/>
    </w:rPr>
  </w:style>
  <w:style w:type="paragraph" w:customStyle="1" w:styleId="AC-CAMERADEIDEPUTATI">
    <w:name w:val="AC-CAMERA DEI DEPUTATI"/>
    <w:basedOn w:val="Normale"/>
    <w:rsid w:val="00F84BDE"/>
    <w:pPr>
      <w:spacing w:line="240" w:lineRule="auto"/>
      <w:ind w:firstLine="0"/>
      <w:jc w:val="center"/>
    </w:pPr>
    <w:rPr>
      <w:rFonts w:ascii="Lucida Bright" w:hAnsi="Lucida Bright"/>
      <w:spacing w:val="-20"/>
      <w:kern w:val="20"/>
      <w:sz w:val="56"/>
    </w:rPr>
  </w:style>
  <w:style w:type="paragraph" w:customStyle="1" w:styleId="AC-DEPUTATI">
    <w:name w:val="AC-DEPUTATI"/>
    <w:basedOn w:val="Normale"/>
    <w:rsid w:val="00F84BDE"/>
    <w:pPr>
      <w:spacing w:before="120" w:after="120" w:line="240" w:lineRule="auto"/>
      <w:ind w:firstLine="0"/>
      <w:jc w:val="center"/>
    </w:pPr>
    <w:rPr>
      <w:rFonts w:ascii="Times New Roman" w:hAnsi="Times New Roman"/>
      <w:b/>
      <w:caps/>
      <w:sz w:val="28"/>
    </w:rPr>
  </w:style>
  <w:style w:type="paragraph" w:customStyle="1" w:styleId="AC-diniziativa">
    <w:name w:val="AC-d'iniziativa.."/>
    <w:basedOn w:val="Normale"/>
    <w:rsid w:val="00F84BDE"/>
    <w:pPr>
      <w:spacing w:before="120" w:after="120" w:line="300" w:lineRule="exact"/>
      <w:ind w:firstLine="0"/>
      <w:jc w:val="center"/>
    </w:pPr>
    <w:rPr>
      <w:rFonts w:ascii="Garamond" w:hAnsi="Garamond"/>
      <w:b/>
      <w:sz w:val="26"/>
    </w:rPr>
  </w:style>
  <w:style w:type="paragraph" w:customStyle="1" w:styleId="ACIntestazione1">
    <w:name w:val="ACIntestazione1"/>
    <w:basedOn w:val="Normale"/>
    <w:rsid w:val="00F84BDE"/>
    <w:pPr>
      <w:tabs>
        <w:tab w:val="center" w:pos="4536"/>
        <w:tab w:val="right" w:pos="8475"/>
      </w:tabs>
      <w:spacing w:after="60" w:line="240" w:lineRule="auto"/>
      <w:ind w:firstLine="0"/>
      <w:jc w:val="left"/>
    </w:pPr>
    <w:rPr>
      <w:rFonts w:ascii="Times New Roman" w:hAnsi="Times New Roman"/>
      <w:i/>
    </w:rPr>
  </w:style>
  <w:style w:type="paragraph" w:customStyle="1" w:styleId="AC-N">
    <w:name w:val="AC-N..."/>
    <w:basedOn w:val="Normale"/>
    <w:rsid w:val="00577870"/>
    <w:pPr>
      <w:spacing w:before="240" w:line="240" w:lineRule="auto"/>
      <w:ind w:firstLine="0"/>
      <w:jc w:val="right"/>
    </w:pPr>
    <w:rPr>
      <w:rFonts w:ascii="Book Antiqua" w:hAnsi="Book Antiqua"/>
      <w:b/>
      <w:spacing w:val="20"/>
      <w:sz w:val="24"/>
    </w:rPr>
  </w:style>
  <w:style w:type="paragraph" w:customStyle="1" w:styleId="AC-Presentatail">
    <w:name w:val="AC-Presentata il"/>
    <w:basedOn w:val="Normale"/>
    <w:rsid w:val="00F84BDE"/>
    <w:pPr>
      <w:spacing w:before="120" w:after="120" w:line="300" w:lineRule="exact"/>
      <w:ind w:firstLine="0"/>
      <w:jc w:val="center"/>
    </w:pPr>
    <w:rPr>
      <w:rFonts w:ascii="Garamond" w:hAnsi="Garamond"/>
      <w:i/>
      <w:spacing w:val="16"/>
      <w:sz w:val="24"/>
    </w:rPr>
  </w:style>
  <w:style w:type="paragraph" w:customStyle="1" w:styleId="AC-PROPOSTADILEGGE">
    <w:name w:val="AC-PROPOSTA DI LEGGE"/>
    <w:basedOn w:val="Normale"/>
    <w:rsid w:val="00DC583D"/>
    <w:pPr>
      <w:spacing w:before="360" w:after="60" w:line="300" w:lineRule="exact"/>
      <w:ind w:firstLine="0"/>
      <w:jc w:val="center"/>
    </w:pPr>
    <w:rPr>
      <w:rFonts w:ascii="Estrangelo Edessa" w:hAnsi="Estrangelo Edessa" w:cs="Estrangelo Edessa"/>
      <w:b/>
      <w:sz w:val="36"/>
      <w:szCs w:val="36"/>
    </w:rPr>
  </w:style>
  <w:style w:type="paragraph" w:customStyle="1" w:styleId="AAA-TESTOATTIPARLAMENTARI">
    <w:name w:val="AAA-TESTO ATTI PARLAMENTARI"/>
    <w:basedOn w:val="Normale"/>
    <w:link w:val="AAA-TESTOATTIPARLAMENTARICarattere"/>
    <w:rsid w:val="00F84BDE"/>
    <w:pPr>
      <w:spacing w:after="60" w:line="240" w:lineRule="exact"/>
      <w:ind w:firstLine="301"/>
    </w:pPr>
    <w:rPr>
      <w:rFonts w:ascii="Garamond" w:hAnsi="Garamond"/>
      <w:sz w:val="24"/>
    </w:rPr>
  </w:style>
  <w:style w:type="character" w:customStyle="1" w:styleId="AAA-TESTOATTIPARLAMENTARICarattere">
    <w:name w:val="AAA-TESTO ATTI PARLAMENTARI Carattere"/>
    <w:link w:val="AAA-TESTOATTIPARLAMENTARI"/>
    <w:rsid w:val="00F84BDE"/>
    <w:rPr>
      <w:rFonts w:ascii="Garamond" w:hAnsi="Garamond"/>
      <w:sz w:val="24"/>
      <w:lang w:val="it-IT" w:eastAsia="it-IT" w:bidi="ar-SA"/>
    </w:rPr>
  </w:style>
  <w:style w:type="paragraph" w:customStyle="1" w:styleId="AC-titolo">
    <w:name w:val="AC-titolo"/>
    <w:basedOn w:val="Normale"/>
    <w:rsid w:val="00F84BDE"/>
    <w:pPr>
      <w:spacing w:before="360" w:after="360" w:line="300" w:lineRule="exact"/>
      <w:ind w:firstLine="0"/>
      <w:jc w:val="center"/>
    </w:pPr>
    <w:rPr>
      <w:rFonts w:ascii="Garamond" w:hAnsi="Garamond"/>
      <w:sz w:val="26"/>
    </w:rPr>
  </w:style>
  <w:style w:type="paragraph" w:customStyle="1" w:styleId="AS-XIVLEGISLATURA">
    <w:name w:val="AS - XIV LEGISLATURA"/>
    <w:basedOn w:val="Normale"/>
    <w:rsid w:val="00F84BDE"/>
    <w:pPr>
      <w:spacing w:line="240" w:lineRule="auto"/>
      <w:ind w:firstLine="0"/>
      <w:jc w:val="center"/>
    </w:pPr>
    <w:rPr>
      <w:rFonts w:ascii="Book Antiqua" w:hAnsi="Book Antiqua"/>
      <w:spacing w:val="20"/>
      <w:sz w:val="24"/>
    </w:rPr>
  </w:style>
  <w:style w:type="paragraph" w:customStyle="1" w:styleId="ASpresentatoda">
    <w:name w:val="AS_presentato da.."/>
    <w:basedOn w:val="Normale"/>
    <w:rsid w:val="00F84BDE"/>
    <w:pPr>
      <w:spacing w:before="480" w:line="240" w:lineRule="auto"/>
      <w:ind w:firstLine="0"/>
      <w:jc w:val="center"/>
    </w:pPr>
    <w:rPr>
      <w:rFonts w:ascii="Garamond" w:hAnsi="Garamond"/>
      <w:b/>
      <w:sz w:val="28"/>
    </w:rPr>
  </w:style>
  <w:style w:type="paragraph" w:customStyle="1" w:styleId="AStitolo">
    <w:name w:val="AS_titolo"/>
    <w:basedOn w:val="Normale"/>
    <w:rsid w:val="00F84BDE"/>
    <w:pPr>
      <w:spacing w:before="120" w:after="120" w:line="280" w:lineRule="exact"/>
      <w:ind w:left="425" w:right="851" w:firstLine="0"/>
      <w:jc w:val="center"/>
    </w:pPr>
    <w:rPr>
      <w:rFonts w:ascii="Garamond" w:hAnsi="Garamond"/>
      <w:color w:val="000000"/>
      <w:sz w:val="28"/>
    </w:rPr>
  </w:style>
  <w:style w:type="paragraph" w:customStyle="1" w:styleId="AS-COMUNICATOALLAPRESIDENZA">
    <w:name w:val="AS-COMUNICATO ALLA PRESIDENZA"/>
    <w:basedOn w:val="Normale"/>
    <w:rsid w:val="00F84BDE"/>
    <w:pPr>
      <w:spacing w:before="720" w:after="60" w:line="300" w:lineRule="exact"/>
      <w:ind w:firstLine="0"/>
      <w:jc w:val="center"/>
    </w:pPr>
    <w:rPr>
      <w:rFonts w:ascii="Garamond" w:hAnsi="Garamond"/>
      <w:b/>
      <w:smallCaps/>
      <w:sz w:val="24"/>
    </w:rPr>
  </w:style>
  <w:style w:type="paragraph" w:customStyle="1" w:styleId="AS-DISEGNODILEGGE">
    <w:name w:val="AS-DISEGNO DI LEGGE"/>
    <w:basedOn w:val="Normale"/>
    <w:link w:val="AS-DISEGNODILEGGECarattere"/>
    <w:rsid w:val="00F84BDE"/>
    <w:pPr>
      <w:spacing w:before="240" w:after="240" w:line="300" w:lineRule="exact"/>
      <w:ind w:firstLine="0"/>
      <w:jc w:val="center"/>
    </w:pPr>
    <w:rPr>
      <w:rFonts w:ascii="CG Times" w:hAnsi="CG Times"/>
      <w:b/>
      <w:spacing w:val="40"/>
      <w:sz w:val="36"/>
    </w:rPr>
  </w:style>
  <w:style w:type="character" w:customStyle="1" w:styleId="AS-DISEGNODILEGGECarattere">
    <w:name w:val="AS-DISEGNO DI LEGGE Carattere"/>
    <w:link w:val="AS-DISEGNODILEGGE"/>
    <w:rsid w:val="00BA23FD"/>
    <w:rPr>
      <w:rFonts w:ascii="CG Times" w:hAnsi="CG Times"/>
      <w:b/>
      <w:spacing w:val="40"/>
      <w:sz w:val="36"/>
      <w:lang w:val="it-IT" w:eastAsia="it-IT" w:bidi="ar-SA"/>
    </w:rPr>
  </w:style>
  <w:style w:type="paragraph" w:customStyle="1" w:styleId="ASintestazione2">
    <w:name w:val="ASintestazione 2"/>
    <w:basedOn w:val="Normale"/>
    <w:rsid w:val="00F84BDE"/>
    <w:pPr>
      <w:tabs>
        <w:tab w:val="center" w:pos="4536"/>
        <w:tab w:val="right" w:pos="9072"/>
      </w:tabs>
      <w:spacing w:after="120" w:line="240" w:lineRule="auto"/>
      <w:ind w:firstLine="0"/>
      <w:jc w:val="left"/>
    </w:pPr>
    <w:rPr>
      <w:rFonts w:ascii="Times New Roman" w:hAnsi="Times New Roman"/>
      <w:i/>
    </w:rPr>
  </w:style>
  <w:style w:type="paragraph" w:customStyle="1" w:styleId="AS-N">
    <w:name w:val="AS-N...."/>
    <w:basedOn w:val="Normale"/>
    <w:rsid w:val="00F84BDE"/>
    <w:pPr>
      <w:spacing w:before="720" w:after="960" w:line="300" w:lineRule="exact"/>
      <w:ind w:left="4956" w:firstLine="709"/>
      <w:jc w:val="right"/>
    </w:pPr>
    <w:rPr>
      <w:rFonts w:ascii="Arial Narrow" w:hAnsi="Arial Narrow"/>
      <w:b/>
      <w:kern w:val="22"/>
      <w:sz w:val="36"/>
    </w:rPr>
  </w:style>
  <w:style w:type="paragraph" w:customStyle="1" w:styleId="AS-SENATODELLAREPUBBLICA">
    <w:name w:val="AS-SENATO DELLA REPUBBLICA"/>
    <w:basedOn w:val="Normale"/>
    <w:link w:val="AS-SENATODELLAREPUBBLICACarattere"/>
    <w:rsid w:val="00F84BDE"/>
    <w:pPr>
      <w:spacing w:line="240" w:lineRule="auto"/>
      <w:ind w:firstLine="0"/>
      <w:jc w:val="center"/>
    </w:pPr>
    <w:rPr>
      <w:rFonts w:ascii="Book Antiqua" w:hAnsi="Book Antiqua"/>
      <w:spacing w:val="30"/>
      <w:sz w:val="46"/>
    </w:rPr>
  </w:style>
  <w:style w:type="character" w:customStyle="1" w:styleId="AS-SENATODELLAREPUBBLICACarattere">
    <w:name w:val="AS-SENATO DELLA REPUBBLICA Carattere"/>
    <w:link w:val="AS-SENATODELLAREPUBBLICA"/>
    <w:rsid w:val="00BA23FD"/>
    <w:rPr>
      <w:rFonts w:ascii="Book Antiqua" w:hAnsi="Book Antiqua"/>
      <w:spacing w:val="30"/>
      <w:sz w:val="46"/>
      <w:lang w:val="it-IT" w:eastAsia="it-IT" w:bidi="ar-SA"/>
    </w:rPr>
  </w:style>
  <w:style w:type="paragraph" w:styleId="Sommario1">
    <w:name w:val="toc 1"/>
    <w:basedOn w:val="Normale"/>
    <w:next w:val="Sommario2"/>
    <w:rsid w:val="006223EB"/>
    <w:pPr>
      <w:keepNext/>
      <w:keepLines/>
      <w:widowControl w:val="0"/>
      <w:tabs>
        <w:tab w:val="right" w:pos="7938"/>
      </w:tabs>
      <w:spacing w:before="480" w:after="60"/>
      <w:ind w:right="851" w:firstLine="0"/>
      <w:jc w:val="left"/>
      <w:outlineLvl w:val="0"/>
    </w:pPr>
    <w:rPr>
      <w:b/>
      <w:smallCaps/>
      <w:noProof/>
      <w:sz w:val="26"/>
    </w:rPr>
  </w:style>
  <w:style w:type="paragraph" w:styleId="Sommario2">
    <w:name w:val="toc 2"/>
    <w:basedOn w:val="Sommario1"/>
    <w:next w:val="Normale"/>
    <w:uiPriority w:val="39"/>
    <w:rsid w:val="00C02ED3"/>
    <w:pPr>
      <w:keepLines w:val="0"/>
      <w:spacing w:before="120" w:after="0" w:line="300" w:lineRule="exact"/>
      <w:ind w:left="284"/>
      <w:jc w:val="both"/>
      <w:outlineLvl w:val="1"/>
    </w:pPr>
    <w:rPr>
      <w:rFonts w:ascii="Times New Roman" w:hAnsi="Times New Roman"/>
      <w:smallCaps w:val="0"/>
      <w:sz w:val="28"/>
    </w:rPr>
  </w:style>
  <w:style w:type="paragraph" w:styleId="Sommario3">
    <w:name w:val="toc 3"/>
    <w:basedOn w:val="Sommario1"/>
    <w:next w:val="Normale"/>
    <w:uiPriority w:val="39"/>
    <w:rsid w:val="006223EB"/>
    <w:pPr>
      <w:keepNext w:val="0"/>
      <w:keepLines w:val="0"/>
      <w:numPr>
        <w:numId w:val="4"/>
      </w:numPr>
      <w:tabs>
        <w:tab w:val="left" w:pos="567"/>
      </w:tabs>
      <w:spacing w:before="60" w:after="0"/>
      <w:jc w:val="both"/>
      <w:outlineLvl w:val="2"/>
    </w:pPr>
    <w:rPr>
      <w:b w:val="0"/>
      <w:smallCaps w:val="0"/>
      <w:sz w:val="22"/>
    </w:rPr>
  </w:style>
  <w:style w:type="paragraph" w:customStyle="1" w:styleId="CAM-ASS-nseduta">
    <w:name w:val="CAM-ASS-n.seduta"/>
    <w:basedOn w:val="Normale"/>
    <w:rsid w:val="00F84BDE"/>
    <w:pPr>
      <w:spacing w:line="300" w:lineRule="exact"/>
      <w:ind w:firstLine="0"/>
      <w:jc w:val="center"/>
    </w:pPr>
    <w:rPr>
      <w:rFonts w:ascii="Garamond" w:hAnsi="Garamond"/>
      <w:b/>
      <w:sz w:val="28"/>
    </w:rPr>
  </w:style>
  <w:style w:type="paragraph" w:customStyle="1" w:styleId="CAM-ASS-presidenza">
    <w:name w:val="CAM-ASS-presidenza.."/>
    <w:basedOn w:val="Normale"/>
    <w:rsid w:val="00F84BDE"/>
    <w:pPr>
      <w:spacing w:line="300" w:lineRule="exact"/>
      <w:ind w:firstLine="0"/>
      <w:jc w:val="center"/>
    </w:pPr>
    <w:rPr>
      <w:rFonts w:ascii="Garamond" w:hAnsi="Garamond"/>
      <w:caps/>
      <w:sz w:val="24"/>
    </w:rPr>
  </w:style>
  <w:style w:type="paragraph" w:customStyle="1" w:styleId="CAM-ASS-Resocontosommarioestenografico">
    <w:name w:val="CAM-ASS-Resoconto sommario e stenografico"/>
    <w:basedOn w:val="Normale"/>
    <w:rsid w:val="00F84BDE"/>
    <w:pPr>
      <w:spacing w:before="360" w:line="300" w:lineRule="exact"/>
      <w:ind w:firstLine="0"/>
      <w:jc w:val="center"/>
    </w:pPr>
    <w:rPr>
      <w:rFonts w:ascii="Garamond" w:hAnsi="Garamond"/>
      <w:b/>
      <w:spacing w:val="-20"/>
      <w:sz w:val="48"/>
    </w:rPr>
  </w:style>
  <w:style w:type="paragraph" w:customStyle="1" w:styleId="CAM-ASS-sedutadi">
    <w:name w:val="CAM-ASS-seduta di.."/>
    <w:basedOn w:val="Normale"/>
    <w:link w:val="CAM-ASS-sedutadiCarattere"/>
    <w:rsid w:val="00F84BDE"/>
    <w:pPr>
      <w:spacing w:before="360" w:line="300" w:lineRule="exact"/>
      <w:ind w:firstLine="0"/>
      <w:jc w:val="center"/>
    </w:pPr>
    <w:rPr>
      <w:rFonts w:ascii="Garamond" w:hAnsi="Garamond"/>
      <w:caps/>
      <w:spacing w:val="20"/>
      <w:w w:val="66"/>
      <w:sz w:val="48"/>
    </w:rPr>
  </w:style>
  <w:style w:type="paragraph" w:customStyle="1" w:styleId="COMMSENtitolocommissione">
    <w:name w:val="COMM_SEN_titolo commissione"/>
    <w:basedOn w:val="Normale"/>
    <w:rsid w:val="00F84BDE"/>
    <w:pPr>
      <w:spacing w:before="1080" w:after="120" w:line="240" w:lineRule="auto"/>
      <w:ind w:firstLine="0"/>
      <w:jc w:val="center"/>
    </w:pPr>
    <w:rPr>
      <w:rFonts w:ascii="Times New Roman" w:hAnsi="Times New Roman"/>
      <w:b/>
      <w:spacing w:val="26"/>
      <w:sz w:val="28"/>
    </w:rPr>
  </w:style>
  <w:style w:type="paragraph" w:customStyle="1" w:styleId="COMMSENdata">
    <w:name w:val="COMM_SEN_data"/>
    <w:basedOn w:val="Normale"/>
    <w:next w:val="COMMSENseduta"/>
    <w:rsid w:val="00F84BDE"/>
    <w:pPr>
      <w:spacing w:before="120" w:after="120" w:line="240" w:lineRule="auto"/>
      <w:ind w:firstLine="0"/>
      <w:jc w:val="center"/>
    </w:pPr>
    <w:rPr>
      <w:rFonts w:ascii="Times New Roman" w:hAnsi="Times New Roman"/>
      <w:caps/>
      <w:sz w:val="20"/>
    </w:rPr>
  </w:style>
  <w:style w:type="paragraph" w:customStyle="1" w:styleId="COMMSENseduta">
    <w:name w:val="COMM_SEN_seduta"/>
    <w:basedOn w:val="Normale"/>
    <w:next w:val="Normale"/>
    <w:rsid w:val="00F84BDE"/>
    <w:pPr>
      <w:spacing w:before="120" w:after="120" w:line="240" w:lineRule="auto"/>
      <w:ind w:firstLine="0"/>
      <w:jc w:val="center"/>
    </w:pPr>
    <w:rPr>
      <w:rFonts w:ascii="Times New Roman" w:hAnsi="Times New Roman"/>
      <w:b/>
    </w:rPr>
  </w:style>
  <w:style w:type="paragraph" w:customStyle="1" w:styleId="ASS-SENSENATODELAREPUBBLICA">
    <w:name w:val="ASS-SEN_SENATO DELA REPUBBLICA"/>
    <w:basedOn w:val="AS-SENATODELLAREPUBBLICA"/>
    <w:link w:val="ASS-SENSENATODELAREPUBBLICACarattere"/>
    <w:rsid w:val="00F84BDE"/>
    <w:rPr>
      <w:spacing w:val="40"/>
      <w:sz w:val="44"/>
    </w:rPr>
  </w:style>
  <w:style w:type="character" w:customStyle="1" w:styleId="ASS-SENSENATODELAREPUBBLICACarattere">
    <w:name w:val="ASS-SEN_SENATO DELA REPUBBLICA Carattere"/>
    <w:link w:val="ASS-SENSENATODELAREPUBBLICA"/>
    <w:rsid w:val="00BA23FD"/>
    <w:rPr>
      <w:rFonts w:ascii="Book Antiqua" w:hAnsi="Book Antiqua"/>
      <w:spacing w:val="40"/>
      <w:sz w:val="44"/>
      <w:lang w:val="it-IT" w:eastAsia="it-IT" w:bidi="ar-SA"/>
    </w:rPr>
  </w:style>
  <w:style w:type="paragraph" w:customStyle="1" w:styleId="DATA-ASS-SENATO">
    <w:name w:val="DATA-ASS-SENATO"/>
    <w:basedOn w:val="ASS-SENdata"/>
    <w:link w:val="DATA-ASS-SENATOCarattere"/>
    <w:rsid w:val="00BA23FD"/>
  </w:style>
  <w:style w:type="paragraph" w:customStyle="1" w:styleId="ASS-SENdata">
    <w:name w:val="ASS-SEN_data"/>
    <w:basedOn w:val="AS-DISEGNODILEGGE"/>
    <w:link w:val="ASS-SENdataCarattere"/>
    <w:rsid w:val="00F84BDE"/>
    <w:rPr>
      <w:sz w:val="32"/>
    </w:rPr>
  </w:style>
  <w:style w:type="character" w:customStyle="1" w:styleId="ASS-SENdataCarattere">
    <w:name w:val="ASS-SEN_data Carattere"/>
    <w:link w:val="ASS-SENdata"/>
    <w:rsid w:val="00BA23FD"/>
    <w:rPr>
      <w:rFonts w:ascii="CG Times" w:hAnsi="CG Times"/>
      <w:b/>
      <w:spacing w:val="40"/>
      <w:sz w:val="32"/>
      <w:lang w:val="it-IT" w:eastAsia="it-IT" w:bidi="ar-SA"/>
    </w:rPr>
  </w:style>
  <w:style w:type="character" w:customStyle="1" w:styleId="DATA-ASS-SENATOCarattere">
    <w:name w:val="DATA-ASS-SENATO Carattere"/>
    <w:basedOn w:val="ASS-SENdataCarattere"/>
    <w:link w:val="DATA-ASS-SENATO"/>
    <w:rsid w:val="00BA23FD"/>
    <w:rPr>
      <w:rFonts w:ascii="CG Times" w:hAnsi="CG Times"/>
      <w:b/>
      <w:spacing w:val="40"/>
      <w:sz w:val="32"/>
      <w:lang w:val="it-IT" w:eastAsia="it-IT" w:bidi="ar-SA"/>
    </w:rPr>
  </w:style>
  <w:style w:type="paragraph" w:customStyle="1" w:styleId="ASS-SENResocontosommarioestenografico">
    <w:name w:val="ASS-SENResoconto sommario e stenografico_"/>
    <w:basedOn w:val="AS-DISEGNODILEGGE"/>
    <w:rsid w:val="00F84BDE"/>
  </w:style>
  <w:style w:type="paragraph" w:customStyle="1" w:styleId="ASS-SENSEDUTA">
    <w:name w:val="ASS-SEN_SEDUTA"/>
    <w:basedOn w:val="ASS-SENSENATODELAREPUBBLICA"/>
    <w:link w:val="ASS-SENSEDUTACarattere"/>
    <w:rsid w:val="00F84BDE"/>
    <w:pPr>
      <w:spacing w:before="360" w:after="600"/>
    </w:pPr>
  </w:style>
  <w:style w:type="character" w:customStyle="1" w:styleId="ASS-SENSEDUTACarattere">
    <w:name w:val="ASS-SEN_SEDUTA Carattere"/>
    <w:basedOn w:val="ASS-SENSENATODELAREPUBBLICACarattere"/>
    <w:link w:val="ASS-SENSEDUTA"/>
    <w:rsid w:val="00BA23FD"/>
    <w:rPr>
      <w:rFonts w:ascii="Book Antiqua" w:hAnsi="Book Antiqua"/>
      <w:spacing w:val="40"/>
      <w:sz w:val="44"/>
      <w:lang w:val="it-IT" w:eastAsia="it-IT" w:bidi="ar-SA"/>
    </w:rPr>
  </w:style>
  <w:style w:type="character" w:customStyle="1" w:styleId="SENCOMM1-2">
    <w:name w:val="SEN_COMM_1^ -2^"/>
    <w:basedOn w:val="Carpredefinitoparagrafo"/>
    <w:rsid w:val="00F84BDE"/>
  </w:style>
  <w:style w:type="paragraph" w:customStyle="1" w:styleId="CAMCOMMCommissione">
    <w:name w:val="CAM_COMM_(Commissione)"/>
    <w:basedOn w:val="Normale"/>
    <w:rsid w:val="00F84BDE"/>
    <w:pPr>
      <w:spacing w:before="120" w:after="120" w:line="240" w:lineRule="auto"/>
      <w:ind w:firstLine="0"/>
      <w:jc w:val="center"/>
    </w:pPr>
    <w:rPr>
      <w:rFonts w:ascii="Times New Roman" w:hAnsi="Times New Roman"/>
      <w:b/>
      <w:sz w:val="24"/>
    </w:rPr>
  </w:style>
  <w:style w:type="character" w:customStyle="1" w:styleId="CAMCOMMI-II">
    <w:name w:val="CAM_COMM_I - II"/>
    <w:basedOn w:val="Carpredefinitoparagrafo"/>
    <w:rsid w:val="00F84BDE"/>
  </w:style>
  <w:style w:type="paragraph" w:customStyle="1" w:styleId="CAMCOMMintestazione">
    <w:name w:val="CAM_COMM_intestazione"/>
    <w:basedOn w:val="Intestazione"/>
    <w:rsid w:val="00F84BDE"/>
    <w:pPr>
      <w:pBdr>
        <w:bottom w:val="double" w:sz="4" w:space="1" w:color="auto"/>
      </w:pBdr>
      <w:tabs>
        <w:tab w:val="clear" w:pos="3969"/>
        <w:tab w:val="clear" w:pos="7938"/>
        <w:tab w:val="center" w:pos="4536"/>
        <w:tab w:val="right" w:pos="9072"/>
      </w:tabs>
      <w:spacing w:line="240" w:lineRule="auto"/>
      <w:ind w:firstLine="0"/>
      <w:jc w:val="left"/>
    </w:pPr>
    <w:rPr>
      <w:rFonts w:ascii="Times New Roman" w:hAnsi="Times New Roman"/>
      <w:i/>
    </w:rPr>
  </w:style>
  <w:style w:type="paragraph" w:customStyle="1" w:styleId="CAMCOMMtitolocommissione">
    <w:name w:val="CAM_COMM_titolo commissione"/>
    <w:basedOn w:val="Normale"/>
    <w:next w:val="Normale"/>
    <w:autoRedefine/>
    <w:rsid w:val="00F84BDE"/>
    <w:pPr>
      <w:spacing w:before="1080" w:after="120" w:line="240" w:lineRule="auto"/>
      <w:ind w:firstLine="0"/>
      <w:jc w:val="center"/>
    </w:pPr>
    <w:rPr>
      <w:rFonts w:ascii="Garamond" w:hAnsi="Garamond"/>
      <w:b/>
      <w:kern w:val="16"/>
      <w:sz w:val="36"/>
    </w:rPr>
  </w:style>
  <w:style w:type="paragraph" w:customStyle="1" w:styleId="AC-Relazione">
    <w:name w:val="AC-Relazione"/>
    <w:basedOn w:val="AC-PROPOSTADILEGGE"/>
    <w:rsid w:val="00F84BDE"/>
    <w:rPr>
      <w:rFonts w:ascii="Impact" w:hAnsi="Impact"/>
      <w:b w:val="0"/>
      <w:sz w:val="42"/>
    </w:rPr>
  </w:style>
  <w:style w:type="paragraph" w:customStyle="1" w:styleId="SommarioC">
    <w:name w:val="SommarioC"/>
    <w:basedOn w:val="SommarioA"/>
    <w:rsid w:val="00F84BDE"/>
    <w:pPr>
      <w:keepNext w:val="0"/>
      <w:keepLines w:val="0"/>
      <w:tabs>
        <w:tab w:val="left" w:pos="567"/>
      </w:tabs>
      <w:spacing w:before="60" w:after="0"/>
      <w:outlineLvl w:val="2"/>
    </w:pPr>
    <w:rPr>
      <w:b w:val="0"/>
      <w:smallCaps w:val="0"/>
      <w:sz w:val="22"/>
    </w:rPr>
  </w:style>
  <w:style w:type="paragraph" w:customStyle="1" w:styleId="SommarioA">
    <w:name w:val="SommarioA"/>
    <w:basedOn w:val="Normale"/>
    <w:next w:val="Normale"/>
    <w:rsid w:val="00F84BDE"/>
    <w:pPr>
      <w:keepNext/>
      <w:keepLines/>
      <w:tabs>
        <w:tab w:val="right" w:pos="7938"/>
      </w:tabs>
      <w:spacing w:before="480" w:after="60"/>
      <w:ind w:right="851" w:firstLine="0"/>
      <w:jc w:val="left"/>
      <w:outlineLvl w:val="0"/>
    </w:pPr>
    <w:rPr>
      <w:b/>
      <w:smallCaps/>
      <w:sz w:val="26"/>
    </w:rPr>
  </w:style>
  <w:style w:type="paragraph" w:styleId="Numeroelenco2">
    <w:name w:val="List Number 2"/>
    <w:basedOn w:val="Normale"/>
    <w:rsid w:val="006223EB"/>
    <w:pPr>
      <w:numPr>
        <w:numId w:val="3"/>
      </w:numPr>
    </w:pPr>
  </w:style>
  <w:style w:type="paragraph" w:customStyle="1" w:styleId="-PAGINA-">
    <w:name w:val="- PAGINA -"/>
    <w:rsid w:val="006223EB"/>
  </w:style>
  <w:style w:type="paragraph" w:customStyle="1" w:styleId="Autore">
    <w:name w:val="Autore"/>
    <w:rsid w:val="006223EB"/>
  </w:style>
  <w:style w:type="paragraph" w:customStyle="1" w:styleId="Autoreultimosalvataggio">
    <w:name w:val="Autore ultimo salvataggio"/>
    <w:rsid w:val="006223EB"/>
  </w:style>
  <w:style w:type="paragraph" w:customStyle="1" w:styleId="Autorenpaginadata">
    <w:name w:val="Autore  n. pagina  data"/>
    <w:rsid w:val="006223EB"/>
  </w:style>
  <w:style w:type="paragraph" w:styleId="Sommario4">
    <w:name w:val="toc 4"/>
    <w:basedOn w:val="Sommario1"/>
    <w:next w:val="Normale"/>
    <w:rsid w:val="006223EB"/>
    <w:pPr>
      <w:keepNext w:val="0"/>
      <w:keepLines w:val="0"/>
      <w:numPr>
        <w:numId w:val="5"/>
      </w:numPr>
      <w:tabs>
        <w:tab w:val="left" w:pos="851"/>
      </w:tabs>
      <w:spacing w:before="0" w:after="0"/>
      <w:outlineLvl w:val="3"/>
    </w:pPr>
    <w:rPr>
      <w:b w:val="0"/>
      <w:i/>
      <w:smallCaps w:val="0"/>
      <w:sz w:val="22"/>
    </w:rPr>
  </w:style>
  <w:style w:type="paragraph" w:styleId="Sommario7">
    <w:name w:val="toc 7"/>
    <w:basedOn w:val="Normale"/>
    <w:next w:val="Normale"/>
    <w:autoRedefine/>
    <w:rsid w:val="006223EB"/>
    <w:pPr>
      <w:tabs>
        <w:tab w:val="left" w:leader="dot" w:pos="7088"/>
        <w:tab w:val="center" w:pos="7655"/>
        <w:tab w:val="right" w:pos="8505"/>
      </w:tabs>
      <w:spacing w:before="60" w:after="60" w:line="240" w:lineRule="auto"/>
      <w:ind w:left="1203" w:right="1700" w:hanging="352"/>
      <w:jc w:val="left"/>
    </w:pPr>
    <w:rPr>
      <w:noProof/>
    </w:rPr>
  </w:style>
  <w:style w:type="paragraph" w:customStyle="1" w:styleId="Titolo1sintesi">
    <w:name w:val="Titolo 1 (sintesi)"/>
    <w:basedOn w:val="Titolo1"/>
    <w:rsid w:val="006223EB"/>
    <w:pPr>
      <w:pBdr>
        <w:top w:val="single" w:sz="6" w:space="12" w:color="auto"/>
        <w:left w:val="single" w:sz="6" w:space="4" w:color="auto"/>
        <w:bottom w:val="single" w:sz="6" w:space="12" w:color="auto"/>
        <w:right w:val="single" w:sz="6" w:space="4" w:color="auto"/>
      </w:pBdr>
      <w:shd w:val="pct10" w:color="auto" w:fill="auto"/>
      <w:ind w:left="1134" w:right="1134"/>
      <w:outlineLvl w:val="1"/>
    </w:pPr>
  </w:style>
  <w:style w:type="paragraph" w:customStyle="1" w:styleId="Datadicreazione">
    <w:name w:val="Data di creazione"/>
    <w:rsid w:val="00F84BDE"/>
  </w:style>
  <w:style w:type="paragraph" w:customStyle="1" w:styleId="Dataultimastampa">
    <w:name w:val="Data ultima stampa"/>
    <w:rsid w:val="00F84BDE"/>
  </w:style>
  <w:style w:type="paragraph" w:customStyle="1" w:styleId="Nomefile">
    <w:name w:val="Nome file"/>
    <w:rsid w:val="006223EB"/>
  </w:style>
  <w:style w:type="paragraph" w:customStyle="1" w:styleId="Nomefileepercorso">
    <w:name w:val="Nome file e percorso"/>
    <w:rsid w:val="006223EB"/>
  </w:style>
  <w:style w:type="paragraph" w:customStyle="1" w:styleId="PaginaXdiY">
    <w:name w:val="Pagina X di Y"/>
    <w:rsid w:val="006223EB"/>
  </w:style>
  <w:style w:type="paragraph" w:customStyle="1" w:styleId="Riservatopaginadata">
    <w:name w:val="Riservato  pagina #  data"/>
    <w:rsid w:val="006223EB"/>
  </w:style>
  <w:style w:type="paragraph" w:styleId="Sommario5">
    <w:name w:val="toc 5"/>
    <w:basedOn w:val="Sommario1"/>
    <w:next w:val="Normale"/>
    <w:autoRedefine/>
    <w:rsid w:val="006223EB"/>
    <w:pPr>
      <w:keepNext w:val="0"/>
      <w:keepLines w:val="0"/>
      <w:spacing w:before="0" w:after="0"/>
      <w:ind w:left="851"/>
      <w:jc w:val="both"/>
      <w:outlineLvl w:val="4"/>
    </w:pPr>
    <w:rPr>
      <w:b w:val="0"/>
      <w:smallCaps w:val="0"/>
      <w:sz w:val="22"/>
    </w:rPr>
  </w:style>
  <w:style w:type="paragraph" w:styleId="Sommario6">
    <w:name w:val="toc 6"/>
    <w:basedOn w:val="Normale"/>
    <w:next w:val="Normale"/>
    <w:autoRedefine/>
    <w:rsid w:val="006223EB"/>
    <w:pPr>
      <w:ind w:left="1100"/>
      <w:jc w:val="left"/>
    </w:pPr>
    <w:rPr>
      <w:rFonts w:ascii="Times New Roman" w:hAnsi="Times New Roman"/>
      <w:sz w:val="18"/>
    </w:rPr>
  </w:style>
  <w:style w:type="paragraph" w:styleId="Sommario8">
    <w:name w:val="toc 8"/>
    <w:basedOn w:val="Sommario1"/>
    <w:next w:val="Normale"/>
    <w:autoRedefine/>
    <w:rsid w:val="006223EB"/>
    <w:pPr>
      <w:spacing w:line="300" w:lineRule="exact"/>
      <w:outlineLvl w:val="7"/>
    </w:pPr>
  </w:style>
  <w:style w:type="paragraph" w:styleId="Sommario9">
    <w:name w:val="toc 9"/>
    <w:basedOn w:val="Sommario1"/>
    <w:next w:val="Normale"/>
    <w:rsid w:val="006223EB"/>
    <w:pPr>
      <w:keepNext w:val="0"/>
      <w:keepLines w:val="0"/>
      <w:spacing w:before="120" w:after="0" w:line="300" w:lineRule="exact"/>
      <w:ind w:left="284"/>
      <w:jc w:val="both"/>
      <w:outlineLvl w:val="8"/>
    </w:pPr>
    <w:rPr>
      <w:smallCaps w:val="0"/>
      <w:sz w:val="22"/>
    </w:rPr>
  </w:style>
  <w:style w:type="paragraph" w:customStyle="1" w:styleId="cop">
    <w:name w:val="cop"/>
    <w:basedOn w:val="Normale"/>
    <w:rsid w:val="00F84BDE"/>
    <w:pPr>
      <w:keepNext/>
      <w:spacing w:line="240" w:lineRule="auto"/>
      <w:ind w:firstLine="0"/>
      <w:jc w:val="center"/>
    </w:pPr>
    <w:rPr>
      <w:b/>
      <w:smallCaps/>
      <w:kern w:val="28"/>
      <w:sz w:val="40"/>
    </w:rPr>
  </w:style>
  <w:style w:type="paragraph" w:styleId="Mappadocumento">
    <w:name w:val="Document Map"/>
    <w:basedOn w:val="Normale"/>
    <w:rsid w:val="006223EB"/>
    <w:pPr>
      <w:shd w:val="clear" w:color="auto" w:fill="000080"/>
    </w:pPr>
    <w:rPr>
      <w:rFonts w:ascii="Tahoma" w:hAnsi="Tahoma"/>
    </w:rPr>
  </w:style>
  <w:style w:type="paragraph" w:customStyle="1" w:styleId="Etichettadocumento">
    <w:name w:val="Etichetta documento"/>
    <w:basedOn w:val="Normale"/>
    <w:rsid w:val="00F84BDE"/>
    <w:pPr>
      <w:keepNext/>
      <w:keepLines/>
      <w:spacing w:before="400" w:after="120" w:line="240" w:lineRule="atLeast"/>
      <w:ind w:left="-840" w:firstLine="0"/>
      <w:jc w:val="left"/>
    </w:pPr>
    <w:rPr>
      <w:rFonts w:ascii="Arial Black" w:hAnsi="Arial Black"/>
      <w:spacing w:val="-100"/>
      <w:kern w:val="28"/>
      <w:sz w:val="108"/>
    </w:rPr>
  </w:style>
  <w:style w:type="paragraph" w:styleId="Intestazionemessaggio">
    <w:name w:val="Message Header"/>
    <w:basedOn w:val="Normale"/>
    <w:rsid w:val="006223EB"/>
    <w:pPr>
      <w:keepLines/>
      <w:tabs>
        <w:tab w:val="left" w:pos="720"/>
        <w:tab w:val="left" w:pos="4320"/>
        <w:tab w:val="left" w:pos="5040"/>
        <w:tab w:val="right" w:pos="8640"/>
      </w:tabs>
      <w:spacing w:after="40" w:line="440" w:lineRule="atLeast"/>
      <w:ind w:left="720" w:hanging="720"/>
      <w:jc w:val="left"/>
    </w:pPr>
    <w:rPr>
      <w:spacing w:val="-5"/>
    </w:rPr>
  </w:style>
  <w:style w:type="character" w:customStyle="1" w:styleId="Etichettaintestazionemessaggio">
    <w:name w:val="Etichetta intestazione messaggio"/>
    <w:rsid w:val="00F84BDE"/>
    <w:rPr>
      <w:rFonts w:ascii="Arial Black" w:hAnsi="Arial Black"/>
      <w:sz w:val="18"/>
    </w:rPr>
  </w:style>
  <w:style w:type="paragraph" w:customStyle="1" w:styleId="Indirizzomittente1">
    <w:name w:val="Indirizzo mittente 1"/>
    <w:basedOn w:val="Normale"/>
    <w:rsid w:val="006223EB"/>
    <w:pPr>
      <w:keepLines/>
      <w:framePr w:w="5040" w:hSpace="187" w:vSpace="187" w:wrap="notBeside" w:vAnchor="page" w:hAnchor="margin" w:y="966" w:anchorLock="1"/>
      <w:tabs>
        <w:tab w:val="left" w:pos="27814"/>
      </w:tabs>
      <w:spacing w:line="200" w:lineRule="atLeast"/>
      <w:ind w:firstLine="0"/>
      <w:jc w:val="left"/>
    </w:pPr>
    <w:rPr>
      <w:spacing w:val="-2"/>
      <w:sz w:val="16"/>
    </w:rPr>
  </w:style>
  <w:style w:type="paragraph" w:customStyle="1" w:styleId="Correzioneautomatica">
    <w:name w:val="Correzione automatica"/>
    <w:rsid w:val="00F84BDE"/>
  </w:style>
  <w:style w:type="paragraph" w:styleId="Rientrocorpodeltesto">
    <w:name w:val="Body Text Indent"/>
    <w:basedOn w:val="Normale"/>
    <w:rsid w:val="00F84BDE"/>
    <w:pPr>
      <w:spacing w:line="240" w:lineRule="auto"/>
    </w:pPr>
  </w:style>
  <w:style w:type="character" w:styleId="Collegamentoipertestuale">
    <w:name w:val="Hyperlink"/>
    <w:rsid w:val="006223EB"/>
    <w:rPr>
      <w:rFonts w:ascii="Arial" w:hAnsi="Arial"/>
      <w:color w:val="0000FF"/>
      <w:sz w:val="22"/>
      <w:u w:val="single"/>
    </w:rPr>
  </w:style>
  <w:style w:type="paragraph" w:styleId="Corpotesto">
    <w:name w:val="Body Text"/>
    <w:basedOn w:val="Normale"/>
    <w:rsid w:val="00F84BDE"/>
    <w:pPr>
      <w:spacing w:after="120"/>
    </w:pPr>
  </w:style>
  <w:style w:type="paragraph" w:customStyle="1" w:styleId="noteIntestazione">
    <w:name w:val="note Intestazione"/>
    <w:basedOn w:val="Intestazione"/>
    <w:rsid w:val="006223EB"/>
    <w:pPr>
      <w:pBdr>
        <w:bottom w:val="single" w:sz="6" w:space="1" w:color="auto"/>
      </w:pBdr>
      <w:tabs>
        <w:tab w:val="clear" w:pos="3969"/>
        <w:tab w:val="center" w:pos="4253"/>
      </w:tabs>
      <w:spacing w:line="300" w:lineRule="exact"/>
      <w:ind w:right="56" w:firstLine="0"/>
    </w:pPr>
    <w:rPr>
      <w:i/>
      <w:sz w:val="20"/>
    </w:rPr>
  </w:style>
  <w:style w:type="paragraph" w:customStyle="1" w:styleId="COMITATO-indiceautomatico">
    <w:name w:val="COMITATO - indice automatico"/>
    <w:rsid w:val="006223EB"/>
    <w:pPr>
      <w:spacing w:line="300" w:lineRule="atLeast"/>
      <w:ind w:firstLine="284"/>
      <w:jc w:val="both"/>
    </w:pPr>
    <w:rPr>
      <w:rFonts w:ascii="Arial" w:hAnsi="Arial"/>
      <w:sz w:val="22"/>
    </w:rPr>
  </w:style>
  <w:style w:type="paragraph" w:customStyle="1" w:styleId="OCCHIELLO2">
    <w:name w:val="OCCHIELLO2"/>
    <w:basedOn w:val="Normale"/>
    <w:next w:val="Normale"/>
    <w:rsid w:val="006223EB"/>
    <w:pPr>
      <w:spacing w:before="5520"/>
      <w:jc w:val="center"/>
      <w:outlineLvl w:val="8"/>
    </w:pPr>
    <w:rPr>
      <w:b/>
      <w:sz w:val="32"/>
    </w:rPr>
  </w:style>
  <w:style w:type="paragraph" w:customStyle="1" w:styleId="SommarioD">
    <w:name w:val="SommarioD"/>
    <w:basedOn w:val="SommarioA"/>
    <w:rsid w:val="00F84BDE"/>
    <w:pPr>
      <w:keepNext w:val="0"/>
      <w:keepLines w:val="0"/>
      <w:tabs>
        <w:tab w:val="left" w:pos="851"/>
      </w:tabs>
      <w:spacing w:before="0" w:after="0"/>
      <w:outlineLvl w:val="3"/>
    </w:pPr>
    <w:rPr>
      <w:b w:val="0"/>
      <w:i/>
      <w:smallCaps w:val="0"/>
      <w:sz w:val="22"/>
    </w:rPr>
  </w:style>
  <w:style w:type="paragraph" w:customStyle="1" w:styleId="ASnormale">
    <w:name w:val="ASnormale"/>
    <w:basedOn w:val="Normale"/>
    <w:rsid w:val="00F84BDE"/>
    <w:pPr>
      <w:spacing w:after="60" w:line="300" w:lineRule="exact"/>
      <w:jc w:val="left"/>
    </w:pPr>
    <w:rPr>
      <w:rFonts w:ascii="Garamond" w:hAnsi="Garamond"/>
      <w:sz w:val="24"/>
    </w:rPr>
  </w:style>
  <w:style w:type="paragraph" w:customStyle="1" w:styleId="AS-diniziativa">
    <w:name w:val="AS- d'iniziativa"/>
    <w:basedOn w:val="ASnormale"/>
    <w:rsid w:val="00F84BDE"/>
    <w:pPr>
      <w:spacing w:before="480"/>
      <w:ind w:firstLine="0"/>
      <w:jc w:val="center"/>
    </w:pPr>
    <w:rPr>
      <w:b/>
    </w:rPr>
  </w:style>
  <w:style w:type="paragraph" w:customStyle="1" w:styleId="ACintestazione2">
    <w:name w:val="ACintestazione2"/>
    <w:basedOn w:val="Intestazione"/>
    <w:rsid w:val="00F84BDE"/>
    <w:pPr>
      <w:tabs>
        <w:tab w:val="clear" w:pos="3969"/>
        <w:tab w:val="clear" w:pos="7938"/>
        <w:tab w:val="center" w:pos="4819"/>
        <w:tab w:val="right" w:pos="8550"/>
      </w:tabs>
      <w:spacing w:line="240" w:lineRule="auto"/>
      <w:ind w:firstLine="0"/>
      <w:jc w:val="left"/>
    </w:pPr>
    <w:rPr>
      <w:rFonts w:ascii="Times New Roman" w:hAnsi="Times New Roman"/>
      <w:sz w:val="20"/>
    </w:rPr>
  </w:style>
  <w:style w:type="paragraph" w:customStyle="1" w:styleId="ASS-SEN-titoletto">
    <w:name w:val="ASS-SEN-titoletto"/>
    <w:basedOn w:val="ASS-SENnormale"/>
    <w:rsid w:val="00F84BDE"/>
    <w:pPr>
      <w:ind w:firstLine="0"/>
      <w:jc w:val="center"/>
    </w:pPr>
    <w:rPr>
      <w:b/>
    </w:rPr>
  </w:style>
  <w:style w:type="paragraph" w:customStyle="1" w:styleId="ASS-SENnormale">
    <w:name w:val="ASS-SEN_normale"/>
    <w:basedOn w:val="Normale"/>
    <w:rsid w:val="00F84BDE"/>
    <w:pPr>
      <w:spacing w:after="60" w:line="300" w:lineRule="exact"/>
      <w:ind w:firstLine="525"/>
    </w:pPr>
    <w:rPr>
      <w:rFonts w:ascii="Garamond" w:hAnsi="Garamond"/>
      <w:sz w:val="24"/>
    </w:rPr>
  </w:style>
  <w:style w:type="paragraph" w:customStyle="1" w:styleId="AC-Normale">
    <w:name w:val="AC-Normale"/>
    <w:basedOn w:val="Normale"/>
    <w:rsid w:val="00F84BDE"/>
    <w:pPr>
      <w:spacing w:before="120" w:after="120" w:line="240" w:lineRule="auto"/>
      <w:ind w:firstLine="0"/>
      <w:jc w:val="center"/>
    </w:pPr>
    <w:rPr>
      <w:rFonts w:ascii="Times New Roman" w:hAnsi="Times New Roman"/>
      <w:b/>
      <w:sz w:val="20"/>
    </w:rPr>
  </w:style>
  <w:style w:type="paragraph" w:customStyle="1" w:styleId="AC-relazione0">
    <w:name w:val="AC-relazione"/>
    <w:basedOn w:val="Normale"/>
    <w:rsid w:val="00F84BDE"/>
    <w:pPr>
      <w:spacing w:after="60" w:line="300" w:lineRule="exact"/>
      <w:ind w:firstLine="301"/>
    </w:pPr>
    <w:rPr>
      <w:rFonts w:ascii="Garamond" w:hAnsi="Garamond"/>
      <w:sz w:val="24"/>
    </w:rPr>
  </w:style>
  <w:style w:type="paragraph" w:customStyle="1" w:styleId="SENCOMMcorpodeltesto">
    <w:name w:val="SEN_COMM_corpo del testo"/>
    <w:basedOn w:val="Normale"/>
    <w:rsid w:val="00F84BDE"/>
    <w:pPr>
      <w:spacing w:after="120" w:line="240" w:lineRule="auto"/>
      <w:ind w:firstLine="567"/>
    </w:pPr>
    <w:rPr>
      <w:rFonts w:ascii="Garamond" w:hAnsi="Garamond"/>
      <w:sz w:val="24"/>
    </w:rPr>
  </w:style>
  <w:style w:type="paragraph" w:customStyle="1" w:styleId="COMMSENcorpodeltesto">
    <w:name w:val="COMM_SEN_corpo del testo"/>
    <w:basedOn w:val="Normale"/>
    <w:rsid w:val="00F84BDE"/>
    <w:pPr>
      <w:spacing w:after="120" w:line="240" w:lineRule="auto"/>
      <w:ind w:firstLine="567"/>
    </w:pPr>
    <w:rPr>
      <w:rFonts w:ascii="Times New Roman" w:hAnsi="Times New Roman"/>
    </w:rPr>
  </w:style>
  <w:style w:type="paragraph" w:customStyle="1" w:styleId="MAIUSCGRCENTR">
    <w:name w:val="MAIUSC/GR/CENTR"/>
    <w:basedOn w:val="SENCOMMcorpodeltesto"/>
    <w:rsid w:val="00F84BDE"/>
    <w:pPr>
      <w:ind w:firstLine="0"/>
      <w:jc w:val="center"/>
    </w:pPr>
    <w:rPr>
      <w:b/>
      <w:caps/>
    </w:rPr>
  </w:style>
  <w:style w:type="paragraph" w:customStyle="1" w:styleId="SommarioB">
    <w:name w:val="SommarioB"/>
    <w:basedOn w:val="SommarioA"/>
    <w:rsid w:val="00F84BDE"/>
    <w:pPr>
      <w:keepNext w:val="0"/>
      <w:keepLines w:val="0"/>
      <w:spacing w:before="120" w:after="0" w:line="300" w:lineRule="exact"/>
      <w:ind w:left="284"/>
      <w:outlineLvl w:val="1"/>
    </w:pPr>
    <w:rPr>
      <w:smallCaps w:val="0"/>
      <w:sz w:val="22"/>
    </w:rPr>
  </w:style>
  <w:style w:type="paragraph" w:customStyle="1" w:styleId="CAM-ASS-normale">
    <w:name w:val="CAM-ASS-normale"/>
    <w:basedOn w:val="Normale"/>
    <w:rsid w:val="00F84BDE"/>
    <w:pPr>
      <w:spacing w:line="300" w:lineRule="exact"/>
      <w:ind w:firstLine="567"/>
      <w:jc w:val="left"/>
    </w:pPr>
    <w:rPr>
      <w:rFonts w:ascii="Garamond" w:hAnsi="Garamond"/>
      <w:sz w:val="24"/>
    </w:rPr>
  </w:style>
  <w:style w:type="paragraph" w:customStyle="1" w:styleId="CAM-ASS-testo">
    <w:name w:val="CAM-ASS-testo"/>
    <w:basedOn w:val="Normale"/>
    <w:rsid w:val="00F84BDE"/>
    <w:pPr>
      <w:spacing w:line="300" w:lineRule="exact"/>
      <w:ind w:firstLine="567"/>
    </w:pPr>
    <w:rPr>
      <w:rFonts w:ascii="Garamond" w:hAnsi="Garamond"/>
      <w:sz w:val="24"/>
    </w:rPr>
  </w:style>
  <w:style w:type="paragraph" w:customStyle="1" w:styleId="CAMCOMMcorpodeltesto">
    <w:name w:val="CAM_COMM_corpo del testo"/>
    <w:basedOn w:val="Normale"/>
    <w:rsid w:val="00F84BDE"/>
    <w:pPr>
      <w:spacing w:line="240" w:lineRule="auto"/>
    </w:pPr>
    <w:rPr>
      <w:rFonts w:ascii="Times New Roman" w:hAnsi="Times New Roman"/>
    </w:rPr>
  </w:style>
  <w:style w:type="paragraph" w:customStyle="1" w:styleId="CAMCAMMaffaricostituzionali">
    <w:name w:val="CAM_CAMM_(affari costituzionali)"/>
    <w:basedOn w:val="Normale"/>
    <w:next w:val="Normale"/>
    <w:rsid w:val="00F84BDE"/>
    <w:pPr>
      <w:spacing w:before="120" w:after="120" w:line="240" w:lineRule="auto"/>
      <w:ind w:firstLine="0"/>
      <w:jc w:val="center"/>
    </w:pPr>
    <w:rPr>
      <w:rFonts w:ascii="Times New Roman" w:hAnsi="Times New Roman"/>
      <w:b/>
    </w:rPr>
  </w:style>
  <w:style w:type="paragraph" w:customStyle="1" w:styleId="ToCompany">
    <w:name w:val="ToCompany"/>
    <w:basedOn w:val="Normale"/>
    <w:rsid w:val="006223EB"/>
    <w:pPr>
      <w:spacing w:line="240" w:lineRule="auto"/>
      <w:ind w:firstLine="0"/>
      <w:jc w:val="left"/>
    </w:pPr>
    <w:rPr>
      <w:sz w:val="28"/>
    </w:rPr>
  </w:style>
  <w:style w:type="paragraph" w:customStyle="1" w:styleId="SENCOMMtesto">
    <w:name w:val="SEN_COMM_testo"/>
    <w:basedOn w:val="Normale"/>
    <w:rsid w:val="00F84BDE"/>
    <w:pPr>
      <w:spacing w:before="120" w:after="120" w:line="300" w:lineRule="exact"/>
    </w:pPr>
    <w:rPr>
      <w:rFonts w:ascii="Times New Roman" w:hAnsi="Times New Roman"/>
    </w:rPr>
  </w:style>
  <w:style w:type="paragraph" w:customStyle="1" w:styleId="CAMCAMMCommissione">
    <w:name w:val="CAM_CAMM_(Commissione)"/>
    <w:basedOn w:val="Normale"/>
    <w:rsid w:val="00F84BDE"/>
    <w:pPr>
      <w:spacing w:before="120" w:after="120" w:line="240" w:lineRule="auto"/>
      <w:ind w:firstLine="0"/>
      <w:jc w:val="center"/>
    </w:pPr>
    <w:rPr>
      <w:rFonts w:ascii="Times New Roman" w:hAnsi="Times New Roman"/>
      <w:b/>
      <w:sz w:val="24"/>
    </w:rPr>
  </w:style>
  <w:style w:type="paragraph" w:customStyle="1" w:styleId="CAM-COMM-intestazione">
    <w:name w:val="CAM-COMM-intestazione"/>
    <w:basedOn w:val="Intestazione"/>
    <w:rsid w:val="00F84BDE"/>
    <w:pPr>
      <w:spacing w:after="120"/>
      <w:ind w:firstLine="0"/>
    </w:pPr>
    <w:rPr>
      <w:rFonts w:ascii="Times New Roman" w:hAnsi="Times New Roman"/>
      <w:i/>
    </w:rPr>
  </w:style>
  <w:style w:type="paragraph" w:styleId="Rientrocorpodeltesto2">
    <w:name w:val="Body Text Indent 2"/>
    <w:basedOn w:val="Normale"/>
    <w:rsid w:val="00F84BDE"/>
    <w:pPr>
      <w:spacing w:line="240" w:lineRule="auto"/>
    </w:pPr>
  </w:style>
  <w:style w:type="paragraph" w:customStyle="1" w:styleId="CopertinaServizio">
    <w:name w:val="Copertina/Servizio"/>
    <w:basedOn w:val="Normale"/>
    <w:rsid w:val="006223EB"/>
    <w:pPr>
      <w:keepNext/>
      <w:spacing w:line="240" w:lineRule="auto"/>
      <w:ind w:firstLine="0"/>
      <w:jc w:val="center"/>
    </w:pPr>
    <w:rPr>
      <w:b/>
      <w:smallCaps/>
      <w:kern w:val="28"/>
      <w:sz w:val="40"/>
    </w:rPr>
  </w:style>
  <w:style w:type="paragraph" w:customStyle="1" w:styleId="CopertinaCollana">
    <w:name w:val="Copertina/Collana"/>
    <w:basedOn w:val="Normale"/>
    <w:rsid w:val="006223EB"/>
    <w:pPr>
      <w:ind w:firstLine="0"/>
      <w:jc w:val="center"/>
    </w:pPr>
    <w:rPr>
      <w:smallCaps/>
      <w:spacing w:val="20"/>
      <w:sz w:val="36"/>
    </w:rPr>
  </w:style>
  <w:style w:type="paragraph" w:customStyle="1" w:styleId="CopertinaTitolo">
    <w:name w:val="Copertina/Titolo"/>
    <w:basedOn w:val="Normale"/>
    <w:rsid w:val="006223EB"/>
    <w:pPr>
      <w:keepLines/>
      <w:suppressAutoHyphens/>
      <w:spacing w:before="120"/>
      <w:ind w:left="284" w:right="284" w:firstLine="0"/>
      <w:jc w:val="center"/>
    </w:pPr>
    <w:rPr>
      <w:b/>
      <w:spacing w:val="20"/>
      <w:sz w:val="32"/>
    </w:rPr>
  </w:style>
  <w:style w:type="paragraph" w:customStyle="1" w:styleId="CopertinaNumero">
    <w:name w:val="Copertina/Numero"/>
    <w:basedOn w:val="Normale"/>
    <w:rsid w:val="006223EB"/>
    <w:pPr>
      <w:ind w:firstLine="0"/>
      <w:jc w:val="center"/>
    </w:pPr>
    <w:rPr>
      <w:sz w:val="28"/>
    </w:rPr>
  </w:style>
  <w:style w:type="paragraph" w:customStyle="1" w:styleId="CopertinaAtto">
    <w:name w:val="Copertina/Atto"/>
    <w:basedOn w:val="Normale"/>
    <w:rsid w:val="006223EB"/>
    <w:pPr>
      <w:spacing w:before="120"/>
      <w:ind w:left="142" w:right="140" w:firstLine="0"/>
      <w:jc w:val="center"/>
    </w:pPr>
    <w:rPr>
      <w:spacing w:val="20"/>
      <w:sz w:val="32"/>
    </w:rPr>
  </w:style>
  <w:style w:type="paragraph" w:customStyle="1" w:styleId="CopertinaParte">
    <w:name w:val="Copertina/Parte"/>
    <w:basedOn w:val="Normale"/>
    <w:rsid w:val="006223EB"/>
    <w:pPr>
      <w:ind w:right="140"/>
      <w:jc w:val="center"/>
    </w:pPr>
    <w:rPr>
      <w:spacing w:val="20"/>
    </w:rPr>
  </w:style>
  <w:style w:type="paragraph" w:customStyle="1" w:styleId="CopertinaLegislatura">
    <w:name w:val="Copertina/Legislatura"/>
    <w:basedOn w:val="Normale"/>
    <w:rsid w:val="006223EB"/>
    <w:pPr>
      <w:spacing w:before="240"/>
      <w:ind w:firstLine="0"/>
      <w:jc w:val="center"/>
    </w:pPr>
    <w:rPr>
      <w:smallCaps/>
      <w:spacing w:val="20"/>
      <w:sz w:val="28"/>
    </w:rPr>
  </w:style>
  <w:style w:type="paragraph" w:customStyle="1" w:styleId="CopertinaData">
    <w:name w:val="Copertina/Data"/>
    <w:basedOn w:val="Normale"/>
    <w:rsid w:val="006223EB"/>
    <w:pPr>
      <w:spacing w:before="240" w:after="360"/>
      <w:ind w:right="142" w:firstLine="0"/>
      <w:jc w:val="center"/>
    </w:pPr>
    <w:rPr>
      <w:i/>
      <w:spacing w:val="20"/>
      <w:sz w:val="24"/>
    </w:rPr>
  </w:style>
  <w:style w:type="paragraph" w:customStyle="1" w:styleId="CopertinaCameraDeputati">
    <w:name w:val="Copertina/Camera Deputati"/>
    <w:basedOn w:val="Normale"/>
    <w:rsid w:val="006223EB"/>
    <w:pPr>
      <w:ind w:firstLine="0"/>
      <w:jc w:val="center"/>
    </w:pPr>
    <w:rPr>
      <w:b/>
      <w:smallCaps/>
      <w:spacing w:val="20"/>
      <w:sz w:val="28"/>
      <w14:shadow w14:blurRad="50800" w14:dist="38100" w14:dir="2700000" w14:sx="100000" w14:sy="100000" w14:kx="0" w14:ky="0" w14:algn="tl">
        <w14:srgbClr w14:val="000000">
          <w14:alpha w14:val="60000"/>
        </w14:srgbClr>
      </w14:shadow>
    </w:rPr>
  </w:style>
  <w:style w:type="paragraph" w:customStyle="1" w:styleId="Titolo2articolo">
    <w:name w:val="Titolo 2(articolo)"/>
    <w:basedOn w:val="Titolo2"/>
    <w:rsid w:val="006223EB"/>
    <w:pPr>
      <w:ind w:left="0" w:firstLine="0"/>
      <w:jc w:val="center"/>
    </w:pPr>
  </w:style>
  <w:style w:type="paragraph" w:customStyle="1" w:styleId="To">
    <w:name w:val="To"/>
    <w:basedOn w:val="Normale"/>
    <w:rsid w:val="006223EB"/>
    <w:pPr>
      <w:spacing w:line="240" w:lineRule="auto"/>
      <w:ind w:firstLine="0"/>
      <w:jc w:val="left"/>
    </w:pPr>
    <w:rPr>
      <w:sz w:val="36"/>
    </w:rPr>
  </w:style>
  <w:style w:type="paragraph" w:customStyle="1" w:styleId="ToFax">
    <w:name w:val="ToFax"/>
    <w:basedOn w:val="Normale"/>
    <w:rsid w:val="006223EB"/>
    <w:pPr>
      <w:spacing w:line="240" w:lineRule="auto"/>
      <w:ind w:firstLine="0"/>
      <w:jc w:val="left"/>
    </w:pPr>
    <w:rPr>
      <w:sz w:val="28"/>
    </w:rPr>
  </w:style>
  <w:style w:type="paragraph" w:customStyle="1" w:styleId="FromCompany">
    <w:name w:val="FromCompany"/>
    <w:basedOn w:val="Normale"/>
    <w:rsid w:val="006223EB"/>
    <w:pPr>
      <w:spacing w:line="240" w:lineRule="auto"/>
      <w:ind w:firstLine="0"/>
      <w:jc w:val="left"/>
    </w:pPr>
    <w:rPr>
      <w:sz w:val="28"/>
    </w:rPr>
  </w:style>
  <w:style w:type="paragraph" w:customStyle="1" w:styleId="FromPhone">
    <w:name w:val="FromPhone"/>
    <w:basedOn w:val="Normale"/>
    <w:rsid w:val="006223EB"/>
    <w:pPr>
      <w:spacing w:line="240" w:lineRule="auto"/>
      <w:ind w:firstLine="0"/>
      <w:jc w:val="left"/>
    </w:pPr>
    <w:rPr>
      <w:sz w:val="28"/>
    </w:rPr>
  </w:style>
  <w:style w:type="paragraph" w:customStyle="1" w:styleId="FromFax">
    <w:name w:val="FromFax"/>
    <w:basedOn w:val="Normale"/>
    <w:rsid w:val="006223EB"/>
    <w:pPr>
      <w:spacing w:line="240" w:lineRule="auto"/>
      <w:ind w:firstLine="0"/>
      <w:jc w:val="left"/>
    </w:pPr>
    <w:rPr>
      <w:sz w:val="28"/>
    </w:rPr>
  </w:style>
  <w:style w:type="paragraph" w:customStyle="1" w:styleId="ToPhone">
    <w:name w:val="ToPhone"/>
    <w:basedOn w:val="ToCompany"/>
    <w:rsid w:val="006223EB"/>
  </w:style>
  <w:style w:type="paragraph" w:customStyle="1" w:styleId="AAA-COST-Indiceautomatico">
    <w:name w:val="AAA-COST.-Indice automatico"/>
    <w:rsid w:val="00F84BDE"/>
    <w:rPr>
      <w:noProof/>
      <w:sz w:val="3276"/>
    </w:rPr>
  </w:style>
  <w:style w:type="paragraph" w:customStyle="1" w:styleId="AAA-COMITATO-Indiceautomatico">
    <w:name w:val="AAA-COMITATO-Indice automatico"/>
    <w:rsid w:val="00F84BDE"/>
    <w:rPr>
      <w:noProof/>
      <w:sz w:val="3276"/>
    </w:rPr>
  </w:style>
  <w:style w:type="paragraph" w:customStyle="1" w:styleId="AAA-NORMATIVA-INDICEAUTOMATICO">
    <w:name w:val="AAA-NORMATIVA-INDICE AUTOMATICO"/>
    <w:rsid w:val="00F84BDE"/>
    <w:pPr>
      <w:spacing w:line="300" w:lineRule="atLeast"/>
      <w:ind w:firstLine="284"/>
      <w:jc w:val="both"/>
    </w:pPr>
    <w:rPr>
      <w:rFonts w:ascii="Arial" w:hAnsi="Arial"/>
      <w:sz w:val="22"/>
    </w:rPr>
  </w:style>
  <w:style w:type="paragraph" w:customStyle="1" w:styleId="AAA-SCHEDE-INDICEAUTOMATICO">
    <w:name w:val="AAA-SCHEDE-INDICE AUTOMATICO"/>
    <w:rsid w:val="00F84BDE"/>
    <w:pPr>
      <w:spacing w:line="300" w:lineRule="atLeast"/>
      <w:ind w:firstLine="284"/>
      <w:jc w:val="both"/>
    </w:pPr>
    <w:rPr>
      <w:rFonts w:ascii="Arial" w:hAnsi="Arial"/>
      <w:sz w:val="22"/>
    </w:rPr>
  </w:style>
  <w:style w:type="paragraph" w:customStyle="1" w:styleId="AAA-NORMATIVA-Indiceautomatico0">
    <w:name w:val="AAA-NORMATIVA-Indice automatico"/>
    <w:rsid w:val="00F84BDE"/>
    <w:rPr>
      <w:noProof/>
      <w:sz w:val="3276"/>
    </w:rPr>
  </w:style>
  <w:style w:type="paragraph" w:customStyle="1" w:styleId="AAA-SCHEDE-Indiceautomatico0">
    <w:name w:val="AAA-SCHEDE-Indice automatico"/>
    <w:rsid w:val="00F84BDE"/>
    <w:rPr>
      <w:noProof/>
      <w:sz w:val="3276"/>
    </w:rPr>
  </w:style>
  <w:style w:type="paragraph" w:customStyle="1" w:styleId="AAA-NORMATIVA-Indicecon2occh">
    <w:name w:val="AAA-NORMATIVA-Indice con 2° occh"/>
    <w:rsid w:val="00F84BDE"/>
    <w:pPr>
      <w:spacing w:line="300" w:lineRule="atLeast"/>
      <w:ind w:firstLine="284"/>
      <w:jc w:val="both"/>
    </w:pPr>
    <w:rPr>
      <w:rFonts w:ascii="Arial" w:hAnsi="Arial"/>
      <w:sz w:val="22"/>
    </w:rPr>
  </w:style>
  <w:style w:type="paragraph" w:customStyle="1" w:styleId="AAA-STRINGA-ATTI">
    <w:name w:val="AAA-STRINGA-ATTI"/>
    <w:rsid w:val="00F84BDE"/>
    <w:pPr>
      <w:spacing w:line="300" w:lineRule="atLeast"/>
      <w:ind w:firstLine="284"/>
      <w:jc w:val="both"/>
    </w:pPr>
    <w:rPr>
      <w:rFonts w:ascii="Arial" w:hAnsi="Arial"/>
      <w:sz w:val="22"/>
    </w:rPr>
  </w:style>
  <w:style w:type="paragraph" w:customStyle="1" w:styleId="AAA-STRINGA-OCCHIELLO">
    <w:name w:val="AAA-STRINGA-OCCHIELLO"/>
    <w:rsid w:val="00F84BDE"/>
    <w:pPr>
      <w:spacing w:line="300" w:lineRule="atLeast"/>
      <w:ind w:firstLine="284"/>
      <w:jc w:val="both"/>
    </w:pPr>
    <w:rPr>
      <w:rFonts w:ascii="Arial" w:hAnsi="Arial"/>
      <w:sz w:val="22"/>
    </w:rPr>
  </w:style>
  <w:style w:type="paragraph" w:customStyle="1" w:styleId="AAA-STRINGA-OCCHIELLO2">
    <w:name w:val="AAA-STRINGA-OCCHIELLO 2"/>
    <w:rsid w:val="00F84BDE"/>
    <w:pPr>
      <w:spacing w:line="300" w:lineRule="atLeast"/>
      <w:ind w:firstLine="284"/>
      <w:jc w:val="both"/>
    </w:pPr>
    <w:rPr>
      <w:rFonts w:ascii="Arial" w:hAnsi="Arial"/>
      <w:sz w:val="22"/>
    </w:rPr>
  </w:style>
  <w:style w:type="paragraph" w:customStyle="1" w:styleId="AAA-STRINGA-PARERIRESI">
    <w:name w:val="AAA-STRINGA-PARERI RESI.."/>
    <w:rsid w:val="00F84BDE"/>
    <w:pPr>
      <w:spacing w:line="300" w:lineRule="atLeast"/>
      <w:ind w:firstLine="284"/>
      <w:jc w:val="both"/>
    </w:pPr>
    <w:rPr>
      <w:rFonts w:ascii="Arial" w:hAnsi="Arial"/>
      <w:sz w:val="22"/>
    </w:rPr>
  </w:style>
  <w:style w:type="paragraph" w:customStyle="1" w:styleId="AAA-STRINGA-COMMISSIONECONSULTI">
    <w:name w:val="AAA-STRINGA-COMMISSIONE CONSULTI"/>
    <w:rsid w:val="00F84BDE"/>
    <w:pPr>
      <w:spacing w:line="300" w:lineRule="atLeast"/>
      <w:ind w:firstLine="284"/>
      <w:jc w:val="both"/>
    </w:pPr>
    <w:rPr>
      <w:rFonts w:ascii="Arial" w:hAnsi="Arial"/>
      <w:sz w:val="22"/>
    </w:rPr>
  </w:style>
  <w:style w:type="paragraph" w:customStyle="1" w:styleId="AAA-STRINGA-SEDUTADEL">
    <w:name w:val="AAA-STRINGA-SEDUTA DEL..."/>
    <w:rsid w:val="00F84BDE"/>
    <w:pPr>
      <w:widowControl w:val="0"/>
      <w:tabs>
        <w:tab w:val="right" w:pos="7938"/>
      </w:tabs>
      <w:spacing w:line="300" w:lineRule="atLeast"/>
      <w:ind w:left="851" w:right="851"/>
      <w:jc w:val="both"/>
      <w:outlineLvl w:val="4"/>
    </w:pPr>
    <w:rPr>
      <w:rFonts w:ascii="Arial" w:hAnsi="Arial"/>
      <w:noProof/>
      <w:sz w:val="22"/>
    </w:rPr>
  </w:style>
  <w:style w:type="paragraph" w:customStyle="1" w:styleId="AAA-ATTI-Indice">
    <w:name w:val="AAA-ATTI-Indice"/>
    <w:rsid w:val="00F84BDE"/>
    <w:pPr>
      <w:spacing w:line="300" w:lineRule="atLeast"/>
      <w:ind w:firstLine="284"/>
      <w:jc w:val="both"/>
    </w:pPr>
    <w:rPr>
      <w:rFonts w:ascii="Arial" w:hAnsi="Arial"/>
      <w:sz w:val="22"/>
    </w:rPr>
  </w:style>
  <w:style w:type="paragraph" w:customStyle="1" w:styleId="AAA-DOSSIER-Indiceautomaticoco">
    <w:name w:val="AAA-DOSSIER-Indice automatico co"/>
    <w:rsid w:val="00F84BDE"/>
    <w:pPr>
      <w:spacing w:line="300" w:lineRule="atLeast"/>
      <w:ind w:firstLine="284"/>
      <w:jc w:val="both"/>
    </w:pPr>
    <w:rPr>
      <w:rFonts w:ascii="Arial" w:hAnsi="Arial"/>
      <w:sz w:val="22"/>
    </w:rPr>
  </w:style>
  <w:style w:type="paragraph" w:customStyle="1" w:styleId="elencopuntato1liv">
    <w:name w:val="elencopuntato1°liv"/>
    <w:basedOn w:val="Normale"/>
    <w:rsid w:val="00F84BDE"/>
    <w:pPr>
      <w:numPr>
        <w:numId w:val="2"/>
      </w:numPr>
    </w:pPr>
  </w:style>
  <w:style w:type="paragraph" w:customStyle="1" w:styleId="Elencopuntato2livello">
    <w:name w:val="Elenco puntato 2° livello"/>
    <w:basedOn w:val="Normale"/>
    <w:rsid w:val="00F84BDE"/>
    <w:pPr>
      <w:ind w:firstLine="0"/>
    </w:pPr>
    <w:rPr>
      <w:i/>
    </w:rPr>
  </w:style>
  <w:style w:type="paragraph" w:customStyle="1" w:styleId="Elencopuntato1livello">
    <w:name w:val="Elenco puntato1°livello"/>
    <w:basedOn w:val="Normale"/>
    <w:next w:val="Normale"/>
    <w:rsid w:val="00F84BDE"/>
    <w:pPr>
      <w:numPr>
        <w:numId w:val="1"/>
      </w:numPr>
    </w:pPr>
    <w:rPr>
      <w:b/>
      <w:i/>
    </w:rPr>
  </w:style>
  <w:style w:type="paragraph" w:customStyle="1" w:styleId="aaa-omissis">
    <w:name w:val="aaa-omissis"/>
    <w:basedOn w:val="Normale"/>
    <w:rsid w:val="00F84BDE"/>
    <w:pPr>
      <w:spacing w:before="320" w:after="320"/>
      <w:ind w:firstLine="0"/>
      <w:jc w:val="center"/>
    </w:pPr>
    <w:rPr>
      <w:i/>
      <w:sz w:val="20"/>
    </w:rPr>
  </w:style>
  <w:style w:type="paragraph" w:customStyle="1" w:styleId="NOWEB">
    <w:name w:val="NOWEB"/>
    <w:basedOn w:val="Normale"/>
    <w:rsid w:val="00F84BDE"/>
    <w:rPr>
      <w:b/>
      <w:vanish/>
      <w:color w:val="FF0000"/>
      <w:szCs w:val="22"/>
      <w:u w:val="single"/>
    </w:rPr>
  </w:style>
  <w:style w:type="paragraph" w:customStyle="1" w:styleId="SIWEB">
    <w:name w:val="SIWEB"/>
    <w:basedOn w:val="Normale"/>
    <w:rsid w:val="00F84BDE"/>
    <w:pPr>
      <w:ind w:right="-285"/>
    </w:pPr>
    <w:rPr>
      <w:b/>
      <w:vanish/>
      <w:color w:val="339966"/>
      <w:szCs w:val="22"/>
      <w:effect w:val="antsBlack"/>
    </w:rPr>
  </w:style>
  <w:style w:type="table" w:styleId="Grigliatabella">
    <w:name w:val="Table Grid"/>
    <w:basedOn w:val="Tabellanormale"/>
    <w:rsid w:val="004220EF"/>
    <w:pPr>
      <w:spacing w:line="300" w:lineRule="atLeast"/>
      <w:ind w:firstLine="284"/>
      <w:jc w:val="both"/>
    </w:pPr>
    <w:tblPr/>
  </w:style>
  <w:style w:type="character" w:styleId="Collegamentovisitato">
    <w:name w:val="FollowedHyperlink"/>
    <w:rsid w:val="00F84BDE"/>
    <w:rPr>
      <w:color w:val="800080"/>
      <w:u w:val="single"/>
    </w:rPr>
  </w:style>
  <w:style w:type="paragraph" w:styleId="Iniziomodulo-z">
    <w:name w:val="HTML Top of Form"/>
    <w:basedOn w:val="Normale"/>
    <w:next w:val="Normale"/>
    <w:hidden/>
    <w:rsid w:val="0008408D"/>
    <w:pPr>
      <w:pBdr>
        <w:bottom w:val="single" w:sz="6" w:space="1" w:color="auto"/>
      </w:pBdr>
      <w:spacing w:line="240" w:lineRule="auto"/>
      <w:ind w:firstLine="0"/>
      <w:jc w:val="center"/>
    </w:pPr>
    <w:rPr>
      <w:rFonts w:cs="Arial"/>
      <w:vanish/>
      <w:sz w:val="16"/>
      <w:szCs w:val="16"/>
    </w:rPr>
  </w:style>
  <w:style w:type="paragraph" w:styleId="Finemodulo-z">
    <w:name w:val="HTML Bottom of Form"/>
    <w:basedOn w:val="Normale"/>
    <w:next w:val="Normale"/>
    <w:hidden/>
    <w:rsid w:val="0008408D"/>
    <w:pPr>
      <w:pBdr>
        <w:top w:val="single" w:sz="6" w:space="1" w:color="auto"/>
      </w:pBdr>
      <w:spacing w:line="240" w:lineRule="auto"/>
      <w:ind w:firstLine="0"/>
      <w:jc w:val="center"/>
    </w:pPr>
    <w:rPr>
      <w:rFonts w:cs="Arial"/>
      <w:vanish/>
      <w:sz w:val="16"/>
      <w:szCs w:val="16"/>
    </w:rPr>
  </w:style>
  <w:style w:type="paragraph" w:customStyle="1" w:styleId="AAA-TITOLETTOTESTOATTIPARLAMENTARI">
    <w:name w:val="AAA-TITOLETTO TESTO ATTI PARLAMENTARI"/>
    <w:basedOn w:val="Normale"/>
    <w:next w:val="AAA-TESTOATTIPARLAMENTARI"/>
    <w:rsid w:val="00F84BDE"/>
    <w:pPr>
      <w:spacing w:after="120" w:line="240" w:lineRule="exact"/>
      <w:jc w:val="center"/>
    </w:pPr>
    <w:rPr>
      <w:rFonts w:ascii="Garamond" w:hAnsi="Garamond"/>
      <w:b/>
      <w:bCs/>
    </w:rPr>
  </w:style>
  <w:style w:type="character" w:styleId="Enfasigrassetto">
    <w:name w:val="Strong"/>
    <w:uiPriority w:val="22"/>
    <w:qFormat/>
    <w:rsid w:val="00F84BDE"/>
    <w:rPr>
      <w:b/>
      <w:bCs/>
    </w:rPr>
  </w:style>
  <w:style w:type="paragraph" w:customStyle="1" w:styleId="bgricerca">
    <w:name w:val="bgricerca"/>
    <w:basedOn w:val="Normale"/>
    <w:rsid w:val="00F84BDE"/>
    <w:pPr>
      <w:shd w:val="clear" w:color="auto" w:fill="E7E8E7"/>
      <w:spacing w:before="75" w:after="180" w:line="240" w:lineRule="auto"/>
      <w:ind w:firstLine="0"/>
      <w:jc w:val="left"/>
    </w:pPr>
    <w:rPr>
      <w:rFonts w:ascii="Verdana" w:hAnsi="Verdana" w:cs="Garamond"/>
      <w:sz w:val="24"/>
      <w:szCs w:val="24"/>
    </w:rPr>
  </w:style>
  <w:style w:type="paragraph" w:customStyle="1" w:styleId="bggrigio">
    <w:name w:val="bggrigio"/>
    <w:basedOn w:val="Normale"/>
    <w:rsid w:val="00F84BDE"/>
    <w:pPr>
      <w:shd w:val="clear" w:color="auto" w:fill="DFDFDF"/>
      <w:spacing w:before="75" w:after="180" w:line="240" w:lineRule="auto"/>
      <w:ind w:firstLine="0"/>
      <w:jc w:val="left"/>
    </w:pPr>
    <w:rPr>
      <w:rFonts w:ascii="Verdana" w:hAnsi="Verdana" w:cs="Garamond"/>
      <w:sz w:val="24"/>
      <w:szCs w:val="24"/>
    </w:rPr>
  </w:style>
  <w:style w:type="paragraph" w:customStyle="1" w:styleId="bgboxlink">
    <w:name w:val="bgboxlink"/>
    <w:basedOn w:val="Normale"/>
    <w:rsid w:val="00F84BDE"/>
    <w:pPr>
      <w:shd w:val="clear" w:color="auto" w:fill="7F7F7F"/>
      <w:spacing w:before="75" w:after="180" w:line="240" w:lineRule="auto"/>
      <w:ind w:firstLine="0"/>
      <w:jc w:val="left"/>
    </w:pPr>
    <w:rPr>
      <w:rFonts w:ascii="Verdana" w:hAnsi="Verdana" w:cs="Garamond"/>
      <w:sz w:val="24"/>
      <w:szCs w:val="24"/>
    </w:rPr>
  </w:style>
  <w:style w:type="paragraph" w:customStyle="1" w:styleId="bgrigapopup">
    <w:name w:val="bgrigapopup"/>
    <w:basedOn w:val="Normale"/>
    <w:rsid w:val="00F84BDE"/>
    <w:pPr>
      <w:shd w:val="clear" w:color="auto" w:fill="9B1212"/>
      <w:spacing w:before="75" w:after="180" w:line="240" w:lineRule="auto"/>
      <w:ind w:firstLine="0"/>
      <w:jc w:val="left"/>
    </w:pPr>
    <w:rPr>
      <w:rFonts w:ascii="Verdana" w:hAnsi="Verdana" w:cs="Garamond"/>
      <w:sz w:val="24"/>
      <w:szCs w:val="24"/>
    </w:rPr>
  </w:style>
  <w:style w:type="paragraph" w:customStyle="1" w:styleId="cellabox">
    <w:name w:val="cellabox"/>
    <w:basedOn w:val="Normale"/>
    <w:rsid w:val="00F84BDE"/>
    <w:pPr>
      <w:spacing w:before="75" w:after="180" w:line="192" w:lineRule="auto"/>
      <w:ind w:firstLine="0"/>
      <w:jc w:val="left"/>
    </w:pPr>
    <w:rPr>
      <w:rFonts w:ascii="Verdana" w:hAnsi="Verdana" w:cs="Garamond"/>
      <w:sz w:val="24"/>
      <w:szCs w:val="24"/>
    </w:rPr>
  </w:style>
  <w:style w:type="paragraph" w:customStyle="1" w:styleId="center">
    <w:name w:val="center"/>
    <w:basedOn w:val="Normale"/>
    <w:rsid w:val="00F84BDE"/>
    <w:pPr>
      <w:spacing w:before="75" w:after="180" w:line="240" w:lineRule="auto"/>
      <w:ind w:firstLine="0"/>
      <w:jc w:val="center"/>
    </w:pPr>
    <w:rPr>
      <w:rFonts w:ascii="Verdana" w:hAnsi="Verdana" w:cs="Garamond"/>
      <w:sz w:val="24"/>
      <w:szCs w:val="24"/>
    </w:rPr>
  </w:style>
  <w:style w:type="paragraph" w:customStyle="1" w:styleId="Titolo11">
    <w:name w:val="Titolo 11"/>
    <w:basedOn w:val="Normale"/>
    <w:rsid w:val="00F84BDE"/>
    <w:pPr>
      <w:spacing w:before="100" w:beforeAutospacing="1" w:after="240" w:line="240" w:lineRule="auto"/>
      <w:ind w:firstLine="0"/>
      <w:jc w:val="center"/>
      <w:outlineLvl w:val="1"/>
    </w:pPr>
    <w:rPr>
      <w:rFonts w:ascii="Verdana" w:hAnsi="Verdana" w:cs="Garamond"/>
      <w:b/>
      <w:bCs/>
      <w:color w:val="000000"/>
      <w:kern w:val="36"/>
      <w:szCs w:val="22"/>
    </w:rPr>
  </w:style>
  <w:style w:type="paragraph" w:styleId="NormaleWeb">
    <w:name w:val="Normal (Web)"/>
    <w:basedOn w:val="Normale"/>
    <w:rsid w:val="00F84BDE"/>
    <w:pPr>
      <w:spacing w:after="120" w:line="240" w:lineRule="exact"/>
    </w:pPr>
    <w:rPr>
      <w:rFonts w:ascii="Garamond" w:hAnsi="Garamond" w:cs="Garamond"/>
      <w:sz w:val="24"/>
      <w:szCs w:val="24"/>
    </w:rPr>
  </w:style>
  <w:style w:type="character" w:customStyle="1" w:styleId="Collegamentoipertestuale1">
    <w:name w:val="Collegamento ipertestuale1"/>
    <w:rsid w:val="00F84BDE"/>
    <w:rPr>
      <w:strike w:val="0"/>
      <w:dstrike w:val="0"/>
      <w:color w:val="0000FF"/>
      <w:u w:val="none"/>
      <w:effect w:val="none"/>
      <w:shd w:val="clear" w:color="auto" w:fill="auto"/>
    </w:rPr>
  </w:style>
  <w:style w:type="paragraph" w:customStyle="1" w:styleId="Titolo12">
    <w:name w:val="Titolo 12"/>
    <w:basedOn w:val="Normale"/>
    <w:rsid w:val="00F84BDE"/>
    <w:pPr>
      <w:spacing w:before="100" w:beforeAutospacing="1" w:after="240" w:line="240" w:lineRule="auto"/>
      <w:ind w:firstLine="0"/>
      <w:jc w:val="center"/>
      <w:outlineLvl w:val="1"/>
    </w:pPr>
    <w:rPr>
      <w:rFonts w:ascii="Verdana" w:hAnsi="Verdana" w:cs="Garamond"/>
      <w:b/>
      <w:bCs/>
      <w:color w:val="000000"/>
      <w:kern w:val="36"/>
      <w:szCs w:val="22"/>
    </w:rPr>
  </w:style>
  <w:style w:type="character" w:customStyle="1" w:styleId="Collegamentoipertestuale2">
    <w:name w:val="Collegamento ipertestuale2"/>
    <w:rsid w:val="00F84BDE"/>
    <w:rPr>
      <w:strike w:val="0"/>
      <w:dstrike w:val="0"/>
      <w:color w:val="0000FF"/>
      <w:u w:val="none"/>
      <w:effect w:val="none"/>
      <w:shd w:val="clear" w:color="auto" w:fill="auto"/>
    </w:rPr>
  </w:style>
  <w:style w:type="paragraph" w:customStyle="1" w:styleId="DATASenComm">
    <w:name w:val="DATASenComm"/>
    <w:basedOn w:val="Normale"/>
    <w:link w:val="DATASenCommCarattere"/>
    <w:rsid w:val="00034E07"/>
    <w:pPr>
      <w:jc w:val="center"/>
    </w:pPr>
    <w:rPr>
      <w:rFonts w:ascii="Garamond" w:hAnsi="Garamond"/>
      <w:sz w:val="24"/>
      <w:szCs w:val="24"/>
    </w:rPr>
  </w:style>
  <w:style w:type="character" w:customStyle="1" w:styleId="DATASenCommCarattere">
    <w:name w:val="DATASenComm Carattere"/>
    <w:link w:val="DATASenComm"/>
    <w:rsid w:val="00034E07"/>
    <w:rPr>
      <w:rFonts w:ascii="Garamond" w:hAnsi="Garamond"/>
      <w:caps/>
      <w:sz w:val="24"/>
      <w:szCs w:val="24"/>
      <w:lang w:val="it-IT" w:eastAsia="it-IT" w:bidi="ar-SA"/>
    </w:rPr>
  </w:style>
  <w:style w:type="paragraph" w:customStyle="1" w:styleId="XV-ASS-SENseduta">
    <w:name w:val="XV-ASS-SEN_seduta"/>
    <w:basedOn w:val="Normale"/>
    <w:next w:val="Normale"/>
    <w:link w:val="XV-ASS-SENsedutaCarattere"/>
    <w:rsid w:val="001D1CAC"/>
    <w:pPr>
      <w:ind w:firstLine="0"/>
    </w:pPr>
    <w:rPr>
      <w:rFonts w:ascii="Times" w:hAnsi="Times"/>
      <w:sz w:val="32"/>
      <w:szCs w:val="32"/>
    </w:rPr>
  </w:style>
  <w:style w:type="character" w:customStyle="1" w:styleId="XV-ASS-SENsedutaCarattere">
    <w:name w:val="XV-ASS-SEN_seduta Carattere"/>
    <w:link w:val="XV-ASS-SENseduta"/>
    <w:rsid w:val="008B471B"/>
    <w:rPr>
      <w:rFonts w:ascii="Times" w:hAnsi="Times"/>
      <w:sz w:val="32"/>
      <w:szCs w:val="32"/>
      <w:lang w:val="it-IT" w:eastAsia="it-IT" w:bidi="ar-SA"/>
    </w:rPr>
  </w:style>
  <w:style w:type="paragraph" w:customStyle="1" w:styleId="ASS-SENXVLegislatura">
    <w:name w:val="ASS-SEN_XV Legislatura"/>
    <w:basedOn w:val="Normale"/>
    <w:rsid w:val="00BA23FD"/>
    <w:pPr>
      <w:spacing w:line="240" w:lineRule="auto"/>
      <w:ind w:firstLine="0"/>
      <w:jc w:val="right"/>
    </w:pPr>
    <w:rPr>
      <w:rFonts w:ascii="CG Times" w:hAnsi="CG Times"/>
      <w:sz w:val="24"/>
      <w:szCs w:val="24"/>
    </w:rPr>
  </w:style>
  <w:style w:type="character" w:styleId="AcronimoHTML">
    <w:name w:val="HTML Acronym"/>
    <w:basedOn w:val="Carpredefinitoparagrafo"/>
    <w:rsid w:val="00C53DBC"/>
  </w:style>
  <w:style w:type="character" w:customStyle="1" w:styleId="DATA-ASS-SEN">
    <w:name w:val="DATA-ASS-SEN"/>
    <w:basedOn w:val="Carpredefinitoparagrafo"/>
    <w:rsid w:val="00BA23FD"/>
  </w:style>
  <w:style w:type="paragraph" w:customStyle="1" w:styleId="ASS-SENNumero">
    <w:name w:val="ASS-SEN_Numero"/>
    <w:link w:val="ASS-SENNumeroCarattere"/>
    <w:rsid w:val="00BA23FD"/>
    <w:rPr>
      <w:rFonts w:ascii="CG Times" w:hAnsi="CG Times"/>
      <w:sz w:val="32"/>
    </w:rPr>
  </w:style>
  <w:style w:type="character" w:customStyle="1" w:styleId="ASS-SENNumeroCarattere">
    <w:name w:val="ASS-SEN_Numero Carattere"/>
    <w:link w:val="ASS-SENNumero"/>
    <w:rsid w:val="001D1CAC"/>
    <w:rPr>
      <w:rFonts w:ascii="CG Times" w:hAnsi="CG Times"/>
      <w:sz w:val="32"/>
      <w:lang w:val="it-IT" w:eastAsia="it-IT" w:bidi="ar-SA"/>
    </w:rPr>
  </w:style>
  <w:style w:type="paragraph" w:customStyle="1" w:styleId="XV-ASS-SENRESOCONTO">
    <w:name w:val="XV-ASS-SEN_RESOCONTO"/>
    <w:basedOn w:val="AS-SENATODELLAREPUBBLICA"/>
    <w:rsid w:val="00A870E6"/>
    <w:pPr>
      <w:spacing w:before="120"/>
      <w:ind w:right="-68"/>
      <w:jc w:val="left"/>
    </w:pPr>
    <w:rPr>
      <w:rFonts w:ascii="CG Times" w:hAnsi="CG Times"/>
      <w:spacing w:val="0"/>
      <w:sz w:val="36"/>
      <w:szCs w:val="36"/>
    </w:rPr>
  </w:style>
  <w:style w:type="paragraph" w:customStyle="1" w:styleId="XV-ASS-SENASSEMBLEA">
    <w:name w:val="XV-ASS-SEN_ASSEMBLEA"/>
    <w:rsid w:val="00A870E6"/>
    <w:pPr>
      <w:spacing w:before="240"/>
      <w:ind w:right="-68"/>
    </w:pPr>
    <w:rPr>
      <w:rFonts w:ascii="CG Times" w:hAnsi="CG Times"/>
      <w:b/>
      <w:sz w:val="36"/>
      <w:szCs w:val="36"/>
    </w:rPr>
  </w:style>
  <w:style w:type="paragraph" w:customStyle="1" w:styleId="XV-ASS-SENdata">
    <w:name w:val="XV-ASS-SEN_data"/>
    <w:basedOn w:val="Normale"/>
    <w:link w:val="XV-ASS-SENdataCarattere"/>
    <w:rsid w:val="001D1CAC"/>
    <w:pPr>
      <w:ind w:firstLine="0"/>
    </w:pPr>
    <w:rPr>
      <w:rFonts w:ascii="Times" w:hAnsi="Times"/>
      <w:sz w:val="32"/>
    </w:rPr>
  </w:style>
  <w:style w:type="character" w:customStyle="1" w:styleId="XV-ASS-SENdataCarattere">
    <w:name w:val="XV-ASS-SEN_data Carattere"/>
    <w:link w:val="XV-ASS-SENdata"/>
    <w:rsid w:val="001D1CAC"/>
    <w:rPr>
      <w:rFonts w:ascii="Times" w:hAnsi="Times"/>
      <w:sz w:val="32"/>
      <w:lang w:val="it-IT" w:eastAsia="it-IT" w:bidi="ar-SA"/>
    </w:rPr>
  </w:style>
  <w:style w:type="paragraph" w:customStyle="1" w:styleId="ASS-SENXIVLegislatura">
    <w:name w:val="ASS-SEN_XIV Legislatura"/>
    <w:basedOn w:val="AS-XIVLEGISLATURA"/>
    <w:rsid w:val="00F84BDE"/>
    <w:pPr>
      <w:spacing w:before="240"/>
    </w:pPr>
  </w:style>
  <w:style w:type="character" w:customStyle="1" w:styleId="DATA-ASS-SEN-XV">
    <w:name w:val="DATA-ASS-SEN-XV"/>
    <w:basedOn w:val="Carpredefinitoparagrafo"/>
    <w:rsid w:val="00BA23FD"/>
  </w:style>
  <w:style w:type="character" w:customStyle="1" w:styleId="XV-ASS-SENgiorno">
    <w:name w:val="XV-ASS-SEN_giorno"/>
    <w:rsid w:val="001D11FB"/>
    <w:rPr>
      <w:rFonts w:ascii="Times" w:hAnsi="Times"/>
      <w:sz w:val="32"/>
      <w:szCs w:val="32"/>
    </w:rPr>
  </w:style>
  <w:style w:type="paragraph" w:customStyle="1" w:styleId="XV-ASS-SENPresidenza">
    <w:name w:val="XV-ASS-SEN_Presidenza"/>
    <w:basedOn w:val="ASS-SENdata"/>
    <w:rsid w:val="00A870E6"/>
    <w:pPr>
      <w:spacing w:line="240" w:lineRule="auto"/>
      <w:jc w:val="left"/>
    </w:pPr>
    <w:rPr>
      <w:b w:val="0"/>
      <w:spacing w:val="0"/>
      <w:sz w:val="28"/>
      <w:szCs w:val="28"/>
    </w:rPr>
  </w:style>
  <w:style w:type="paragraph" w:customStyle="1" w:styleId="XV-ASS-SENAntimer">
    <w:name w:val="XV-ASS-SEN_Antimer"/>
    <w:basedOn w:val="Normale"/>
    <w:link w:val="XV-ASS-SENAntimerCarattere"/>
    <w:rsid w:val="000B3065"/>
    <w:pPr>
      <w:ind w:firstLine="0"/>
    </w:pPr>
    <w:rPr>
      <w:rFonts w:ascii="Times" w:hAnsi="Times"/>
      <w:sz w:val="32"/>
      <w:szCs w:val="32"/>
    </w:rPr>
  </w:style>
  <w:style w:type="character" w:customStyle="1" w:styleId="XV-ASS-SENAntimerCarattere">
    <w:name w:val="XV-ASS-SEN_Antimer Carattere"/>
    <w:link w:val="XV-ASS-SENAntimer"/>
    <w:rsid w:val="000B3065"/>
    <w:rPr>
      <w:rFonts w:ascii="Times" w:hAnsi="Times"/>
      <w:sz w:val="32"/>
      <w:szCs w:val="32"/>
      <w:lang w:val="it-IT" w:eastAsia="it-IT" w:bidi="ar-SA"/>
    </w:rPr>
  </w:style>
  <w:style w:type="paragraph" w:customStyle="1" w:styleId="XV-CopertinaServizioStudi">
    <w:name w:val="XV-Copertina/ServizioStudi"/>
    <w:basedOn w:val="Normale"/>
    <w:rsid w:val="00462D37"/>
    <w:pPr>
      <w:ind w:firstLine="0"/>
      <w:jc w:val="center"/>
    </w:pPr>
    <w:rPr>
      <w:spacing w:val="60"/>
      <w:sz w:val="40"/>
      <w:szCs w:val="40"/>
    </w:rPr>
  </w:style>
  <w:style w:type="paragraph" w:customStyle="1" w:styleId="XV-CopertinaCollana">
    <w:name w:val="XV-Copertina/Collana"/>
    <w:basedOn w:val="Normale"/>
    <w:rsid w:val="003F4C86"/>
    <w:pPr>
      <w:spacing w:line="240" w:lineRule="auto"/>
      <w:ind w:firstLine="0"/>
      <w:jc w:val="center"/>
    </w:pPr>
    <w:rPr>
      <w:spacing w:val="60"/>
      <w:sz w:val="36"/>
      <w:szCs w:val="36"/>
    </w:rPr>
  </w:style>
  <w:style w:type="paragraph" w:customStyle="1" w:styleId="XV-CopertinaServizio">
    <w:name w:val="XV-Copertina/Servizio"/>
    <w:basedOn w:val="XV-CopertinaServizioStudi"/>
    <w:rsid w:val="00727368"/>
    <w:pPr>
      <w:spacing w:line="240" w:lineRule="auto"/>
    </w:pPr>
  </w:style>
  <w:style w:type="paragraph" w:customStyle="1" w:styleId="XV-Legislatura">
    <w:name w:val="XV-Legislatura"/>
    <w:basedOn w:val="CopertinaServizio"/>
    <w:rsid w:val="0011220B"/>
    <w:pPr>
      <w:spacing w:before="120" w:line="400" w:lineRule="exact"/>
    </w:pPr>
    <w:rPr>
      <w:rFonts w:cs="Arial"/>
      <w:b w:val="0"/>
      <w:smallCaps w:val="0"/>
      <w:spacing w:val="20"/>
      <w:sz w:val="24"/>
      <w:szCs w:val="24"/>
    </w:rPr>
  </w:style>
  <w:style w:type="paragraph" w:customStyle="1" w:styleId="XV-CopertinaCameradeideputati">
    <w:name w:val="XV-Copertina/Cameradeideputati"/>
    <w:basedOn w:val="CopertinaServizio"/>
    <w:rsid w:val="000B2690"/>
    <w:rPr>
      <w:rFonts w:cs="Arial"/>
      <w:b w:val="0"/>
      <w:smallCaps w:val="0"/>
      <w:spacing w:val="20"/>
      <w:szCs w:val="40"/>
    </w:rPr>
  </w:style>
  <w:style w:type="paragraph" w:customStyle="1" w:styleId="XV-CopertinaTitolo">
    <w:name w:val="XV-Copertina/Titolo"/>
    <w:basedOn w:val="Normale"/>
    <w:rsid w:val="00C74C34"/>
    <w:pPr>
      <w:spacing w:before="120" w:line="240" w:lineRule="auto"/>
      <w:ind w:firstLine="0"/>
      <w:jc w:val="center"/>
    </w:pPr>
    <w:rPr>
      <w:rFonts w:cs="Arial"/>
      <w:spacing w:val="20"/>
      <w:sz w:val="36"/>
      <w:szCs w:val="36"/>
    </w:rPr>
  </w:style>
  <w:style w:type="paragraph" w:customStyle="1" w:styleId="XV-CopertinaSottotitolo">
    <w:name w:val="XV-Copertina/Sottotitolo"/>
    <w:basedOn w:val="Normale"/>
    <w:rsid w:val="00054773"/>
    <w:pPr>
      <w:spacing w:before="240" w:line="560" w:lineRule="atLeast"/>
      <w:ind w:firstLine="0"/>
      <w:jc w:val="center"/>
    </w:pPr>
    <w:rPr>
      <w:rFonts w:cs="Arial"/>
      <w:i/>
      <w:spacing w:val="20"/>
      <w:sz w:val="36"/>
      <w:szCs w:val="36"/>
    </w:rPr>
  </w:style>
  <w:style w:type="paragraph" w:customStyle="1" w:styleId="XV-Copertinadata">
    <w:name w:val="XV-Copertina/data"/>
    <w:basedOn w:val="Normale"/>
    <w:rsid w:val="005B6F13"/>
    <w:pPr>
      <w:ind w:firstLine="0"/>
      <w:jc w:val="center"/>
    </w:pPr>
    <w:rPr>
      <w:spacing w:val="20"/>
      <w:sz w:val="28"/>
      <w:szCs w:val="28"/>
    </w:rPr>
  </w:style>
  <w:style w:type="paragraph" w:customStyle="1" w:styleId="XV-Copertinaparteedizione">
    <w:name w:val="XV-Copertina/parteedizione"/>
    <w:basedOn w:val="Titolo8"/>
    <w:rsid w:val="00867692"/>
    <w:pPr>
      <w:keepNext/>
      <w:spacing w:before="120" w:after="120"/>
      <w:jc w:val="center"/>
    </w:pPr>
    <w:rPr>
      <w:rFonts w:cs="Arial"/>
      <w:i w:val="0"/>
      <w:spacing w:val="20"/>
      <w:sz w:val="26"/>
      <w:szCs w:val="26"/>
    </w:rPr>
  </w:style>
  <w:style w:type="paragraph" w:customStyle="1" w:styleId="XV-Copertinanumero">
    <w:name w:val="XV-Copertina/numero"/>
    <w:basedOn w:val="Normale"/>
    <w:rsid w:val="00867692"/>
    <w:pPr>
      <w:ind w:firstLine="0"/>
      <w:jc w:val="center"/>
    </w:pPr>
    <w:rPr>
      <w:rFonts w:cs="Arial"/>
      <w:sz w:val="32"/>
      <w:szCs w:val="32"/>
    </w:rPr>
  </w:style>
  <w:style w:type="paragraph" w:customStyle="1" w:styleId="XV-Copertinatitolo0">
    <w:name w:val="XV-Copertina/titolo"/>
    <w:basedOn w:val="Normale"/>
    <w:rsid w:val="00462D37"/>
    <w:pPr>
      <w:ind w:firstLine="0"/>
      <w:jc w:val="center"/>
    </w:pPr>
    <w:rPr>
      <w:spacing w:val="20"/>
      <w:sz w:val="44"/>
      <w:szCs w:val="44"/>
    </w:rPr>
  </w:style>
  <w:style w:type="paragraph" w:customStyle="1" w:styleId="ASS-SENNumeroseduta">
    <w:name w:val="ASS-SEN_Numero seduta"/>
    <w:basedOn w:val="Normale"/>
    <w:link w:val="ASS-SENNumerosedutaCarattere"/>
    <w:rsid w:val="001D11FB"/>
    <w:pPr>
      <w:spacing w:before="360" w:after="360" w:line="300" w:lineRule="exact"/>
      <w:ind w:firstLine="527"/>
      <w:jc w:val="right"/>
    </w:pPr>
    <w:rPr>
      <w:rFonts w:ascii="CG Times" w:hAnsi="CG Times"/>
      <w:noProof/>
      <w:sz w:val="32"/>
    </w:rPr>
  </w:style>
  <w:style w:type="character" w:customStyle="1" w:styleId="ASS-SENNumerosedutaCarattere">
    <w:name w:val="ASS-SEN_Numero seduta Carattere"/>
    <w:link w:val="ASS-SENNumeroseduta"/>
    <w:rsid w:val="001D11FB"/>
    <w:rPr>
      <w:rFonts w:ascii="CG Times" w:hAnsi="CG Times"/>
      <w:noProof/>
      <w:sz w:val="32"/>
      <w:lang w:val="it-IT" w:eastAsia="it-IT" w:bidi="ar-SA"/>
    </w:rPr>
  </w:style>
  <w:style w:type="paragraph" w:customStyle="1" w:styleId="STILE-LINEA">
    <w:name w:val="STILE-LINEA"/>
    <w:basedOn w:val="Normale"/>
    <w:rsid w:val="00144612"/>
    <w:pPr>
      <w:ind w:firstLine="0"/>
      <w:jc w:val="center"/>
    </w:pPr>
  </w:style>
  <w:style w:type="character" w:customStyle="1" w:styleId="CAM-ASS-sedutadiCarattere">
    <w:name w:val="CAM-ASS-seduta di.. Carattere"/>
    <w:link w:val="CAM-ASS-sedutadi"/>
    <w:rsid w:val="002218F2"/>
    <w:rPr>
      <w:rFonts w:ascii="Garamond" w:hAnsi="Garamond"/>
      <w:caps/>
      <w:spacing w:val="20"/>
      <w:w w:val="66"/>
      <w:sz w:val="48"/>
      <w:lang w:val="it-IT" w:eastAsia="it-IT" w:bidi="ar-SA"/>
    </w:rPr>
  </w:style>
  <w:style w:type="paragraph" w:customStyle="1" w:styleId="XV-Copertinacamera">
    <w:name w:val="XV-Copertina/camera"/>
    <w:basedOn w:val="Normale"/>
    <w:rsid w:val="00B63542"/>
    <w:pPr>
      <w:ind w:firstLine="0"/>
      <w:jc w:val="center"/>
    </w:pPr>
    <w:rPr>
      <w:sz w:val="40"/>
      <w:szCs w:val="40"/>
    </w:rPr>
  </w:style>
  <w:style w:type="paragraph" w:customStyle="1" w:styleId="XV-ASS-SENnumero">
    <w:name w:val="XV-ASS-SEN_numero"/>
    <w:link w:val="XV-ASS-SENnumeroCarattere"/>
    <w:rsid w:val="00031506"/>
    <w:rPr>
      <w:rFonts w:ascii="CG Times" w:hAnsi="CG Times"/>
      <w:sz w:val="32"/>
    </w:rPr>
  </w:style>
  <w:style w:type="character" w:customStyle="1" w:styleId="XV-ASS-SENnumeroCarattere">
    <w:name w:val="XV-ASS-SEN_numero Carattere"/>
    <w:link w:val="XV-ASS-SENnumero"/>
    <w:rsid w:val="00031506"/>
    <w:rPr>
      <w:rFonts w:ascii="CG Times" w:hAnsi="CG Times"/>
      <w:sz w:val="32"/>
      <w:lang w:val="it-IT" w:eastAsia="it-IT" w:bidi="ar-SA"/>
    </w:rPr>
  </w:style>
  <w:style w:type="character" w:customStyle="1" w:styleId="XV-ASS-SENdata-Carattere">
    <w:name w:val="XV-ASS-SEN_data-Carattere"/>
    <w:rsid w:val="00BF3E50"/>
  </w:style>
  <w:style w:type="character" w:customStyle="1" w:styleId="XV-ASS-SENsedutaCar">
    <w:name w:val="XV-ASS-SEN_seduta Car"/>
    <w:basedOn w:val="XV-ASS-SENsedutaCarattere"/>
    <w:rsid w:val="00E00A30"/>
    <w:rPr>
      <w:rFonts w:ascii="Times" w:hAnsi="Times"/>
      <w:sz w:val="32"/>
      <w:szCs w:val="32"/>
      <w:lang w:val="it-IT" w:eastAsia="it-IT" w:bidi="ar-SA"/>
    </w:rPr>
  </w:style>
  <w:style w:type="character" w:customStyle="1" w:styleId="XV-ASS-SENseduta-Car">
    <w:name w:val="XV-ASS-SEN_seduta-Car"/>
    <w:rsid w:val="00DF53D3"/>
    <w:rPr>
      <w:sz w:val="36"/>
      <w:szCs w:val="36"/>
    </w:rPr>
  </w:style>
  <w:style w:type="character" w:customStyle="1" w:styleId="leggititoloCarattere">
    <w:name w:val="leggi_titolo Carattere"/>
    <w:link w:val="leggititolo"/>
    <w:rsid w:val="000000F8"/>
    <w:rPr>
      <w:rFonts w:ascii="Arial" w:hAnsi="Arial"/>
      <w:b/>
      <w:lang w:val="it-IT" w:eastAsia="it-IT" w:bidi="ar-SA"/>
    </w:rPr>
  </w:style>
  <w:style w:type="paragraph" w:styleId="Testofumetto">
    <w:name w:val="Balloon Text"/>
    <w:basedOn w:val="Normale"/>
    <w:rsid w:val="008F3A6D"/>
    <w:rPr>
      <w:rFonts w:ascii="Tahoma" w:hAnsi="Tahoma" w:cs="Tahoma"/>
      <w:sz w:val="16"/>
      <w:szCs w:val="16"/>
    </w:rPr>
  </w:style>
  <w:style w:type="character" w:styleId="Rimandocommento">
    <w:name w:val="annotation reference"/>
    <w:semiHidden/>
    <w:rsid w:val="005633C0"/>
    <w:rPr>
      <w:sz w:val="16"/>
      <w:szCs w:val="16"/>
    </w:rPr>
  </w:style>
  <w:style w:type="paragraph" w:styleId="Testocommento">
    <w:name w:val="annotation text"/>
    <w:basedOn w:val="Normale"/>
    <w:semiHidden/>
    <w:rsid w:val="005633C0"/>
    <w:rPr>
      <w:sz w:val="20"/>
    </w:rPr>
  </w:style>
  <w:style w:type="paragraph" w:styleId="Soggettocommento">
    <w:name w:val="annotation subject"/>
    <w:basedOn w:val="Testocommento"/>
    <w:next w:val="Testocommento"/>
    <w:semiHidden/>
    <w:rsid w:val="005633C0"/>
    <w:rPr>
      <w:b/>
      <w:bCs/>
    </w:rPr>
  </w:style>
  <w:style w:type="character" w:customStyle="1" w:styleId="TestonotaapidipaginaCarattere3">
    <w:name w:val="Testo nota a piè di pagina Carattere3"/>
    <w:aliases w:val="Testo nota a piè di pagina Carattere Carattere,Testo nota a piè di pagina Carattere1 Carattere1,Testo nota a piè di pagina Carattere2 Carattere,Testo nota a piè di pagina Carattere Carattere1 Carattere"/>
    <w:link w:val="Testonotaapidipagina"/>
    <w:rsid w:val="006F4135"/>
    <w:rPr>
      <w:rFonts w:ascii="Arial" w:hAnsi="Arial"/>
      <w:sz w:val="18"/>
      <w:lang w:val="it-IT" w:eastAsia="it-IT" w:bidi="ar-SA"/>
    </w:rPr>
  </w:style>
  <w:style w:type="character" w:customStyle="1" w:styleId="Titolo1Carattere1">
    <w:name w:val="Titolo 1 Carattere1"/>
    <w:link w:val="Titolo1"/>
    <w:rsid w:val="00107446"/>
    <w:rPr>
      <w:rFonts w:ascii="Arial" w:hAnsi="Arial"/>
      <w:b/>
      <w:smallCaps/>
      <w:kern w:val="28"/>
      <w:sz w:val="26"/>
      <w:lang w:val="it-IT" w:eastAsia="it-IT" w:bidi="ar-SA"/>
    </w:rPr>
  </w:style>
  <w:style w:type="character" w:styleId="Enfasicorsivo">
    <w:name w:val="Emphasis"/>
    <w:uiPriority w:val="20"/>
    <w:qFormat/>
    <w:rsid w:val="004A24D7"/>
    <w:rPr>
      <w:i/>
      <w:iCs/>
    </w:rPr>
  </w:style>
  <w:style w:type="paragraph" w:customStyle="1" w:styleId="Testo">
    <w:name w:val="Testo"/>
    <w:aliases w:val="note a piè di pagina"/>
    <w:basedOn w:val="Normale"/>
    <w:rsid w:val="004A24D7"/>
    <w:pPr>
      <w:numPr>
        <w:numId w:val="6"/>
      </w:numPr>
      <w:outlineLvl w:val="0"/>
    </w:pPr>
  </w:style>
  <w:style w:type="character" w:customStyle="1" w:styleId="StileGrassetto">
    <w:name w:val="Stile Grassetto"/>
    <w:rsid w:val="00480024"/>
    <w:rPr>
      <w:rFonts w:ascii="Arial" w:hAnsi="Arial"/>
      <w:b/>
      <w:bCs/>
      <w:sz w:val="22"/>
    </w:rPr>
  </w:style>
  <w:style w:type="paragraph" w:customStyle="1" w:styleId="Normale1">
    <w:name w:val="Normale1"/>
    <w:link w:val="Normale1Carattere1"/>
    <w:rsid w:val="00AB0849"/>
    <w:pPr>
      <w:spacing w:after="120" w:line="360" w:lineRule="atLeast"/>
      <w:ind w:firstLine="284"/>
      <w:jc w:val="both"/>
    </w:pPr>
    <w:rPr>
      <w:rFonts w:ascii="Arial" w:hAnsi="Arial"/>
      <w:sz w:val="24"/>
    </w:rPr>
  </w:style>
  <w:style w:type="character" w:customStyle="1" w:styleId="Normale1Carattere1">
    <w:name w:val="Normale1 Carattere1"/>
    <w:link w:val="Normale1"/>
    <w:rsid w:val="00AB0849"/>
    <w:rPr>
      <w:rFonts w:ascii="Arial" w:hAnsi="Arial"/>
      <w:sz w:val="24"/>
      <w:lang w:val="it-IT" w:eastAsia="it-IT" w:bidi="ar-SA"/>
    </w:rPr>
  </w:style>
  <w:style w:type="paragraph" w:customStyle="1" w:styleId="provvr0">
    <w:name w:val="provv_r0"/>
    <w:basedOn w:val="Normale"/>
    <w:rsid w:val="000B0EDC"/>
    <w:pPr>
      <w:spacing w:before="100" w:beforeAutospacing="1" w:after="100" w:afterAutospacing="1" w:line="240" w:lineRule="auto"/>
      <w:ind w:firstLine="0"/>
      <w:jc w:val="left"/>
    </w:pPr>
    <w:rPr>
      <w:rFonts w:ascii="Times New Roman" w:hAnsi="Times New Roman"/>
      <w:sz w:val="24"/>
      <w:szCs w:val="24"/>
    </w:rPr>
  </w:style>
  <w:style w:type="character" w:customStyle="1" w:styleId="provvnumcomma">
    <w:name w:val="provv_numcomma"/>
    <w:basedOn w:val="Carpredefinitoparagrafo"/>
    <w:rsid w:val="000B0EDC"/>
  </w:style>
  <w:style w:type="character" w:customStyle="1" w:styleId="linkneltesto">
    <w:name w:val="link_nel_testo"/>
    <w:basedOn w:val="Carpredefinitoparagrafo"/>
    <w:rsid w:val="000B0EDC"/>
  </w:style>
  <w:style w:type="paragraph" w:customStyle="1" w:styleId="CarattereCarattereCarattereCarattereCarattere1Carattere">
    <w:name w:val="Carattere Carattere Carattere Carattere Carattere1 Carattere"/>
    <w:rsid w:val="0024162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18"/>
      <w:szCs w:val="18"/>
      <w:lang w:val="en-GB" w:eastAsia="en-GB"/>
    </w:rPr>
  </w:style>
  <w:style w:type="paragraph" w:customStyle="1" w:styleId="CarattereCarattere1Carattere">
    <w:name w:val="Carattere Carattere1 Carattere"/>
    <w:rsid w:val="009C143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18"/>
      <w:szCs w:val="18"/>
      <w:lang w:val="en-GB" w:eastAsia="en-GB"/>
    </w:rPr>
  </w:style>
  <w:style w:type="character" w:customStyle="1" w:styleId="Titolo1Carattere">
    <w:name w:val="Titolo 1 Carattere"/>
    <w:rsid w:val="0066584F"/>
    <w:rPr>
      <w:rFonts w:ascii="Arial" w:hAnsi="Arial"/>
      <w:b/>
      <w:smallCaps/>
      <w:kern w:val="28"/>
      <w:sz w:val="26"/>
      <w:lang w:val="it-IT" w:eastAsia="it-IT" w:bidi="ar-SA"/>
    </w:rPr>
  </w:style>
  <w:style w:type="character" w:customStyle="1" w:styleId="Titolo3Carattere">
    <w:name w:val="Titolo 3 Carattere"/>
    <w:link w:val="Titolo3"/>
    <w:rsid w:val="00011373"/>
    <w:rPr>
      <w:rFonts w:ascii="Arial" w:hAnsi="Arial"/>
      <w:b/>
      <w:i/>
      <w:sz w:val="22"/>
      <w:lang w:val="it-IT" w:eastAsia="it-IT" w:bidi="ar-SA"/>
    </w:rPr>
  </w:style>
  <w:style w:type="paragraph" w:customStyle="1" w:styleId="puntielenco">
    <w:name w:val="punti elenco"/>
    <w:basedOn w:val="Normale"/>
    <w:rsid w:val="00ED61BC"/>
    <w:pPr>
      <w:numPr>
        <w:numId w:val="7"/>
      </w:numPr>
    </w:pPr>
  </w:style>
  <w:style w:type="character" w:customStyle="1" w:styleId="titolopdl">
    <w:name w:val="titolopdl"/>
    <w:basedOn w:val="Carpredefinitoparagrafo"/>
    <w:rsid w:val="00BB6EA7"/>
  </w:style>
  <w:style w:type="paragraph" w:customStyle="1" w:styleId="Collegamento">
    <w:name w:val="Collegamento"/>
    <w:basedOn w:val="IndirizzoHTML"/>
    <w:rsid w:val="00F95F26"/>
    <w:pPr>
      <w:spacing w:before="60" w:after="60"/>
      <w:ind w:firstLine="0"/>
      <w:contextualSpacing/>
      <w:jc w:val="center"/>
    </w:pPr>
    <w:rPr>
      <w:b/>
      <w:i w:val="0"/>
      <w:color w:val="0000FF"/>
      <w:szCs w:val="22"/>
    </w:rPr>
  </w:style>
  <w:style w:type="paragraph" w:customStyle="1" w:styleId="StileCentratoPrimariga0cm">
    <w:name w:val="Stile Centrato Prima riga: 0 cm"/>
    <w:basedOn w:val="Normale"/>
    <w:rsid w:val="00F95F26"/>
    <w:pPr>
      <w:spacing w:before="60" w:after="60"/>
      <w:ind w:firstLine="0"/>
      <w:contextualSpacing/>
      <w:jc w:val="center"/>
    </w:pPr>
  </w:style>
  <w:style w:type="paragraph" w:styleId="IndirizzoHTML">
    <w:name w:val="HTML Address"/>
    <w:basedOn w:val="Normale"/>
    <w:link w:val="IndirizzoHTMLCarattere"/>
    <w:rsid w:val="00F95F26"/>
    <w:rPr>
      <w:i/>
      <w:iCs/>
    </w:rPr>
  </w:style>
  <w:style w:type="character" w:customStyle="1" w:styleId="IndirizzoHTMLCarattere">
    <w:name w:val="Indirizzo HTML Carattere"/>
    <w:link w:val="IndirizzoHTML"/>
    <w:rsid w:val="00F95F26"/>
    <w:rPr>
      <w:rFonts w:ascii="Arial" w:hAnsi="Arial"/>
      <w:i/>
      <w:iCs/>
      <w:sz w:val="22"/>
    </w:rPr>
  </w:style>
  <w:style w:type="paragraph" w:styleId="Sottotitolo">
    <w:name w:val="Subtitle"/>
    <w:basedOn w:val="Normale"/>
    <w:next w:val="Normale"/>
    <w:link w:val="SottotitoloCarattere"/>
    <w:qFormat/>
    <w:rsid w:val="006E4713"/>
    <w:pPr>
      <w:spacing w:after="60"/>
      <w:jc w:val="center"/>
      <w:outlineLvl w:val="1"/>
    </w:pPr>
    <w:rPr>
      <w:rFonts w:ascii="Cambria" w:hAnsi="Cambria"/>
      <w:sz w:val="24"/>
      <w:szCs w:val="24"/>
    </w:rPr>
  </w:style>
  <w:style w:type="character" w:customStyle="1" w:styleId="SottotitoloCarattere">
    <w:name w:val="Sottotitolo Carattere"/>
    <w:link w:val="Sottotitolo"/>
    <w:rsid w:val="006E4713"/>
    <w:rPr>
      <w:rFonts w:ascii="Cambria" w:eastAsia="Times New Roman" w:hAnsi="Cambria" w:cs="Times New Roman"/>
      <w:sz w:val="24"/>
      <w:szCs w:val="24"/>
    </w:rPr>
  </w:style>
  <w:style w:type="character" w:customStyle="1" w:styleId="PidipaginaCarattere">
    <w:name w:val="Piè di pagina Carattere"/>
    <w:link w:val="Pidipagina"/>
    <w:uiPriority w:val="99"/>
    <w:rsid w:val="00E92A51"/>
    <w:rPr>
      <w:rFonts w:ascii="Arial" w:hAnsi="Arial"/>
      <w:sz w:val="22"/>
    </w:rPr>
  </w:style>
  <w:style w:type="character" w:customStyle="1" w:styleId="IntestazioneCarattere">
    <w:name w:val="Intestazione Carattere"/>
    <w:link w:val="Intestazione"/>
    <w:uiPriority w:val="99"/>
    <w:rsid w:val="00332C22"/>
    <w:rPr>
      <w:rFonts w:ascii="Arial" w:hAnsi="Arial"/>
      <w:sz w:val="22"/>
    </w:rPr>
  </w:style>
  <w:style w:type="paragraph" w:styleId="Paragrafoelenco">
    <w:name w:val="List Paragraph"/>
    <w:aliases w:val="Punto elenco 1"/>
    <w:basedOn w:val="Normale"/>
    <w:link w:val="ParagrafoelencoCarattere"/>
    <w:uiPriority w:val="34"/>
    <w:qFormat/>
    <w:rsid w:val="00FA06F9"/>
    <w:pPr>
      <w:spacing w:before="60" w:after="60"/>
      <w:ind w:left="720"/>
      <w:contextualSpacing/>
    </w:pPr>
  </w:style>
  <w:style w:type="numbering" w:customStyle="1" w:styleId="Nessunelenco1">
    <w:name w:val="Nessun elenco1"/>
    <w:next w:val="Nessunelenco"/>
    <w:uiPriority w:val="99"/>
    <w:semiHidden/>
    <w:unhideWhenUsed/>
    <w:rsid w:val="00541B8B"/>
  </w:style>
  <w:style w:type="character" w:customStyle="1" w:styleId="titolo2articolo0">
    <w:name w:val="titolo 2(articolo)"/>
    <w:basedOn w:val="Carpredefinitoparagrafo"/>
    <w:rsid w:val="00541B8B"/>
  </w:style>
  <w:style w:type="paragraph" w:customStyle="1" w:styleId="NOWEB01">
    <w:name w:val="NOWEB01"/>
    <w:basedOn w:val="NOWEB"/>
    <w:rsid w:val="00541B8B"/>
    <w:pPr>
      <w:spacing w:before="60" w:after="60"/>
      <w:ind w:firstLine="0"/>
      <w:contextualSpacing/>
      <w:jc w:val="center"/>
    </w:pPr>
    <w:rPr>
      <w:effect w:val="antsRed"/>
      <w:lang w:val="es-ES"/>
    </w:rPr>
  </w:style>
  <w:style w:type="paragraph" w:customStyle="1" w:styleId="NOWEB02">
    <w:name w:val="NOWEB02"/>
    <w:basedOn w:val="NOWEB"/>
    <w:rsid w:val="00541B8B"/>
    <w:pPr>
      <w:spacing w:before="60" w:after="60"/>
      <w:ind w:firstLine="0"/>
      <w:contextualSpacing/>
      <w:jc w:val="center"/>
    </w:pPr>
    <w:rPr>
      <w:effect w:val="antsRed"/>
      <w:lang w:val="es-ES"/>
    </w:rPr>
  </w:style>
  <w:style w:type="paragraph" w:customStyle="1" w:styleId="NOWEB03">
    <w:name w:val="NOWEB03"/>
    <w:basedOn w:val="NOWEB"/>
    <w:rsid w:val="00541B8B"/>
    <w:pPr>
      <w:spacing w:before="60" w:after="60"/>
      <w:ind w:firstLine="0"/>
      <w:contextualSpacing/>
      <w:jc w:val="center"/>
    </w:pPr>
    <w:rPr>
      <w:effect w:val="antsRed"/>
      <w:lang w:val="es-ES"/>
    </w:rPr>
  </w:style>
  <w:style w:type="paragraph" w:customStyle="1" w:styleId="NOWEB04">
    <w:name w:val="NOWEB04"/>
    <w:basedOn w:val="NOWEB"/>
    <w:rsid w:val="00541B8B"/>
    <w:pPr>
      <w:spacing w:before="60" w:after="60"/>
      <w:ind w:firstLine="0"/>
      <w:contextualSpacing/>
      <w:jc w:val="center"/>
    </w:pPr>
    <w:rPr>
      <w:effect w:val="antsRed"/>
      <w:lang w:val="es-ES"/>
    </w:rPr>
  </w:style>
  <w:style w:type="paragraph" w:customStyle="1" w:styleId="NOWEB05">
    <w:name w:val="NOWEB05"/>
    <w:basedOn w:val="NOWEB"/>
    <w:rsid w:val="00541B8B"/>
    <w:pPr>
      <w:spacing w:before="60" w:after="60"/>
      <w:ind w:firstLine="0"/>
      <w:contextualSpacing/>
      <w:jc w:val="center"/>
    </w:pPr>
    <w:rPr>
      <w:effect w:val="antsRed"/>
      <w:lang w:val="es-ES"/>
    </w:rPr>
  </w:style>
  <w:style w:type="paragraph" w:customStyle="1" w:styleId="NOWEB06">
    <w:name w:val="NOWEB06"/>
    <w:basedOn w:val="NOWEB"/>
    <w:rsid w:val="00541B8B"/>
    <w:pPr>
      <w:spacing w:before="60" w:after="60"/>
      <w:ind w:firstLine="0"/>
      <w:contextualSpacing/>
      <w:jc w:val="center"/>
    </w:pPr>
    <w:rPr>
      <w:effect w:val="antsRed"/>
      <w:lang w:val="es-ES"/>
    </w:rPr>
  </w:style>
  <w:style w:type="paragraph" w:customStyle="1" w:styleId="NOWEB07">
    <w:name w:val="NOWEB07"/>
    <w:basedOn w:val="NOWEB"/>
    <w:rsid w:val="00541B8B"/>
    <w:pPr>
      <w:spacing w:before="60" w:after="60"/>
      <w:ind w:firstLine="0"/>
      <w:contextualSpacing/>
      <w:jc w:val="center"/>
    </w:pPr>
    <w:rPr>
      <w:effect w:val="antsRed"/>
      <w:lang w:val="es-ES"/>
    </w:rPr>
  </w:style>
  <w:style w:type="paragraph" w:customStyle="1" w:styleId="NOWEB08">
    <w:name w:val="NOWEB08"/>
    <w:basedOn w:val="NOWEB"/>
    <w:rsid w:val="00541B8B"/>
    <w:pPr>
      <w:spacing w:before="60" w:after="60"/>
      <w:ind w:firstLine="0"/>
      <w:contextualSpacing/>
      <w:jc w:val="center"/>
    </w:pPr>
    <w:rPr>
      <w:effect w:val="antsRed"/>
      <w:lang w:val="es-ES"/>
    </w:rPr>
  </w:style>
  <w:style w:type="paragraph" w:customStyle="1" w:styleId="SIWEB01">
    <w:name w:val="SIWEB01"/>
    <w:basedOn w:val="SIWEB"/>
    <w:rsid w:val="00541B8B"/>
    <w:pPr>
      <w:spacing w:before="60" w:after="60"/>
      <w:ind w:right="0" w:firstLine="0"/>
      <w:contextualSpacing/>
      <w:jc w:val="center"/>
    </w:pPr>
    <w:rPr>
      <w:lang w:val="es-ES"/>
    </w:rPr>
  </w:style>
  <w:style w:type="paragraph" w:customStyle="1" w:styleId="SIWEB02">
    <w:name w:val="SIWEB02"/>
    <w:basedOn w:val="SIWEB"/>
    <w:rsid w:val="00541B8B"/>
    <w:pPr>
      <w:spacing w:before="60" w:after="60"/>
      <w:ind w:right="0" w:firstLine="0"/>
      <w:contextualSpacing/>
      <w:jc w:val="center"/>
    </w:pPr>
    <w:rPr>
      <w:lang w:val="es-ES"/>
    </w:rPr>
  </w:style>
  <w:style w:type="paragraph" w:customStyle="1" w:styleId="SIWEB03">
    <w:name w:val="SIWEB03"/>
    <w:basedOn w:val="SIWEB"/>
    <w:rsid w:val="00541B8B"/>
    <w:pPr>
      <w:spacing w:before="60" w:after="60"/>
      <w:ind w:right="0" w:firstLine="0"/>
      <w:contextualSpacing/>
      <w:jc w:val="center"/>
    </w:pPr>
    <w:rPr>
      <w:lang w:val="es-ES"/>
    </w:rPr>
  </w:style>
  <w:style w:type="paragraph" w:customStyle="1" w:styleId="SIWEB04">
    <w:name w:val="SIWEB04"/>
    <w:basedOn w:val="SIWEB"/>
    <w:rsid w:val="00541B8B"/>
    <w:pPr>
      <w:spacing w:before="60" w:after="60"/>
      <w:ind w:right="0" w:firstLine="0"/>
      <w:contextualSpacing/>
      <w:jc w:val="center"/>
    </w:pPr>
    <w:rPr>
      <w:lang w:val="es-ES"/>
    </w:rPr>
  </w:style>
  <w:style w:type="paragraph" w:customStyle="1" w:styleId="SIWEB05">
    <w:name w:val="SIWEB05"/>
    <w:basedOn w:val="SIWEB"/>
    <w:rsid w:val="00541B8B"/>
    <w:pPr>
      <w:spacing w:before="60" w:after="60"/>
      <w:ind w:right="0" w:firstLine="0"/>
      <w:contextualSpacing/>
      <w:jc w:val="center"/>
    </w:pPr>
    <w:rPr>
      <w:lang w:val="es-ES"/>
    </w:rPr>
  </w:style>
  <w:style w:type="paragraph" w:customStyle="1" w:styleId="SIWEB06">
    <w:name w:val="SIWEB06"/>
    <w:basedOn w:val="SIWEB"/>
    <w:rsid w:val="00541B8B"/>
    <w:pPr>
      <w:spacing w:before="60" w:after="60"/>
      <w:ind w:right="0" w:firstLine="0"/>
      <w:contextualSpacing/>
      <w:jc w:val="center"/>
    </w:pPr>
    <w:rPr>
      <w:lang w:val="es-ES"/>
    </w:rPr>
  </w:style>
  <w:style w:type="paragraph" w:customStyle="1" w:styleId="SIWEB07">
    <w:name w:val="SIWEB07"/>
    <w:basedOn w:val="SIWEB"/>
    <w:rsid w:val="00541B8B"/>
    <w:pPr>
      <w:spacing w:before="60" w:after="60"/>
      <w:ind w:right="0" w:firstLine="0"/>
      <w:contextualSpacing/>
      <w:jc w:val="center"/>
    </w:pPr>
    <w:rPr>
      <w:lang w:val="es-ES"/>
    </w:rPr>
  </w:style>
  <w:style w:type="paragraph" w:customStyle="1" w:styleId="SIWEB08">
    <w:name w:val="SIWEB08"/>
    <w:basedOn w:val="SIWEB"/>
    <w:rsid w:val="00541B8B"/>
    <w:pPr>
      <w:spacing w:before="60" w:after="60"/>
      <w:ind w:right="0" w:firstLine="0"/>
      <w:contextualSpacing/>
      <w:jc w:val="center"/>
    </w:pPr>
    <w:rPr>
      <w:lang w:val="es-ES"/>
    </w:rPr>
  </w:style>
  <w:style w:type="paragraph" w:customStyle="1" w:styleId="SOMMARIO-NOINTERNET11">
    <w:name w:val="SOMMARIO - NOINTERNET11"/>
    <w:rsid w:val="00541B8B"/>
    <w:pPr>
      <w:spacing w:line="300" w:lineRule="atLeast"/>
      <w:ind w:firstLine="284"/>
      <w:jc w:val="both"/>
    </w:pPr>
    <w:rPr>
      <w:rFonts w:ascii="Arial" w:hAnsi="Arial"/>
      <w:sz w:val="22"/>
    </w:rPr>
  </w:style>
  <w:style w:type="character" w:customStyle="1" w:styleId="CAMCOMMX-XIII">
    <w:name w:val="CAM_COMM_X - XIII"/>
    <w:basedOn w:val="Carpredefinitoparagrafo"/>
    <w:rsid w:val="00541B8B"/>
  </w:style>
  <w:style w:type="character" w:customStyle="1" w:styleId="CAMCOMMX-XIII0">
    <w:name w:val="CAM_COMM_X-XIII"/>
    <w:basedOn w:val="CAMCOMMI-II"/>
    <w:rsid w:val="00541B8B"/>
  </w:style>
  <w:style w:type="character" w:customStyle="1" w:styleId="CAMCOMMRIUO1">
    <w:name w:val="CAM_COMM_RIU_O1"/>
    <w:basedOn w:val="CAMCOMMX-XIII0"/>
    <w:rsid w:val="00541B8B"/>
  </w:style>
  <w:style w:type="character" w:customStyle="1" w:styleId="CAMCOMMRIU02">
    <w:name w:val="CAM_COMM_RIU_02"/>
    <w:basedOn w:val="CAMCOMMX-XIII0"/>
    <w:rsid w:val="00541B8B"/>
  </w:style>
  <w:style w:type="character" w:customStyle="1" w:styleId="commcamdata">
    <w:name w:val="comm_cam_data"/>
    <w:rsid w:val="00541B8B"/>
    <w:rPr>
      <w:rFonts w:ascii="Times New Roman" w:hAnsi="Times New Roman"/>
      <w:i/>
      <w:iCs/>
      <w:sz w:val="24"/>
      <w:szCs w:val="24"/>
    </w:rPr>
  </w:style>
  <w:style w:type="paragraph" w:customStyle="1" w:styleId="Senatodata">
    <w:name w:val="Senato data"/>
    <w:basedOn w:val="SENCOMMdata"/>
    <w:rsid w:val="00541B8B"/>
    <w:pPr>
      <w:spacing w:line="300" w:lineRule="atLeast"/>
      <w:contextualSpacing/>
    </w:pPr>
    <w:rPr>
      <w:rFonts w:ascii="Arial" w:hAnsi="Arial"/>
      <w:sz w:val="22"/>
      <w:szCs w:val="22"/>
    </w:rPr>
  </w:style>
  <w:style w:type="paragraph" w:customStyle="1" w:styleId="Tabellamio">
    <w:name w:val="Tabella mio"/>
    <w:basedOn w:val="Ridotto"/>
    <w:rsid w:val="00541B8B"/>
    <w:pPr>
      <w:spacing w:before="60" w:after="60" w:line="240" w:lineRule="auto"/>
      <w:ind w:left="57" w:right="57" w:firstLine="0"/>
      <w:contextualSpacing/>
    </w:pPr>
    <w:rPr>
      <w:rFonts w:cs="Arial"/>
      <w:sz w:val="10"/>
    </w:rPr>
  </w:style>
  <w:style w:type="paragraph" w:customStyle="1" w:styleId="Tabellaremio">
    <w:name w:val="Tabellare mio"/>
    <w:basedOn w:val="Normale"/>
    <w:rsid w:val="00541B8B"/>
    <w:pPr>
      <w:spacing w:before="60" w:after="60"/>
      <w:ind w:left="57" w:right="57"/>
      <w:contextualSpacing/>
    </w:pPr>
    <w:rPr>
      <w:rFonts w:cs="Arial"/>
      <w:sz w:val="20"/>
    </w:rPr>
  </w:style>
  <w:style w:type="paragraph" w:customStyle="1" w:styleId="Titolo2-nosomm">
    <w:name w:val="Titolo 2 - no somm"/>
    <w:basedOn w:val="Normale"/>
    <w:next w:val="Normale"/>
    <w:rsid w:val="00541B8B"/>
    <w:pPr>
      <w:widowControl w:val="0"/>
      <w:spacing w:before="480" w:after="240"/>
      <w:contextualSpacing/>
    </w:pPr>
    <w:rPr>
      <w:b/>
      <w:sz w:val="24"/>
      <w:szCs w:val="24"/>
    </w:rPr>
  </w:style>
  <w:style w:type="paragraph" w:customStyle="1" w:styleId="Titolo2articolo-sommario5">
    <w:name w:val="Titolo 2(articolo - sommario 5)"/>
    <w:basedOn w:val="Titolo2"/>
    <w:rsid w:val="00541B8B"/>
    <w:pPr>
      <w:ind w:left="0" w:firstLine="0"/>
      <w:contextualSpacing/>
      <w:jc w:val="left"/>
      <w:outlineLvl w:val="4"/>
    </w:pPr>
    <w:rPr>
      <w:sz w:val="28"/>
      <w:szCs w:val="24"/>
    </w:rPr>
  </w:style>
  <w:style w:type="paragraph" w:customStyle="1" w:styleId="Sommario5bis">
    <w:name w:val="Sommario 5bis"/>
    <w:basedOn w:val="Sommario5"/>
    <w:rsid w:val="00541B8B"/>
    <w:pPr>
      <w:numPr>
        <w:numId w:val="19"/>
      </w:numPr>
      <w:contextualSpacing/>
    </w:pPr>
    <w:rPr>
      <w:szCs w:val="22"/>
    </w:rPr>
  </w:style>
  <w:style w:type="paragraph" w:customStyle="1" w:styleId="1">
    <w:name w:val="1"/>
    <w:rsid w:val="00541B8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18"/>
      <w:szCs w:val="18"/>
      <w:lang w:val="en-GB" w:eastAsia="en-GB"/>
    </w:rPr>
  </w:style>
  <w:style w:type="paragraph" w:customStyle="1" w:styleId="CopertinaServizio2">
    <w:name w:val="Copertina/Servizio2"/>
    <w:basedOn w:val="Titolo2"/>
    <w:rsid w:val="00541B8B"/>
    <w:pPr>
      <w:spacing w:before="120"/>
      <w:contextualSpacing/>
      <w:jc w:val="center"/>
    </w:pPr>
    <w:rPr>
      <w:smallCaps/>
      <w:spacing w:val="20"/>
      <w:sz w:val="30"/>
      <w14:shadow w14:blurRad="50800" w14:dist="38100" w14:dir="2700000" w14:sx="100000" w14:sy="100000" w14:kx="0" w14:ky="0" w14:algn="tl">
        <w14:srgbClr w14:val="000000">
          <w14:alpha w14:val="60000"/>
        </w14:srgbClr>
      </w14:shadow>
    </w:rPr>
  </w:style>
  <w:style w:type="paragraph" w:customStyle="1" w:styleId="CopertinaServizio3">
    <w:name w:val="Copertina/Servizio3"/>
    <w:basedOn w:val="Normale"/>
    <w:rsid w:val="00541B8B"/>
    <w:pPr>
      <w:spacing w:before="60" w:after="60"/>
      <w:contextualSpacing/>
      <w:jc w:val="center"/>
    </w:pPr>
    <w:rPr>
      <w:b/>
      <w:smallCaps/>
      <w:spacing w:val="20"/>
      <w:sz w:val="28"/>
      <w14:shadow w14:blurRad="50800" w14:dist="38100" w14:dir="2700000" w14:sx="100000" w14:sy="100000" w14:kx="0" w14:ky="0" w14:algn="tl">
        <w14:srgbClr w14:val="000000">
          <w14:alpha w14:val="60000"/>
        </w14:srgbClr>
      </w14:shadow>
    </w:rPr>
  </w:style>
  <w:style w:type="paragraph" w:customStyle="1" w:styleId="CopertinaServizio4">
    <w:name w:val="Copertina/Servizio4"/>
    <w:basedOn w:val="Normale"/>
    <w:rsid w:val="00541B8B"/>
    <w:pPr>
      <w:spacing w:before="60" w:after="60"/>
      <w:contextualSpacing/>
      <w:jc w:val="center"/>
    </w:pPr>
    <w:rPr>
      <w:b/>
      <w:smallCaps/>
      <w:spacing w:val="20"/>
      <w:sz w:val="24"/>
      <w14:shadow w14:blurRad="50800" w14:dist="38100" w14:dir="2700000" w14:sx="100000" w14:sy="100000" w14:kx="0" w14:ky="0" w14:algn="tl">
        <w14:srgbClr w14:val="000000">
          <w14:alpha w14:val="60000"/>
        </w14:srgbClr>
      </w14:shadow>
    </w:rPr>
  </w:style>
  <w:style w:type="paragraph" w:customStyle="1" w:styleId="CopertinaSottotitolo">
    <w:name w:val="Copertina/Sottotitolo"/>
    <w:basedOn w:val="CopertinaAtto"/>
    <w:rsid w:val="00541B8B"/>
    <w:pPr>
      <w:spacing w:after="60"/>
      <w:contextualSpacing/>
    </w:pPr>
    <w:rPr>
      <w:i/>
      <w:sz w:val="26"/>
    </w:rPr>
  </w:style>
  <w:style w:type="paragraph" w:customStyle="1" w:styleId="COSTITUZIONALITA-indiceautomat">
    <w:name w:val="COSTITUZIONALITA'-indice automat"/>
    <w:rsid w:val="00541B8B"/>
    <w:pPr>
      <w:spacing w:line="300" w:lineRule="atLeast"/>
      <w:ind w:firstLine="284"/>
      <w:jc w:val="both"/>
    </w:pPr>
    <w:rPr>
      <w:rFonts w:ascii="Arial" w:hAnsi="Arial"/>
      <w:sz w:val="22"/>
    </w:rPr>
  </w:style>
  <w:style w:type="paragraph" w:customStyle="1" w:styleId="Data1">
    <w:name w:val="Data1"/>
    <w:basedOn w:val="Normale"/>
    <w:rsid w:val="00541B8B"/>
    <w:pPr>
      <w:spacing w:before="360" w:after="60"/>
      <w:ind w:firstLine="0"/>
      <w:contextualSpacing/>
      <w:jc w:val="left"/>
    </w:pPr>
    <w:rPr>
      <w:sz w:val="28"/>
    </w:rPr>
  </w:style>
  <w:style w:type="paragraph" w:customStyle="1" w:styleId="From">
    <w:name w:val="From"/>
    <w:basedOn w:val="Normale"/>
    <w:rsid w:val="00541B8B"/>
    <w:pPr>
      <w:spacing w:before="360" w:after="60"/>
      <w:ind w:firstLine="0"/>
      <w:contextualSpacing/>
      <w:jc w:val="left"/>
    </w:pPr>
    <w:rPr>
      <w:sz w:val="36"/>
    </w:rPr>
  </w:style>
  <w:style w:type="paragraph" w:customStyle="1" w:styleId="index">
    <w:name w:val="index"/>
    <w:rsid w:val="00541B8B"/>
    <w:pPr>
      <w:spacing w:line="300" w:lineRule="atLeast"/>
      <w:ind w:firstLine="284"/>
      <w:jc w:val="both"/>
    </w:pPr>
    <w:rPr>
      <w:rFonts w:ascii="Arial" w:hAnsi="Arial"/>
      <w:sz w:val="22"/>
    </w:rPr>
  </w:style>
  <w:style w:type="paragraph" w:customStyle="1" w:styleId="indice1">
    <w:name w:val="indice1"/>
    <w:basedOn w:val="Normale"/>
    <w:rsid w:val="00541B8B"/>
    <w:pPr>
      <w:tabs>
        <w:tab w:val="left" w:leader="dot" w:pos="7371"/>
        <w:tab w:val="center" w:pos="7938"/>
        <w:tab w:val="right" w:pos="8505"/>
      </w:tabs>
      <w:spacing w:before="240" w:after="240"/>
      <w:ind w:left="567" w:firstLine="0"/>
      <w:contextualSpacing/>
      <w:jc w:val="left"/>
    </w:pPr>
    <w:rPr>
      <w:rFonts w:ascii="CG Times" w:hAnsi="CG Times"/>
      <w:noProof/>
      <w:sz w:val="24"/>
    </w:rPr>
  </w:style>
  <w:style w:type="paragraph" w:customStyle="1" w:styleId="indice2">
    <w:name w:val="indice2"/>
    <w:basedOn w:val="indice1"/>
    <w:rsid w:val="00541B8B"/>
    <w:pPr>
      <w:spacing w:after="0"/>
      <w:ind w:left="851"/>
    </w:pPr>
  </w:style>
  <w:style w:type="paragraph" w:customStyle="1" w:styleId="indice3">
    <w:name w:val="indice3"/>
    <w:basedOn w:val="indice2"/>
    <w:rsid w:val="00541B8B"/>
    <w:pPr>
      <w:spacing w:before="120"/>
      <w:ind w:left="1276" w:right="-568" w:hanging="426"/>
      <w:jc w:val="both"/>
    </w:pPr>
  </w:style>
  <w:style w:type="paragraph" w:customStyle="1" w:styleId="intestazioneComitatolegislazione">
    <w:name w:val="intestazione Comitato legislazione"/>
    <w:basedOn w:val="Intestazione"/>
    <w:rsid w:val="00541B8B"/>
    <w:pPr>
      <w:pBdr>
        <w:bottom w:val="single" w:sz="6" w:space="1" w:color="auto"/>
      </w:pBdr>
      <w:tabs>
        <w:tab w:val="clear" w:pos="3969"/>
      </w:tabs>
      <w:spacing w:before="60" w:after="60"/>
      <w:ind w:right="56" w:firstLine="0"/>
      <w:contextualSpacing/>
      <w:jc w:val="center"/>
    </w:pPr>
    <w:rPr>
      <w:i/>
    </w:rPr>
  </w:style>
  <w:style w:type="paragraph" w:customStyle="1" w:styleId="intestazionedispari0">
    <w:name w:val="intestazione dispari"/>
    <w:basedOn w:val="Normale"/>
    <w:rsid w:val="00541B8B"/>
    <w:pPr>
      <w:pBdr>
        <w:bottom w:val="single" w:sz="4" w:space="1" w:color="auto"/>
      </w:pBdr>
      <w:spacing w:before="60" w:after="60"/>
      <w:ind w:firstLine="0"/>
      <w:contextualSpacing/>
      <w:jc w:val="right"/>
    </w:pPr>
    <w:rPr>
      <w:smallCaps/>
      <w:sz w:val="18"/>
    </w:rPr>
  </w:style>
  <w:style w:type="paragraph" w:customStyle="1" w:styleId="NumeroattoComitatoLegislazione">
    <w:name w:val="Numero atto (Comitato Legislazione)"/>
    <w:basedOn w:val="Normale"/>
    <w:rsid w:val="00541B8B"/>
    <w:pPr>
      <w:spacing w:before="180" w:after="60"/>
      <w:ind w:left="284" w:right="284" w:firstLine="0"/>
      <w:contextualSpacing/>
      <w:jc w:val="center"/>
    </w:pPr>
    <w:rPr>
      <w:i/>
      <w:sz w:val="28"/>
    </w:rPr>
  </w:style>
  <w:style w:type="paragraph" w:customStyle="1" w:styleId="Pages">
    <w:name w:val="Pages"/>
    <w:basedOn w:val="Normale"/>
    <w:rsid w:val="00541B8B"/>
    <w:pPr>
      <w:spacing w:before="60" w:after="60"/>
      <w:ind w:firstLine="0"/>
      <w:contextualSpacing/>
      <w:jc w:val="left"/>
    </w:pPr>
    <w:rPr>
      <w:sz w:val="28"/>
    </w:rPr>
  </w:style>
  <w:style w:type="paragraph" w:customStyle="1" w:styleId="PDL-IndiceautomaticoSCHEDE">
    <w:name w:val="PDL - Indice automatico SCHEDE"/>
    <w:rsid w:val="00541B8B"/>
    <w:pPr>
      <w:spacing w:line="300" w:lineRule="atLeast"/>
      <w:ind w:firstLine="284"/>
      <w:jc w:val="both"/>
    </w:pPr>
    <w:rPr>
      <w:rFonts w:ascii="Arial" w:hAnsi="Arial"/>
      <w:sz w:val="22"/>
    </w:rPr>
  </w:style>
  <w:style w:type="paragraph" w:customStyle="1" w:styleId="Primaintestazionemessaggio">
    <w:name w:val="Prima intestazione messaggio"/>
    <w:basedOn w:val="Intestazionemessaggio"/>
    <w:next w:val="Intestazionemessaggio"/>
    <w:rsid w:val="00541B8B"/>
    <w:pPr>
      <w:spacing w:before="60"/>
      <w:contextualSpacing/>
    </w:pPr>
  </w:style>
  <w:style w:type="paragraph" w:customStyle="1" w:styleId="SCHEDE-indiceautomatico">
    <w:name w:val="SCHEDE - indice automatico"/>
    <w:rsid w:val="00541B8B"/>
    <w:rPr>
      <w:noProof/>
      <w:sz w:val="3276"/>
    </w:rPr>
  </w:style>
  <w:style w:type="paragraph" w:customStyle="1" w:styleId="SCHEDE-ARTICOLO">
    <w:name w:val="SCHEDE-ARTICOLO"/>
    <w:basedOn w:val="Normale"/>
    <w:rsid w:val="00541B8B"/>
    <w:pPr>
      <w:spacing w:before="60" w:after="60"/>
      <w:ind w:firstLine="0"/>
      <w:contextualSpacing/>
      <w:jc w:val="center"/>
      <w:outlineLvl w:val="2"/>
    </w:pPr>
    <w:rPr>
      <w:b/>
    </w:rPr>
  </w:style>
  <w:style w:type="paragraph" w:customStyle="1" w:styleId="Ultimointestazionemessaggio">
    <w:name w:val="Ultimo intestazione messaggio"/>
    <w:basedOn w:val="Intestazionemessaggio"/>
    <w:next w:val="Normale"/>
    <w:rsid w:val="00541B8B"/>
    <w:pPr>
      <w:pBdr>
        <w:bottom w:val="single" w:sz="6" w:space="19" w:color="auto"/>
        <w:between w:val="single" w:sz="6" w:space="19" w:color="auto"/>
      </w:pBdr>
      <w:tabs>
        <w:tab w:val="left" w:pos="1267"/>
        <w:tab w:val="left" w:pos="2938"/>
      </w:tabs>
      <w:spacing w:before="120" w:after="120"/>
      <w:ind w:left="0" w:firstLine="0"/>
      <w:contextualSpacing/>
    </w:pPr>
  </w:style>
  <w:style w:type="character" w:customStyle="1" w:styleId="CAM-ASS-SEDUTADI-carattere">
    <w:name w:val="CAM-ASS-SEDUTA DI-carattere"/>
    <w:rsid w:val="00541B8B"/>
    <w:rPr>
      <w:rFonts w:ascii="Garamond" w:hAnsi="Garamond"/>
      <w:caps w:val="0"/>
      <w:spacing w:val="20"/>
      <w:w w:val="66"/>
      <w:sz w:val="48"/>
      <w:lang w:val="it-IT" w:eastAsia="it-IT" w:bidi="ar-SA"/>
    </w:rPr>
  </w:style>
  <w:style w:type="paragraph" w:customStyle="1" w:styleId="XVIcopertinaAC">
    <w:name w:val="XVI_copertina_AC"/>
    <w:basedOn w:val="Normale"/>
    <w:rsid w:val="00541B8B"/>
    <w:pPr>
      <w:spacing w:before="60" w:after="60"/>
      <w:ind w:firstLine="0"/>
      <w:contextualSpacing/>
      <w:jc w:val="center"/>
    </w:pPr>
    <w:rPr>
      <w:rFonts w:cs="Arial"/>
      <w:b/>
      <w:color w:val="FFFFFF"/>
      <w:szCs w:val="26"/>
      <w:lang w:eastAsia="en-US"/>
    </w:rPr>
  </w:style>
  <w:style w:type="paragraph" w:customStyle="1" w:styleId="XVICopertinatitolo">
    <w:name w:val="XVI_Copertina_titolo"/>
    <w:basedOn w:val="XV-CopertinaTitolo"/>
    <w:rsid w:val="00541B8B"/>
    <w:pPr>
      <w:spacing w:before="0" w:after="60" w:line="300" w:lineRule="atLeast"/>
      <w:contextualSpacing/>
    </w:pPr>
    <w:rPr>
      <w:b/>
      <w:color w:val="FFFFFF"/>
      <w:spacing w:val="10"/>
      <w:sz w:val="26"/>
      <w:szCs w:val="26"/>
    </w:rPr>
  </w:style>
  <w:style w:type="paragraph" w:customStyle="1" w:styleId="Titolo1sintesi0">
    <w:name w:val="Titolo 1_sintesi"/>
    <w:basedOn w:val="Titolo1"/>
    <w:next w:val="ACsintesi"/>
    <w:rsid w:val="00541B8B"/>
    <w:pPr>
      <w:spacing w:before="0" w:after="120" w:line="240" w:lineRule="atLeast"/>
      <w:ind w:firstLine="284"/>
      <w:contextualSpacing/>
    </w:pPr>
    <w:rPr>
      <w:rFonts w:cs="Arial"/>
      <w:bCs/>
      <w:smallCaps w:val="0"/>
      <w:color w:val="000066"/>
      <w:spacing w:val="15"/>
      <w:kern w:val="0"/>
      <w:sz w:val="32"/>
      <w:szCs w:val="32"/>
    </w:rPr>
  </w:style>
  <w:style w:type="paragraph" w:customStyle="1" w:styleId="ACsintesi">
    <w:name w:val="AC_sintesi"/>
    <w:basedOn w:val="Titolo1"/>
    <w:next w:val="Normalesintesi"/>
    <w:rsid w:val="00541B8B"/>
    <w:pPr>
      <w:spacing w:before="0" w:after="120" w:line="240" w:lineRule="atLeast"/>
      <w:ind w:firstLine="284"/>
      <w:contextualSpacing/>
    </w:pPr>
    <w:rPr>
      <w:rFonts w:cs="Arial"/>
      <w:b w:val="0"/>
      <w:bCs/>
      <w:smallCaps w:val="0"/>
      <w:color w:val="000066"/>
      <w:spacing w:val="15"/>
      <w:kern w:val="0"/>
      <w:sz w:val="32"/>
      <w:szCs w:val="32"/>
    </w:rPr>
  </w:style>
  <w:style w:type="paragraph" w:customStyle="1" w:styleId="Normalesintesi">
    <w:name w:val="Normale_sintesi"/>
    <w:basedOn w:val="Normale"/>
    <w:rsid w:val="00541B8B"/>
    <w:pPr>
      <w:keepNext/>
      <w:keepLines/>
      <w:spacing w:before="60" w:after="60" w:line="240" w:lineRule="atLeast"/>
      <w:ind w:firstLine="0"/>
      <w:contextualSpacing/>
    </w:pPr>
    <w:rPr>
      <w:sz w:val="18"/>
      <w:szCs w:val="18"/>
    </w:rPr>
  </w:style>
  <w:style w:type="paragraph" w:customStyle="1" w:styleId="Titolo2sintesi">
    <w:name w:val="Titolo 2_sintesi"/>
    <w:basedOn w:val="Titolo2"/>
    <w:next w:val="Normalesintesi"/>
    <w:rsid w:val="00541B8B"/>
    <w:pPr>
      <w:spacing w:before="0" w:after="120" w:line="240" w:lineRule="atLeast"/>
      <w:ind w:left="0" w:firstLine="0"/>
      <w:contextualSpacing/>
      <w:jc w:val="left"/>
    </w:pPr>
    <w:rPr>
      <w:rFonts w:cs="Arial"/>
      <w:bCs/>
      <w:iCs/>
      <w:color w:val="000066"/>
      <w:sz w:val="28"/>
      <w:szCs w:val="22"/>
    </w:rPr>
  </w:style>
  <w:style w:type="paragraph" w:customStyle="1" w:styleId="Titolo3sintesi">
    <w:name w:val="Titolo 3_sintesi"/>
    <w:basedOn w:val="Titolo3"/>
    <w:next w:val="Normalesintesi"/>
    <w:rsid w:val="00541B8B"/>
    <w:pPr>
      <w:spacing w:before="60" w:after="60" w:line="240" w:lineRule="atLeast"/>
      <w:ind w:left="284" w:firstLine="0"/>
      <w:contextualSpacing/>
      <w:jc w:val="left"/>
    </w:pPr>
    <w:rPr>
      <w:rFonts w:cs="Arial"/>
      <w:bCs/>
      <w:color w:val="000066"/>
      <w:sz w:val="20"/>
    </w:rPr>
  </w:style>
  <w:style w:type="paragraph" w:customStyle="1" w:styleId="Sottotitolosintesi">
    <w:name w:val="Sottotitolo_sintesi"/>
    <w:basedOn w:val="Normale"/>
    <w:rsid w:val="00541B8B"/>
    <w:pPr>
      <w:spacing w:before="60" w:after="60" w:line="240" w:lineRule="atLeast"/>
      <w:ind w:firstLine="0"/>
      <w:contextualSpacing/>
      <w:jc w:val="center"/>
    </w:pPr>
    <w:rPr>
      <w:b/>
      <w:color w:val="000066"/>
      <w:sz w:val="24"/>
      <w:szCs w:val="24"/>
    </w:rPr>
  </w:style>
  <w:style w:type="paragraph" w:customStyle="1" w:styleId="Normalesintesitab">
    <w:name w:val="Normale_sintesi_tab"/>
    <w:basedOn w:val="Normale"/>
    <w:rsid w:val="00541B8B"/>
    <w:pPr>
      <w:spacing w:before="60" w:after="60" w:line="240" w:lineRule="atLeast"/>
      <w:ind w:firstLine="0"/>
      <w:contextualSpacing/>
    </w:pPr>
    <w:rPr>
      <w:b/>
      <w:i/>
      <w:color w:val="000066"/>
      <w:sz w:val="18"/>
      <w:szCs w:val="24"/>
    </w:rPr>
  </w:style>
  <w:style w:type="paragraph" w:customStyle="1" w:styleId="Normalesintesitab1">
    <w:name w:val="Normale_sintesi_tab_1"/>
    <w:basedOn w:val="Normalesintesitab"/>
    <w:rsid w:val="00541B8B"/>
    <w:pPr>
      <w:spacing w:line="240" w:lineRule="auto"/>
      <w:ind w:left="284"/>
      <w:jc w:val="left"/>
    </w:pPr>
    <w:rPr>
      <w:b w:val="0"/>
      <w:szCs w:val="18"/>
    </w:rPr>
  </w:style>
  <w:style w:type="paragraph" w:customStyle="1" w:styleId="StileNormalesintesi">
    <w:name w:val="Stile Normale_sintesi +"/>
    <w:basedOn w:val="Normalesintesi"/>
    <w:rsid w:val="00541B8B"/>
    <w:rPr>
      <w:bCs/>
      <w:iCs/>
      <w:color w:val="000080"/>
    </w:rPr>
  </w:style>
  <w:style w:type="paragraph" w:customStyle="1" w:styleId="Normalesintesipi">
    <w:name w:val="Normale_sintesi_piè"/>
    <w:basedOn w:val="Normale"/>
    <w:rsid w:val="00541B8B"/>
    <w:pPr>
      <w:pBdr>
        <w:top w:val="single" w:sz="4" w:space="1" w:color="000066"/>
        <w:bottom w:val="single" w:sz="4" w:space="1" w:color="000066"/>
      </w:pBdr>
      <w:tabs>
        <w:tab w:val="center" w:pos="5103"/>
        <w:tab w:val="right" w:pos="10206"/>
      </w:tabs>
      <w:spacing w:before="60" w:after="60" w:line="160" w:lineRule="atLeast"/>
      <w:ind w:firstLine="0"/>
      <w:contextualSpacing/>
    </w:pPr>
    <w:rPr>
      <w:rFonts w:cs="Arial"/>
      <w:i/>
      <w:sz w:val="16"/>
      <w:szCs w:val="16"/>
    </w:rPr>
  </w:style>
  <w:style w:type="paragraph" w:customStyle="1" w:styleId="Normalesintesipi1">
    <w:name w:val="Normale_sintesi_piè1"/>
    <w:basedOn w:val="Normale"/>
    <w:rsid w:val="00541B8B"/>
    <w:pPr>
      <w:pBdr>
        <w:top w:val="single" w:sz="4" w:space="1" w:color="000066"/>
        <w:bottom w:val="single" w:sz="4" w:space="1" w:color="000066"/>
      </w:pBdr>
      <w:tabs>
        <w:tab w:val="center" w:pos="5103"/>
        <w:tab w:val="right" w:pos="10206"/>
      </w:tabs>
      <w:spacing w:before="60" w:after="60" w:line="240" w:lineRule="atLeast"/>
      <w:ind w:firstLine="0"/>
      <w:contextualSpacing/>
    </w:pPr>
    <w:rPr>
      <w:rFonts w:cs="Arial"/>
      <w:b/>
      <w:smallCaps/>
      <w:color w:val="000066"/>
      <w:sz w:val="18"/>
      <w:szCs w:val="18"/>
    </w:rPr>
  </w:style>
  <w:style w:type="paragraph" w:customStyle="1" w:styleId="Normalestileint">
    <w:name w:val="Normale_stile_int"/>
    <w:basedOn w:val="Normale"/>
    <w:rsid w:val="00541B8B"/>
    <w:pPr>
      <w:tabs>
        <w:tab w:val="right" w:pos="9972"/>
      </w:tabs>
      <w:spacing w:before="60" w:after="60" w:line="240" w:lineRule="atLeast"/>
      <w:ind w:firstLine="0"/>
      <w:contextualSpacing/>
      <w:jc w:val="left"/>
    </w:pPr>
    <w:rPr>
      <w:rFonts w:cs="Arial"/>
      <w:b/>
      <w:color w:val="FFFFFF"/>
      <w:sz w:val="20"/>
    </w:rPr>
  </w:style>
  <w:style w:type="paragraph" w:customStyle="1" w:styleId="Normalestilepi2">
    <w:name w:val="Normale_stile_piè2"/>
    <w:basedOn w:val="Normale"/>
    <w:rsid w:val="00541B8B"/>
    <w:pPr>
      <w:pBdr>
        <w:top w:val="single" w:sz="4" w:space="1" w:color="000066"/>
        <w:bottom w:val="single" w:sz="4" w:space="1" w:color="000066"/>
      </w:pBdr>
      <w:tabs>
        <w:tab w:val="center" w:pos="5103"/>
        <w:tab w:val="right" w:pos="10206"/>
      </w:tabs>
      <w:spacing w:before="60" w:after="60" w:line="240" w:lineRule="atLeast"/>
      <w:ind w:firstLine="0"/>
      <w:contextualSpacing/>
    </w:pPr>
    <w:rPr>
      <w:rFonts w:cs="Arial"/>
      <w:color w:val="000066"/>
      <w:sz w:val="18"/>
      <w:szCs w:val="18"/>
    </w:rPr>
  </w:style>
  <w:style w:type="paragraph" w:customStyle="1" w:styleId="Schedearticolato">
    <w:name w:val="Schede_articolato"/>
    <w:basedOn w:val="Normale"/>
    <w:next w:val="Normale"/>
    <w:rsid w:val="00541B8B"/>
    <w:pPr>
      <w:spacing w:before="60" w:after="60"/>
      <w:contextualSpacing/>
    </w:pPr>
    <w:rPr>
      <w:sz w:val="20"/>
    </w:rPr>
  </w:style>
  <w:style w:type="paragraph" w:styleId="Titolo">
    <w:name w:val="Title"/>
    <w:basedOn w:val="Normale"/>
    <w:link w:val="TitoloCarattere"/>
    <w:qFormat/>
    <w:rsid w:val="00541B8B"/>
    <w:pPr>
      <w:spacing w:before="240" w:after="60"/>
      <w:ind w:firstLine="0"/>
      <w:contextualSpacing/>
      <w:jc w:val="center"/>
      <w:outlineLvl w:val="0"/>
    </w:pPr>
    <w:rPr>
      <w:rFonts w:cs="Arial"/>
      <w:b/>
      <w:bCs/>
      <w:kern w:val="28"/>
      <w:sz w:val="32"/>
      <w:szCs w:val="32"/>
    </w:rPr>
  </w:style>
  <w:style w:type="character" w:customStyle="1" w:styleId="TitoloCarattere">
    <w:name w:val="Titolo Carattere"/>
    <w:basedOn w:val="Carpredefinitoparagrafo"/>
    <w:link w:val="Titolo"/>
    <w:rsid w:val="00541B8B"/>
    <w:rPr>
      <w:rFonts w:ascii="Arial" w:hAnsi="Arial" w:cs="Arial"/>
      <w:b/>
      <w:bCs/>
      <w:kern w:val="28"/>
      <w:sz w:val="32"/>
      <w:szCs w:val="32"/>
    </w:rPr>
  </w:style>
  <w:style w:type="paragraph" w:customStyle="1" w:styleId="Osservazioni">
    <w:name w:val="Osservazioni"/>
    <w:basedOn w:val="Normale"/>
    <w:qFormat/>
    <w:rsid w:val="00541B8B"/>
    <w:pPr>
      <w:spacing w:before="60" w:after="60"/>
      <w:contextualSpacing/>
    </w:pPr>
    <w:rPr>
      <w:i/>
    </w:rPr>
  </w:style>
  <w:style w:type="paragraph" w:customStyle="1" w:styleId="Puntoelenco1">
    <w:name w:val="Punto elenco 1°"/>
    <w:basedOn w:val="Paragrafoelenco"/>
    <w:autoRedefine/>
    <w:qFormat/>
    <w:rsid w:val="00541B8B"/>
    <w:pPr>
      <w:numPr>
        <w:numId w:val="20"/>
      </w:numPr>
      <w:tabs>
        <w:tab w:val="left" w:pos="284"/>
      </w:tabs>
      <w:spacing w:before="40" w:line="240" w:lineRule="auto"/>
      <w:contextualSpacing w:val="0"/>
    </w:pPr>
  </w:style>
  <w:style w:type="paragraph" w:customStyle="1" w:styleId="Puntoelenco2">
    <w:name w:val="Punto elenco 2°"/>
    <w:basedOn w:val="Normale"/>
    <w:autoRedefine/>
    <w:qFormat/>
    <w:rsid w:val="00541B8B"/>
    <w:pPr>
      <w:numPr>
        <w:numId w:val="21"/>
      </w:numPr>
      <w:tabs>
        <w:tab w:val="left" w:pos="284"/>
      </w:tabs>
      <w:spacing w:before="40" w:after="60"/>
      <w:contextualSpacing/>
    </w:pPr>
  </w:style>
  <w:style w:type="character" w:customStyle="1" w:styleId="Titolo2Carattere">
    <w:name w:val="Titolo 2 Carattere"/>
    <w:basedOn w:val="Carpredefinitoparagrafo"/>
    <w:link w:val="Titolo2"/>
    <w:rsid w:val="00541B8B"/>
    <w:rPr>
      <w:rFonts w:ascii="Arial" w:hAnsi="Arial"/>
      <w:b/>
      <w:sz w:val="24"/>
    </w:rPr>
  </w:style>
  <w:style w:type="paragraph" w:styleId="Didascalia">
    <w:name w:val="caption"/>
    <w:basedOn w:val="Normale"/>
    <w:next w:val="Normale"/>
    <w:uiPriority w:val="35"/>
    <w:semiHidden/>
    <w:unhideWhenUsed/>
    <w:qFormat/>
    <w:rsid w:val="00541B8B"/>
    <w:pPr>
      <w:spacing w:before="60" w:after="200"/>
      <w:ind w:firstLine="0"/>
      <w:contextualSpacing/>
    </w:pPr>
    <w:rPr>
      <w:b/>
      <w:bCs/>
      <w:color w:val="4F81BD" w:themeColor="accent1"/>
      <w:sz w:val="18"/>
      <w:szCs w:val="18"/>
    </w:rPr>
  </w:style>
  <w:style w:type="character" w:customStyle="1" w:styleId="ParagrafoelencoCarattere">
    <w:name w:val="Paragrafo elenco Carattere"/>
    <w:aliases w:val="Punto elenco 1 Carattere"/>
    <w:basedOn w:val="Carpredefinitoparagrafo"/>
    <w:link w:val="Paragrafoelenco"/>
    <w:uiPriority w:val="34"/>
    <w:locked/>
    <w:rsid w:val="00541B8B"/>
    <w:rPr>
      <w:rFonts w:ascii="Arial" w:hAnsi="Arial"/>
      <w:sz w:val="22"/>
    </w:rPr>
  </w:style>
  <w:style w:type="paragraph" w:styleId="Citazione">
    <w:name w:val="Quote"/>
    <w:basedOn w:val="Normale"/>
    <w:next w:val="Normale"/>
    <w:link w:val="CitazioneCarattere"/>
    <w:uiPriority w:val="29"/>
    <w:qFormat/>
    <w:rsid w:val="00541B8B"/>
    <w:pPr>
      <w:spacing w:before="60" w:after="60"/>
      <w:ind w:firstLine="0"/>
      <w:contextualSpacing/>
    </w:pPr>
    <w:rPr>
      <w:i/>
      <w:iCs/>
      <w:color w:val="000000" w:themeColor="text1"/>
    </w:rPr>
  </w:style>
  <w:style w:type="character" w:customStyle="1" w:styleId="CitazioneCarattere">
    <w:name w:val="Citazione Carattere"/>
    <w:basedOn w:val="Carpredefinitoparagrafo"/>
    <w:link w:val="Citazione"/>
    <w:uiPriority w:val="29"/>
    <w:rsid w:val="00541B8B"/>
    <w:rPr>
      <w:rFonts w:ascii="Arial" w:hAnsi="Arial"/>
      <w:i/>
      <w:iCs/>
      <w:color w:val="000000" w:themeColor="text1"/>
      <w:sz w:val="22"/>
    </w:rPr>
  </w:style>
  <w:style w:type="paragraph" w:styleId="Citazioneintensa">
    <w:name w:val="Intense Quote"/>
    <w:basedOn w:val="Normale"/>
    <w:next w:val="Normale"/>
    <w:link w:val="CitazioneintensaCarattere"/>
    <w:uiPriority w:val="30"/>
    <w:qFormat/>
    <w:rsid w:val="00541B8B"/>
    <w:pPr>
      <w:pBdr>
        <w:bottom w:val="single" w:sz="4" w:space="4" w:color="4F81BD" w:themeColor="accent1"/>
      </w:pBdr>
      <w:spacing w:before="200" w:after="280"/>
      <w:ind w:left="936" w:right="936" w:firstLine="0"/>
      <w:contextualSpacing/>
    </w:pPr>
    <w:rPr>
      <w:b/>
      <w:bCs/>
      <w:i/>
      <w:iCs/>
      <w:color w:val="4F81BD" w:themeColor="accent1"/>
    </w:rPr>
  </w:style>
  <w:style w:type="character" w:customStyle="1" w:styleId="CitazioneintensaCarattere">
    <w:name w:val="Citazione intensa Carattere"/>
    <w:basedOn w:val="Carpredefinitoparagrafo"/>
    <w:link w:val="Citazioneintensa"/>
    <w:uiPriority w:val="30"/>
    <w:rsid w:val="00541B8B"/>
    <w:rPr>
      <w:rFonts w:ascii="Arial" w:hAnsi="Arial"/>
      <w:b/>
      <w:bCs/>
      <w:i/>
      <w:iCs/>
      <w:color w:val="4F81BD" w:themeColor="accent1"/>
      <w:sz w:val="22"/>
    </w:rPr>
  </w:style>
  <w:style w:type="paragraph" w:styleId="Titolosommario">
    <w:name w:val="TOC Heading"/>
    <w:basedOn w:val="Titolo1"/>
    <w:next w:val="Normale"/>
    <w:uiPriority w:val="39"/>
    <w:semiHidden/>
    <w:unhideWhenUsed/>
    <w:qFormat/>
    <w:rsid w:val="00541B8B"/>
    <w:pPr>
      <w:keepLines/>
      <w:spacing w:after="0"/>
      <w:contextualSpacing/>
      <w:jc w:val="both"/>
      <w:outlineLvl w:val="9"/>
    </w:pPr>
    <w:rPr>
      <w:rFonts w:asciiTheme="majorHAnsi" w:eastAsiaTheme="majorEastAsia" w:hAnsiTheme="majorHAnsi" w:cstheme="majorBidi"/>
      <w:bCs/>
      <w:smallCaps w:val="0"/>
      <w:color w:val="365F91" w:themeColor="accent1" w:themeShade="BF"/>
      <w:kern w:val="0"/>
      <w:sz w:val="28"/>
      <w:szCs w:val="28"/>
    </w:rPr>
  </w:style>
  <w:style w:type="character" w:customStyle="1" w:styleId="RidottoCarattere">
    <w:name w:val="Ridotto Carattere"/>
    <w:link w:val="Ridotto"/>
    <w:rsid w:val="00541B8B"/>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header" w:uiPriority="99"/>
    <w:lsdException w:name="footer" w:uiPriority="99"/>
    <w:lsdException w:name="caption" w:semiHidden="1" w:uiPriority="35" w:unhideWhenUsed="1" w:qFormat="1"/>
    <w:lsdException w:name="footnote reference" w:uiPriority="99"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57816"/>
    <w:pPr>
      <w:spacing w:line="300" w:lineRule="atLeast"/>
      <w:ind w:firstLine="284"/>
      <w:jc w:val="both"/>
    </w:pPr>
    <w:rPr>
      <w:rFonts w:ascii="Arial" w:hAnsi="Arial"/>
      <w:sz w:val="22"/>
    </w:rPr>
  </w:style>
  <w:style w:type="paragraph" w:styleId="Titolo1">
    <w:name w:val="heading 1"/>
    <w:basedOn w:val="Normale"/>
    <w:next w:val="Normale"/>
    <w:link w:val="Titolo1Carattere1"/>
    <w:qFormat/>
    <w:rsid w:val="006223EB"/>
    <w:pPr>
      <w:keepNext/>
      <w:spacing w:before="480" w:after="480"/>
      <w:ind w:firstLine="0"/>
      <w:jc w:val="center"/>
      <w:outlineLvl w:val="0"/>
    </w:pPr>
    <w:rPr>
      <w:b/>
      <w:smallCaps/>
      <w:kern w:val="28"/>
      <w:sz w:val="26"/>
    </w:rPr>
  </w:style>
  <w:style w:type="paragraph" w:styleId="Titolo2">
    <w:name w:val="heading 2"/>
    <w:basedOn w:val="Normale"/>
    <w:next w:val="Normale"/>
    <w:link w:val="Titolo2Carattere"/>
    <w:qFormat/>
    <w:rsid w:val="006223EB"/>
    <w:pPr>
      <w:keepNext/>
      <w:spacing w:before="480" w:after="240"/>
      <w:ind w:left="284" w:hanging="284"/>
      <w:outlineLvl w:val="1"/>
    </w:pPr>
    <w:rPr>
      <w:b/>
      <w:sz w:val="24"/>
    </w:rPr>
  </w:style>
  <w:style w:type="paragraph" w:styleId="Titolo3">
    <w:name w:val="heading 3"/>
    <w:basedOn w:val="Normale"/>
    <w:next w:val="Normale"/>
    <w:link w:val="Titolo3Carattere"/>
    <w:qFormat/>
    <w:rsid w:val="006223EB"/>
    <w:pPr>
      <w:keepNext/>
      <w:spacing w:before="240" w:after="180"/>
      <w:ind w:left="568" w:hanging="284"/>
      <w:outlineLvl w:val="2"/>
    </w:pPr>
    <w:rPr>
      <w:b/>
      <w:i/>
    </w:rPr>
  </w:style>
  <w:style w:type="paragraph" w:styleId="Titolo4">
    <w:name w:val="heading 4"/>
    <w:basedOn w:val="Normale"/>
    <w:next w:val="Normale"/>
    <w:qFormat/>
    <w:rsid w:val="006223EB"/>
    <w:pPr>
      <w:keepNext/>
      <w:spacing w:before="240" w:after="180"/>
      <w:ind w:left="568" w:hanging="284"/>
      <w:outlineLvl w:val="3"/>
    </w:pPr>
    <w:rPr>
      <w:i/>
    </w:rPr>
  </w:style>
  <w:style w:type="paragraph" w:styleId="Titolo5">
    <w:name w:val="heading 5"/>
    <w:basedOn w:val="Normale"/>
    <w:next w:val="Normale"/>
    <w:qFormat/>
    <w:rsid w:val="006223EB"/>
    <w:pPr>
      <w:keepNext/>
      <w:spacing w:before="180" w:after="60"/>
      <w:ind w:left="568" w:hanging="284"/>
      <w:outlineLvl w:val="4"/>
    </w:pPr>
    <w:rPr>
      <w:u w:val="single"/>
    </w:rPr>
  </w:style>
  <w:style w:type="paragraph" w:styleId="Titolo6">
    <w:name w:val="heading 6"/>
    <w:basedOn w:val="Normale"/>
    <w:next w:val="Normale"/>
    <w:qFormat/>
    <w:rsid w:val="006223EB"/>
    <w:pPr>
      <w:spacing w:before="240" w:after="60"/>
      <w:ind w:firstLine="0"/>
      <w:outlineLvl w:val="5"/>
    </w:pPr>
    <w:rPr>
      <w:rFonts w:ascii="Times New Roman" w:hAnsi="Times New Roman"/>
      <w:i/>
    </w:rPr>
  </w:style>
  <w:style w:type="paragraph" w:styleId="Titolo7">
    <w:name w:val="heading 7"/>
    <w:basedOn w:val="Normale"/>
    <w:next w:val="Normale"/>
    <w:qFormat/>
    <w:rsid w:val="006223EB"/>
    <w:pPr>
      <w:spacing w:before="240" w:after="60"/>
      <w:ind w:firstLine="0"/>
      <w:outlineLvl w:val="6"/>
    </w:pPr>
    <w:rPr>
      <w:sz w:val="20"/>
    </w:rPr>
  </w:style>
  <w:style w:type="paragraph" w:styleId="Titolo8">
    <w:name w:val="heading 8"/>
    <w:basedOn w:val="Normale"/>
    <w:next w:val="Normale"/>
    <w:qFormat/>
    <w:rsid w:val="006223EB"/>
    <w:pPr>
      <w:spacing w:before="240" w:after="60"/>
      <w:ind w:firstLine="0"/>
      <w:outlineLvl w:val="7"/>
    </w:pPr>
    <w:rPr>
      <w:i/>
      <w:sz w:val="20"/>
    </w:rPr>
  </w:style>
  <w:style w:type="paragraph" w:styleId="Titolo9">
    <w:name w:val="heading 9"/>
    <w:basedOn w:val="Normale"/>
    <w:next w:val="Normale"/>
    <w:qFormat/>
    <w:rsid w:val="006223EB"/>
    <w:pPr>
      <w:spacing w:before="240" w:after="60"/>
      <w:ind w:firstLine="0"/>
      <w:outlineLvl w:val="8"/>
    </w:pPr>
    <w:rPr>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selladitesto">
    <w:name w:val="Casella di testo"/>
    <w:basedOn w:val="Normale"/>
    <w:rsid w:val="006223EB"/>
    <w:pPr>
      <w:spacing w:line="240" w:lineRule="auto"/>
      <w:ind w:firstLine="0"/>
      <w:jc w:val="left"/>
    </w:pPr>
    <w:rPr>
      <w:rFonts w:ascii="Times New Roman" w:hAnsi="Times New Roman"/>
      <w:b/>
      <w:sz w:val="20"/>
    </w:rPr>
  </w:style>
  <w:style w:type="paragraph" w:styleId="Intestazione">
    <w:name w:val="header"/>
    <w:basedOn w:val="Normale"/>
    <w:link w:val="IntestazioneCarattere"/>
    <w:uiPriority w:val="99"/>
    <w:rsid w:val="006223EB"/>
    <w:pPr>
      <w:tabs>
        <w:tab w:val="center" w:pos="3969"/>
        <w:tab w:val="right" w:pos="7938"/>
      </w:tabs>
    </w:pPr>
  </w:style>
  <w:style w:type="paragraph" w:customStyle="1" w:styleId="Intestazionedispari">
    <w:name w:val="Intestazione dispari"/>
    <w:basedOn w:val="Normale"/>
    <w:rsid w:val="006223EB"/>
    <w:pPr>
      <w:pBdr>
        <w:bottom w:val="single" w:sz="4" w:space="1" w:color="auto"/>
      </w:pBdr>
      <w:ind w:firstLine="0"/>
      <w:jc w:val="right"/>
    </w:pPr>
    <w:rPr>
      <w:smallCaps/>
      <w:sz w:val="18"/>
    </w:rPr>
  </w:style>
  <w:style w:type="paragraph" w:customStyle="1" w:styleId="Intestazionepari">
    <w:name w:val="Intestazione pari"/>
    <w:basedOn w:val="Normale"/>
    <w:rsid w:val="006223EB"/>
    <w:pPr>
      <w:pBdr>
        <w:bottom w:val="single" w:sz="4" w:space="1" w:color="auto"/>
      </w:pBdr>
      <w:spacing w:line="240" w:lineRule="auto"/>
      <w:ind w:firstLine="0"/>
    </w:pPr>
    <w:rPr>
      <w:smallCaps/>
      <w:sz w:val="18"/>
    </w:rPr>
  </w:style>
  <w:style w:type="character" w:styleId="Numeropagina">
    <w:name w:val="page number"/>
    <w:rsid w:val="006223EB"/>
    <w:rPr>
      <w:rFonts w:ascii="Arial" w:hAnsi="Arial"/>
      <w:sz w:val="22"/>
    </w:rPr>
  </w:style>
  <w:style w:type="paragraph" w:customStyle="1" w:styleId="Occhiello">
    <w:name w:val="Occhiello"/>
    <w:basedOn w:val="Normale"/>
    <w:rsid w:val="006223EB"/>
    <w:pPr>
      <w:spacing w:before="4800"/>
      <w:ind w:firstLine="0"/>
      <w:jc w:val="center"/>
      <w:outlineLvl w:val="0"/>
    </w:pPr>
    <w:rPr>
      <w:b/>
      <w:sz w:val="36"/>
    </w:rPr>
  </w:style>
  <w:style w:type="paragraph" w:styleId="Pidipagina">
    <w:name w:val="footer"/>
    <w:basedOn w:val="Normale"/>
    <w:link w:val="PidipaginaCarattere"/>
    <w:uiPriority w:val="99"/>
    <w:rsid w:val="006223EB"/>
    <w:pPr>
      <w:ind w:firstLine="0"/>
      <w:jc w:val="center"/>
    </w:pPr>
  </w:style>
  <w:style w:type="paragraph" w:customStyle="1" w:styleId="Ridotto">
    <w:name w:val="Ridotto"/>
    <w:basedOn w:val="Normale"/>
    <w:link w:val="RidottoCarattere"/>
    <w:qFormat/>
    <w:rsid w:val="006223EB"/>
    <w:pPr>
      <w:spacing w:line="260" w:lineRule="atLeast"/>
    </w:pPr>
    <w:rPr>
      <w:sz w:val="20"/>
    </w:rPr>
  </w:style>
  <w:style w:type="character" w:styleId="Rimandonotaapidipagina">
    <w:name w:val="footnote reference"/>
    <w:aliases w:val="(Footnote ReferenceI,SUPERS,(Footnote Reference),EN Footnote Reference,Footnote symbol,Footnote,Footnote number,fr,o,Footnotemark,FR,Footnotemark1,Footnotemark2,FR1,Footnotemark3,FR2,Footnotemark4,FR3,Footnotemark5,FR4"/>
    <w:uiPriority w:val="99"/>
    <w:qFormat/>
    <w:rsid w:val="006223EB"/>
    <w:rPr>
      <w:vertAlign w:val="superscript"/>
    </w:rPr>
  </w:style>
  <w:style w:type="paragraph" w:customStyle="1" w:styleId="Tabellare">
    <w:name w:val="Tabellare"/>
    <w:basedOn w:val="Ridotto"/>
    <w:rsid w:val="006223EB"/>
    <w:pPr>
      <w:keepLines/>
      <w:spacing w:before="60" w:after="60" w:line="240" w:lineRule="auto"/>
      <w:ind w:firstLine="0"/>
      <w:jc w:val="left"/>
    </w:pPr>
  </w:style>
  <w:style w:type="paragraph" w:styleId="Testonotaapidipagina">
    <w:name w:val="footnote text"/>
    <w:aliases w:val="Testo nota a piè di pagina Carattere,Testo nota a piè di pagina Carattere1,Testo nota a piè di pagina Carattere2,Testo nota a piè di pagina Carattere Carattere1,Testo nota a piè di pagina Carattere1 Carattere,stile 1"/>
    <w:basedOn w:val="Normale"/>
    <w:link w:val="TestonotaapidipaginaCarattere3"/>
    <w:rsid w:val="006223EB"/>
    <w:pPr>
      <w:spacing w:line="240" w:lineRule="auto"/>
      <w:ind w:left="284" w:hanging="284"/>
    </w:pPr>
    <w:rPr>
      <w:sz w:val="18"/>
    </w:rPr>
  </w:style>
  <w:style w:type="paragraph" w:customStyle="1" w:styleId="leggitesto">
    <w:name w:val="leggi_testo"/>
    <w:basedOn w:val="Normale"/>
    <w:rsid w:val="00F84BDE"/>
    <w:pPr>
      <w:spacing w:before="60" w:line="240" w:lineRule="auto"/>
    </w:pPr>
    <w:rPr>
      <w:sz w:val="20"/>
    </w:rPr>
  </w:style>
  <w:style w:type="paragraph" w:customStyle="1" w:styleId="legge-note">
    <w:name w:val="legge-note"/>
    <w:basedOn w:val="Normale"/>
    <w:rsid w:val="00F84BDE"/>
    <w:pPr>
      <w:spacing w:line="240" w:lineRule="auto"/>
      <w:ind w:left="284" w:hanging="284"/>
    </w:pPr>
    <w:rPr>
      <w:i/>
      <w:sz w:val="18"/>
    </w:rPr>
  </w:style>
  <w:style w:type="paragraph" w:customStyle="1" w:styleId="leggirubricaarticolo">
    <w:name w:val="leggi_(rubrica articolo)"/>
    <w:basedOn w:val="leggitesto"/>
    <w:next w:val="leggitesto"/>
    <w:rsid w:val="00F84BDE"/>
    <w:pPr>
      <w:keepNext/>
      <w:spacing w:after="240"/>
      <w:ind w:firstLine="0"/>
      <w:jc w:val="center"/>
    </w:pPr>
    <w:rPr>
      <w:i/>
    </w:rPr>
  </w:style>
  <w:style w:type="paragraph" w:customStyle="1" w:styleId="leggiArt">
    <w:name w:val="leggi_Art."/>
    <w:basedOn w:val="leggitesto"/>
    <w:next w:val="leggirubricaarticolo"/>
    <w:rsid w:val="00F84BDE"/>
    <w:pPr>
      <w:keepNext/>
      <w:ind w:firstLine="0"/>
      <w:jc w:val="center"/>
    </w:pPr>
  </w:style>
  <w:style w:type="paragraph" w:customStyle="1" w:styleId="Leggicapo">
    <w:name w:val="Leggi_capo"/>
    <w:basedOn w:val="Normale"/>
    <w:rsid w:val="00F84BDE"/>
    <w:pPr>
      <w:spacing w:before="60" w:after="60" w:line="240" w:lineRule="auto"/>
      <w:ind w:firstLine="0"/>
      <w:jc w:val="center"/>
    </w:pPr>
    <w:rPr>
      <w:b/>
      <w:sz w:val="20"/>
    </w:rPr>
  </w:style>
  <w:style w:type="paragraph" w:customStyle="1" w:styleId="leggititolo">
    <w:name w:val="leggi_titolo"/>
    <w:basedOn w:val="Normale"/>
    <w:link w:val="leggititoloCarattere"/>
    <w:rsid w:val="00F84BDE"/>
    <w:pPr>
      <w:spacing w:after="120" w:line="240" w:lineRule="auto"/>
      <w:ind w:firstLine="0"/>
      <w:jc w:val="center"/>
    </w:pPr>
    <w:rPr>
      <w:b/>
      <w:sz w:val="20"/>
    </w:rPr>
  </w:style>
  <w:style w:type="paragraph" w:customStyle="1" w:styleId="SENCOMMcommissione">
    <w:name w:val="SEN_COMM_commissione"/>
    <w:basedOn w:val="Normale"/>
    <w:rsid w:val="00F84BDE"/>
    <w:pPr>
      <w:spacing w:before="1080" w:after="120" w:line="240" w:lineRule="auto"/>
      <w:ind w:firstLine="0"/>
      <w:jc w:val="center"/>
    </w:pPr>
    <w:rPr>
      <w:rFonts w:ascii="Times New Roman" w:hAnsi="Times New Roman"/>
      <w:b/>
      <w:spacing w:val="26"/>
      <w:sz w:val="28"/>
    </w:rPr>
  </w:style>
  <w:style w:type="paragraph" w:customStyle="1" w:styleId="SENCOMMdata">
    <w:name w:val="SEN_COMM_data"/>
    <w:basedOn w:val="Normale"/>
    <w:next w:val="SENCOMMseduta"/>
    <w:link w:val="SENCOMMdataCarattere"/>
    <w:rsid w:val="00F84BDE"/>
    <w:pPr>
      <w:spacing w:before="120" w:after="120" w:line="240" w:lineRule="auto"/>
      <w:ind w:firstLine="0"/>
      <w:jc w:val="center"/>
    </w:pPr>
    <w:rPr>
      <w:rFonts w:ascii="Times New Roman" w:hAnsi="Times New Roman"/>
      <w:caps/>
      <w:sz w:val="20"/>
    </w:rPr>
  </w:style>
  <w:style w:type="paragraph" w:customStyle="1" w:styleId="SENCOMMseduta">
    <w:name w:val="SEN_COMM_seduta"/>
    <w:basedOn w:val="Normale"/>
    <w:next w:val="Normale"/>
    <w:rsid w:val="00F84BDE"/>
    <w:pPr>
      <w:spacing w:before="120" w:after="120" w:line="240" w:lineRule="auto"/>
      <w:ind w:firstLine="0"/>
      <w:jc w:val="center"/>
    </w:pPr>
    <w:rPr>
      <w:rFonts w:ascii="Times New Roman" w:hAnsi="Times New Roman"/>
      <w:b/>
    </w:rPr>
  </w:style>
  <w:style w:type="character" w:customStyle="1" w:styleId="SENCOMMdataCarattere">
    <w:name w:val="SEN_COMM_data Carattere"/>
    <w:link w:val="SENCOMMdata"/>
    <w:rsid w:val="00034E07"/>
    <w:rPr>
      <w:caps/>
      <w:lang w:val="it-IT" w:eastAsia="it-IT" w:bidi="ar-SA"/>
    </w:rPr>
  </w:style>
  <w:style w:type="paragraph" w:customStyle="1" w:styleId="SENCOMMintestazione">
    <w:name w:val="SEN_COMM_intestazione"/>
    <w:basedOn w:val="Intestazione"/>
    <w:rsid w:val="00034E07"/>
    <w:pPr>
      <w:tabs>
        <w:tab w:val="clear" w:pos="3969"/>
        <w:tab w:val="clear" w:pos="7938"/>
        <w:tab w:val="center" w:pos="4253"/>
        <w:tab w:val="right" w:pos="8505"/>
      </w:tabs>
      <w:spacing w:after="60" w:line="240" w:lineRule="auto"/>
      <w:ind w:firstLine="0"/>
      <w:jc w:val="left"/>
    </w:pPr>
    <w:rPr>
      <w:rFonts w:ascii="Times New Roman" w:hAnsi="Times New Roman"/>
      <w:i/>
      <w:szCs w:val="22"/>
    </w:rPr>
  </w:style>
  <w:style w:type="paragraph" w:customStyle="1" w:styleId="SENCOMMtitolocommissione">
    <w:name w:val="SEN_COMM_titolo commissione"/>
    <w:basedOn w:val="Normale"/>
    <w:rsid w:val="00F84BDE"/>
    <w:pPr>
      <w:spacing w:before="1080" w:after="120" w:line="240" w:lineRule="auto"/>
      <w:ind w:firstLine="0"/>
      <w:jc w:val="center"/>
    </w:pPr>
    <w:rPr>
      <w:rFonts w:ascii="Times New Roman" w:hAnsi="Times New Roman"/>
      <w:b/>
      <w:spacing w:val="26"/>
      <w:sz w:val="28"/>
    </w:rPr>
  </w:style>
  <w:style w:type="paragraph" w:customStyle="1" w:styleId="AC-CAMERADEIDEPUTATI">
    <w:name w:val="AC-CAMERA DEI DEPUTATI"/>
    <w:basedOn w:val="Normale"/>
    <w:rsid w:val="00F84BDE"/>
    <w:pPr>
      <w:spacing w:line="240" w:lineRule="auto"/>
      <w:ind w:firstLine="0"/>
      <w:jc w:val="center"/>
    </w:pPr>
    <w:rPr>
      <w:rFonts w:ascii="Lucida Bright" w:hAnsi="Lucida Bright"/>
      <w:spacing w:val="-20"/>
      <w:kern w:val="20"/>
      <w:sz w:val="56"/>
    </w:rPr>
  </w:style>
  <w:style w:type="paragraph" w:customStyle="1" w:styleId="AC-DEPUTATI">
    <w:name w:val="AC-DEPUTATI"/>
    <w:basedOn w:val="Normale"/>
    <w:rsid w:val="00F84BDE"/>
    <w:pPr>
      <w:spacing w:before="120" w:after="120" w:line="240" w:lineRule="auto"/>
      <w:ind w:firstLine="0"/>
      <w:jc w:val="center"/>
    </w:pPr>
    <w:rPr>
      <w:rFonts w:ascii="Times New Roman" w:hAnsi="Times New Roman"/>
      <w:b/>
      <w:caps/>
      <w:sz w:val="28"/>
    </w:rPr>
  </w:style>
  <w:style w:type="paragraph" w:customStyle="1" w:styleId="AC-diniziativa">
    <w:name w:val="AC-d'iniziativa.."/>
    <w:basedOn w:val="Normale"/>
    <w:rsid w:val="00F84BDE"/>
    <w:pPr>
      <w:spacing w:before="120" w:after="120" w:line="300" w:lineRule="exact"/>
      <w:ind w:firstLine="0"/>
      <w:jc w:val="center"/>
    </w:pPr>
    <w:rPr>
      <w:rFonts w:ascii="Garamond" w:hAnsi="Garamond"/>
      <w:b/>
      <w:sz w:val="26"/>
    </w:rPr>
  </w:style>
  <w:style w:type="paragraph" w:customStyle="1" w:styleId="ACIntestazione1">
    <w:name w:val="ACIntestazione1"/>
    <w:basedOn w:val="Normale"/>
    <w:rsid w:val="00F84BDE"/>
    <w:pPr>
      <w:tabs>
        <w:tab w:val="center" w:pos="4536"/>
        <w:tab w:val="right" w:pos="8475"/>
      </w:tabs>
      <w:spacing w:after="60" w:line="240" w:lineRule="auto"/>
      <w:ind w:firstLine="0"/>
      <w:jc w:val="left"/>
    </w:pPr>
    <w:rPr>
      <w:rFonts w:ascii="Times New Roman" w:hAnsi="Times New Roman"/>
      <w:i/>
    </w:rPr>
  </w:style>
  <w:style w:type="paragraph" w:customStyle="1" w:styleId="AC-N">
    <w:name w:val="AC-N..."/>
    <w:basedOn w:val="Normale"/>
    <w:rsid w:val="00577870"/>
    <w:pPr>
      <w:spacing w:before="240" w:line="240" w:lineRule="auto"/>
      <w:ind w:firstLine="0"/>
      <w:jc w:val="right"/>
    </w:pPr>
    <w:rPr>
      <w:rFonts w:ascii="Book Antiqua" w:hAnsi="Book Antiqua"/>
      <w:b/>
      <w:spacing w:val="20"/>
      <w:sz w:val="24"/>
    </w:rPr>
  </w:style>
  <w:style w:type="paragraph" w:customStyle="1" w:styleId="AC-Presentatail">
    <w:name w:val="AC-Presentata il"/>
    <w:basedOn w:val="Normale"/>
    <w:rsid w:val="00F84BDE"/>
    <w:pPr>
      <w:spacing w:before="120" w:after="120" w:line="300" w:lineRule="exact"/>
      <w:ind w:firstLine="0"/>
      <w:jc w:val="center"/>
    </w:pPr>
    <w:rPr>
      <w:rFonts w:ascii="Garamond" w:hAnsi="Garamond"/>
      <w:i/>
      <w:spacing w:val="16"/>
      <w:sz w:val="24"/>
    </w:rPr>
  </w:style>
  <w:style w:type="paragraph" w:customStyle="1" w:styleId="AC-PROPOSTADILEGGE">
    <w:name w:val="AC-PROPOSTA DI LEGGE"/>
    <w:basedOn w:val="Normale"/>
    <w:rsid w:val="00DC583D"/>
    <w:pPr>
      <w:spacing w:before="360" w:after="60" w:line="300" w:lineRule="exact"/>
      <w:ind w:firstLine="0"/>
      <w:jc w:val="center"/>
    </w:pPr>
    <w:rPr>
      <w:rFonts w:ascii="Estrangelo Edessa" w:hAnsi="Estrangelo Edessa" w:cs="Estrangelo Edessa"/>
      <w:b/>
      <w:sz w:val="36"/>
      <w:szCs w:val="36"/>
    </w:rPr>
  </w:style>
  <w:style w:type="paragraph" w:customStyle="1" w:styleId="AAA-TESTOATTIPARLAMENTARI">
    <w:name w:val="AAA-TESTO ATTI PARLAMENTARI"/>
    <w:basedOn w:val="Normale"/>
    <w:link w:val="AAA-TESTOATTIPARLAMENTARICarattere"/>
    <w:rsid w:val="00F84BDE"/>
    <w:pPr>
      <w:spacing w:after="60" w:line="240" w:lineRule="exact"/>
      <w:ind w:firstLine="301"/>
    </w:pPr>
    <w:rPr>
      <w:rFonts w:ascii="Garamond" w:hAnsi="Garamond"/>
      <w:sz w:val="24"/>
    </w:rPr>
  </w:style>
  <w:style w:type="character" w:customStyle="1" w:styleId="AAA-TESTOATTIPARLAMENTARICarattere">
    <w:name w:val="AAA-TESTO ATTI PARLAMENTARI Carattere"/>
    <w:link w:val="AAA-TESTOATTIPARLAMENTARI"/>
    <w:rsid w:val="00F84BDE"/>
    <w:rPr>
      <w:rFonts w:ascii="Garamond" w:hAnsi="Garamond"/>
      <w:sz w:val="24"/>
      <w:lang w:val="it-IT" w:eastAsia="it-IT" w:bidi="ar-SA"/>
    </w:rPr>
  </w:style>
  <w:style w:type="paragraph" w:customStyle="1" w:styleId="AC-titolo">
    <w:name w:val="AC-titolo"/>
    <w:basedOn w:val="Normale"/>
    <w:rsid w:val="00F84BDE"/>
    <w:pPr>
      <w:spacing w:before="360" w:after="360" w:line="300" w:lineRule="exact"/>
      <w:ind w:firstLine="0"/>
      <w:jc w:val="center"/>
    </w:pPr>
    <w:rPr>
      <w:rFonts w:ascii="Garamond" w:hAnsi="Garamond"/>
      <w:sz w:val="26"/>
    </w:rPr>
  </w:style>
  <w:style w:type="paragraph" w:customStyle="1" w:styleId="AS-XIVLEGISLATURA">
    <w:name w:val="AS - XIV LEGISLATURA"/>
    <w:basedOn w:val="Normale"/>
    <w:rsid w:val="00F84BDE"/>
    <w:pPr>
      <w:spacing w:line="240" w:lineRule="auto"/>
      <w:ind w:firstLine="0"/>
      <w:jc w:val="center"/>
    </w:pPr>
    <w:rPr>
      <w:rFonts w:ascii="Book Antiqua" w:hAnsi="Book Antiqua"/>
      <w:spacing w:val="20"/>
      <w:sz w:val="24"/>
    </w:rPr>
  </w:style>
  <w:style w:type="paragraph" w:customStyle="1" w:styleId="ASpresentatoda">
    <w:name w:val="AS_presentato da.."/>
    <w:basedOn w:val="Normale"/>
    <w:rsid w:val="00F84BDE"/>
    <w:pPr>
      <w:spacing w:before="480" w:line="240" w:lineRule="auto"/>
      <w:ind w:firstLine="0"/>
      <w:jc w:val="center"/>
    </w:pPr>
    <w:rPr>
      <w:rFonts w:ascii="Garamond" w:hAnsi="Garamond"/>
      <w:b/>
      <w:sz w:val="28"/>
    </w:rPr>
  </w:style>
  <w:style w:type="paragraph" w:customStyle="1" w:styleId="AStitolo">
    <w:name w:val="AS_titolo"/>
    <w:basedOn w:val="Normale"/>
    <w:rsid w:val="00F84BDE"/>
    <w:pPr>
      <w:spacing w:before="120" w:after="120" w:line="280" w:lineRule="exact"/>
      <w:ind w:left="425" w:right="851" w:firstLine="0"/>
      <w:jc w:val="center"/>
    </w:pPr>
    <w:rPr>
      <w:rFonts w:ascii="Garamond" w:hAnsi="Garamond"/>
      <w:color w:val="000000"/>
      <w:sz w:val="28"/>
    </w:rPr>
  </w:style>
  <w:style w:type="paragraph" w:customStyle="1" w:styleId="AS-COMUNICATOALLAPRESIDENZA">
    <w:name w:val="AS-COMUNICATO ALLA PRESIDENZA"/>
    <w:basedOn w:val="Normale"/>
    <w:rsid w:val="00F84BDE"/>
    <w:pPr>
      <w:spacing w:before="720" w:after="60" w:line="300" w:lineRule="exact"/>
      <w:ind w:firstLine="0"/>
      <w:jc w:val="center"/>
    </w:pPr>
    <w:rPr>
      <w:rFonts w:ascii="Garamond" w:hAnsi="Garamond"/>
      <w:b/>
      <w:smallCaps/>
      <w:sz w:val="24"/>
    </w:rPr>
  </w:style>
  <w:style w:type="paragraph" w:customStyle="1" w:styleId="AS-DISEGNODILEGGE">
    <w:name w:val="AS-DISEGNO DI LEGGE"/>
    <w:basedOn w:val="Normale"/>
    <w:link w:val="AS-DISEGNODILEGGECarattere"/>
    <w:rsid w:val="00F84BDE"/>
    <w:pPr>
      <w:spacing w:before="240" w:after="240" w:line="300" w:lineRule="exact"/>
      <w:ind w:firstLine="0"/>
      <w:jc w:val="center"/>
    </w:pPr>
    <w:rPr>
      <w:rFonts w:ascii="CG Times" w:hAnsi="CG Times"/>
      <w:b/>
      <w:spacing w:val="40"/>
      <w:sz w:val="36"/>
    </w:rPr>
  </w:style>
  <w:style w:type="character" w:customStyle="1" w:styleId="AS-DISEGNODILEGGECarattere">
    <w:name w:val="AS-DISEGNO DI LEGGE Carattere"/>
    <w:link w:val="AS-DISEGNODILEGGE"/>
    <w:rsid w:val="00BA23FD"/>
    <w:rPr>
      <w:rFonts w:ascii="CG Times" w:hAnsi="CG Times"/>
      <w:b/>
      <w:spacing w:val="40"/>
      <w:sz w:val="36"/>
      <w:lang w:val="it-IT" w:eastAsia="it-IT" w:bidi="ar-SA"/>
    </w:rPr>
  </w:style>
  <w:style w:type="paragraph" w:customStyle="1" w:styleId="ASintestazione2">
    <w:name w:val="ASintestazione 2"/>
    <w:basedOn w:val="Normale"/>
    <w:rsid w:val="00F84BDE"/>
    <w:pPr>
      <w:tabs>
        <w:tab w:val="center" w:pos="4536"/>
        <w:tab w:val="right" w:pos="9072"/>
      </w:tabs>
      <w:spacing w:after="120" w:line="240" w:lineRule="auto"/>
      <w:ind w:firstLine="0"/>
      <w:jc w:val="left"/>
    </w:pPr>
    <w:rPr>
      <w:rFonts w:ascii="Times New Roman" w:hAnsi="Times New Roman"/>
      <w:i/>
    </w:rPr>
  </w:style>
  <w:style w:type="paragraph" w:customStyle="1" w:styleId="AS-N">
    <w:name w:val="AS-N...."/>
    <w:basedOn w:val="Normale"/>
    <w:rsid w:val="00F84BDE"/>
    <w:pPr>
      <w:spacing w:before="720" w:after="960" w:line="300" w:lineRule="exact"/>
      <w:ind w:left="4956" w:firstLine="709"/>
      <w:jc w:val="right"/>
    </w:pPr>
    <w:rPr>
      <w:rFonts w:ascii="Arial Narrow" w:hAnsi="Arial Narrow"/>
      <w:b/>
      <w:kern w:val="22"/>
      <w:sz w:val="36"/>
    </w:rPr>
  </w:style>
  <w:style w:type="paragraph" w:customStyle="1" w:styleId="AS-SENATODELLAREPUBBLICA">
    <w:name w:val="AS-SENATO DELLA REPUBBLICA"/>
    <w:basedOn w:val="Normale"/>
    <w:link w:val="AS-SENATODELLAREPUBBLICACarattere"/>
    <w:rsid w:val="00F84BDE"/>
    <w:pPr>
      <w:spacing w:line="240" w:lineRule="auto"/>
      <w:ind w:firstLine="0"/>
      <w:jc w:val="center"/>
    </w:pPr>
    <w:rPr>
      <w:rFonts w:ascii="Book Antiqua" w:hAnsi="Book Antiqua"/>
      <w:spacing w:val="30"/>
      <w:sz w:val="46"/>
    </w:rPr>
  </w:style>
  <w:style w:type="character" w:customStyle="1" w:styleId="AS-SENATODELLAREPUBBLICACarattere">
    <w:name w:val="AS-SENATO DELLA REPUBBLICA Carattere"/>
    <w:link w:val="AS-SENATODELLAREPUBBLICA"/>
    <w:rsid w:val="00BA23FD"/>
    <w:rPr>
      <w:rFonts w:ascii="Book Antiqua" w:hAnsi="Book Antiqua"/>
      <w:spacing w:val="30"/>
      <w:sz w:val="46"/>
      <w:lang w:val="it-IT" w:eastAsia="it-IT" w:bidi="ar-SA"/>
    </w:rPr>
  </w:style>
  <w:style w:type="paragraph" w:styleId="Sommario1">
    <w:name w:val="toc 1"/>
    <w:basedOn w:val="Normale"/>
    <w:next w:val="Sommario2"/>
    <w:rsid w:val="006223EB"/>
    <w:pPr>
      <w:keepNext/>
      <w:keepLines/>
      <w:widowControl w:val="0"/>
      <w:tabs>
        <w:tab w:val="right" w:pos="7938"/>
      </w:tabs>
      <w:spacing w:before="480" w:after="60"/>
      <w:ind w:right="851" w:firstLine="0"/>
      <w:jc w:val="left"/>
      <w:outlineLvl w:val="0"/>
    </w:pPr>
    <w:rPr>
      <w:b/>
      <w:smallCaps/>
      <w:noProof/>
      <w:sz w:val="26"/>
    </w:rPr>
  </w:style>
  <w:style w:type="paragraph" w:styleId="Sommario2">
    <w:name w:val="toc 2"/>
    <w:basedOn w:val="Sommario1"/>
    <w:next w:val="Normale"/>
    <w:uiPriority w:val="39"/>
    <w:rsid w:val="00C02ED3"/>
    <w:pPr>
      <w:keepLines w:val="0"/>
      <w:spacing w:before="120" w:after="0" w:line="300" w:lineRule="exact"/>
      <w:ind w:left="284"/>
      <w:jc w:val="both"/>
      <w:outlineLvl w:val="1"/>
    </w:pPr>
    <w:rPr>
      <w:rFonts w:ascii="Times New Roman" w:hAnsi="Times New Roman"/>
      <w:smallCaps w:val="0"/>
      <w:sz w:val="28"/>
    </w:rPr>
  </w:style>
  <w:style w:type="paragraph" w:styleId="Sommario3">
    <w:name w:val="toc 3"/>
    <w:basedOn w:val="Sommario1"/>
    <w:next w:val="Normale"/>
    <w:uiPriority w:val="39"/>
    <w:rsid w:val="006223EB"/>
    <w:pPr>
      <w:keepNext w:val="0"/>
      <w:keepLines w:val="0"/>
      <w:numPr>
        <w:numId w:val="4"/>
      </w:numPr>
      <w:tabs>
        <w:tab w:val="left" w:pos="567"/>
      </w:tabs>
      <w:spacing w:before="60" w:after="0"/>
      <w:jc w:val="both"/>
      <w:outlineLvl w:val="2"/>
    </w:pPr>
    <w:rPr>
      <w:b w:val="0"/>
      <w:smallCaps w:val="0"/>
      <w:sz w:val="22"/>
    </w:rPr>
  </w:style>
  <w:style w:type="paragraph" w:customStyle="1" w:styleId="CAM-ASS-nseduta">
    <w:name w:val="CAM-ASS-n.seduta"/>
    <w:basedOn w:val="Normale"/>
    <w:rsid w:val="00F84BDE"/>
    <w:pPr>
      <w:spacing w:line="300" w:lineRule="exact"/>
      <w:ind w:firstLine="0"/>
      <w:jc w:val="center"/>
    </w:pPr>
    <w:rPr>
      <w:rFonts w:ascii="Garamond" w:hAnsi="Garamond"/>
      <w:b/>
      <w:sz w:val="28"/>
    </w:rPr>
  </w:style>
  <w:style w:type="paragraph" w:customStyle="1" w:styleId="CAM-ASS-presidenza">
    <w:name w:val="CAM-ASS-presidenza.."/>
    <w:basedOn w:val="Normale"/>
    <w:rsid w:val="00F84BDE"/>
    <w:pPr>
      <w:spacing w:line="300" w:lineRule="exact"/>
      <w:ind w:firstLine="0"/>
      <w:jc w:val="center"/>
    </w:pPr>
    <w:rPr>
      <w:rFonts w:ascii="Garamond" w:hAnsi="Garamond"/>
      <w:caps/>
      <w:sz w:val="24"/>
    </w:rPr>
  </w:style>
  <w:style w:type="paragraph" w:customStyle="1" w:styleId="CAM-ASS-Resocontosommarioestenografico">
    <w:name w:val="CAM-ASS-Resoconto sommario e stenografico"/>
    <w:basedOn w:val="Normale"/>
    <w:rsid w:val="00F84BDE"/>
    <w:pPr>
      <w:spacing w:before="360" w:line="300" w:lineRule="exact"/>
      <w:ind w:firstLine="0"/>
      <w:jc w:val="center"/>
    </w:pPr>
    <w:rPr>
      <w:rFonts w:ascii="Garamond" w:hAnsi="Garamond"/>
      <w:b/>
      <w:spacing w:val="-20"/>
      <w:sz w:val="48"/>
    </w:rPr>
  </w:style>
  <w:style w:type="paragraph" w:customStyle="1" w:styleId="CAM-ASS-sedutadi">
    <w:name w:val="CAM-ASS-seduta di.."/>
    <w:basedOn w:val="Normale"/>
    <w:link w:val="CAM-ASS-sedutadiCarattere"/>
    <w:rsid w:val="00F84BDE"/>
    <w:pPr>
      <w:spacing w:before="360" w:line="300" w:lineRule="exact"/>
      <w:ind w:firstLine="0"/>
      <w:jc w:val="center"/>
    </w:pPr>
    <w:rPr>
      <w:rFonts w:ascii="Garamond" w:hAnsi="Garamond"/>
      <w:caps/>
      <w:spacing w:val="20"/>
      <w:w w:val="66"/>
      <w:sz w:val="48"/>
    </w:rPr>
  </w:style>
  <w:style w:type="paragraph" w:customStyle="1" w:styleId="COMMSENtitolocommissione">
    <w:name w:val="COMM_SEN_titolo commissione"/>
    <w:basedOn w:val="Normale"/>
    <w:rsid w:val="00F84BDE"/>
    <w:pPr>
      <w:spacing w:before="1080" w:after="120" w:line="240" w:lineRule="auto"/>
      <w:ind w:firstLine="0"/>
      <w:jc w:val="center"/>
    </w:pPr>
    <w:rPr>
      <w:rFonts w:ascii="Times New Roman" w:hAnsi="Times New Roman"/>
      <w:b/>
      <w:spacing w:val="26"/>
      <w:sz w:val="28"/>
    </w:rPr>
  </w:style>
  <w:style w:type="paragraph" w:customStyle="1" w:styleId="COMMSENdata">
    <w:name w:val="COMM_SEN_data"/>
    <w:basedOn w:val="Normale"/>
    <w:next w:val="COMMSENseduta"/>
    <w:rsid w:val="00F84BDE"/>
    <w:pPr>
      <w:spacing w:before="120" w:after="120" w:line="240" w:lineRule="auto"/>
      <w:ind w:firstLine="0"/>
      <w:jc w:val="center"/>
    </w:pPr>
    <w:rPr>
      <w:rFonts w:ascii="Times New Roman" w:hAnsi="Times New Roman"/>
      <w:caps/>
      <w:sz w:val="20"/>
    </w:rPr>
  </w:style>
  <w:style w:type="paragraph" w:customStyle="1" w:styleId="COMMSENseduta">
    <w:name w:val="COMM_SEN_seduta"/>
    <w:basedOn w:val="Normale"/>
    <w:next w:val="Normale"/>
    <w:rsid w:val="00F84BDE"/>
    <w:pPr>
      <w:spacing w:before="120" w:after="120" w:line="240" w:lineRule="auto"/>
      <w:ind w:firstLine="0"/>
      <w:jc w:val="center"/>
    </w:pPr>
    <w:rPr>
      <w:rFonts w:ascii="Times New Roman" w:hAnsi="Times New Roman"/>
      <w:b/>
    </w:rPr>
  </w:style>
  <w:style w:type="paragraph" w:customStyle="1" w:styleId="ASS-SENSENATODELAREPUBBLICA">
    <w:name w:val="ASS-SEN_SENATO DELA REPUBBLICA"/>
    <w:basedOn w:val="AS-SENATODELLAREPUBBLICA"/>
    <w:link w:val="ASS-SENSENATODELAREPUBBLICACarattere"/>
    <w:rsid w:val="00F84BDE"/>
    <w:rPr>
      <w:spacing w:val="40"/>
      <w:sz w:val="44"/>
    </w:rPr>
  </w:style>
  <w:style w:type="character" w:customStyle="1" w:styleId="ASS-SENSENATODELAREPUBBLICACarattere">
    <w:name w:val="ASS-SEN_SENATO DELA REPUBBLICA Carattere"/>
    <w:link w:val="ASS-SENSENATODELAREPUBBLICA"/>
    <w:rsid w:val="00BA23FD"/>
    <w:rPr>
      <w:rFonts w:ascii="Book Antiqua" w:hAnsi="Book Antiqua"/>
      <w:spacing w:val="40"/>
      <w:sz w:val="44"/>
      <w:lang w:val="it-IT" w:eastAsia="it-IT" w:bidi="ar-SA"/>
    </w:rPr>
  </w:style>
  <w:style w:type="paragraph" w:customStyle="1" w:styleId="DATA-ASS-SENATO">
    <w:name w:val="DATA-ASS-SENATO"/>
    <w:basedOn w:val="ASS-SENdata"/>
    <w:link w:val="DATA-ASS-SENATOCarattere"/>
    <w:rsid w:val="00BA23FD"/>
  </w:style>
  <w:style w:type="paragraph" w:customStyle="1" w:styleId="ASS-SENdata">
    <w:name w:val="ASS-SEN_data"/>
    <w:basedOn w:val="AS-DISEGNODILEGGE"/>
    <w:link w:val="ASS-SENdataCarattere"/>
    <w:rsid w:val="00F84BDE"/>
    <w:rPr>
      <w:sz w:val="32"/>
    </w:rPr>
  </w:style>
  <w:style w:type="character" w:customStyle="1" w:styleId="ASS-SENdataCarattere">
    <w:name w:val="ASS-SEN_data Carattere"/>
    <w:link w:val="ASS-SENdata"/>
    <w:rsid w:val="00BA23FD"/>
    <w:rPr>
      <w:rFonts w:ascii="CG Times" w:hAnsi="CG Times"/>
      <w:b/>
      <w:spacing w:val="40"/>
      <w:sz w:val="32"/>
      <w:lang w:val="it-IT" w:eastAsia="it-IT" w:bidi="ar-SA"/>
    </w:rPr>
  </w:style>
  <w:style w:type="character" w:customStyle="1" w:styleId="DATA-ASS-SENATOCarattere">
    <w:name w:val="DATA-ASS-SENATO Carattere"/>
    <w:basedOn w:val="ASS-SENdataCarattere"/>
    <w:link w:val="DATA-ASS-SENATO"/>
    <w:rsid w:val="00BA23FD"/>
    <w:rPr>
      <w:rFonts w:ascii="CG Times" w:hAnsi="CG Times"/>
      <w:b/>
      <w:spacing w:val="40"/>
      <w:sz w:val="32"/>
      <w:lang w:val="it-IT" w:eastAsia="it-IT" w:bidi="ar-SA"/>
    </w:rPr>
  </w:style>
  <w:style w:type="paragraph" w:customStyle="1" w:styleId="ASS-SENResocontosommarioestenografico">
    <w:name w:val="ASS-SENResoconto sommario e stenografico_"/>
    <w:basedOn w:val="AS-DISEGNODILEGGE"/>
    <w:rsid w:val="00F84BDE"/>
  </w:style>
  <w:style w:type="paragraph" w:customStyle="1" w:styleId="ASS-SENSEDUTA">
    <w:name w:val="ASS-SEN_SEDUTA"/>
    <w:basedOn w:val="ASS-SENSENATODELAREPUBBLICA"/>
    <w:link w:val="ASS-SENSEDUTACarattere"/>
    <w:rsid w:val="00F84BDE"/>
    <w:pPr>
      <w:spacing w:before="360" w:after="600"/>
    </w:pPr>
  </w:style>
  <w:style w:type="character" w:customStyle="1" w:styleId="ASS-SENSEDUTACarattere">
    <w:name w:val="ASS-SEN_SEDUTA Carattere"/>
    <w:basedOn w:val="ASS-SENSENATODELAREPUBBLICACarattere"/>
    <w:link w:val="ASS-SENSEDUTA"/>
    <w:rsid w:val="00BA23FD"/>
    <w:rPr>
      <w:rFonts w:ascii="Book Antiqua" w:hAnsi="Book Antiqua"/>
      <w:spacing w:val="40"/>
      <w:sz w:val="44"/>
      <w:lang w:val="it-IT" w:eastAsia="it-IT" w:bidi="ar-SA"/>
    </w:rPr>
  </w:style>
  <w:style w:type="character" w:customStyle="1" w:styleId="SENCOMM1-2">
    <w:name w:val="SEN_COMM_1^ -2^"/>
    <w:basedOn w:val="Carpredefinitoparagrafo"/>
    <w:rsid w:val="00F84BDE"/>
  </w:style>
  <w:style w:type="paragraph" w:customStyle="1" w:styleId="CAMCOMMCommissione">
    <w:name w:val="CAM_COMM_(Commissione)"/>
    <w:basedOn w:val="Normale"/>
    <w:rsid w:val="00F84BDE"/>
    <w:pPr>
      <w:spacing w:before="120" w:after="120" w:line="240" w:lineRule="auto"/>
      <w:ind w:firstLine="0"/>
      <w:jc w:val="center"/>
    </w:pPr>
    <w:rPr>
      <w:rFonts w:ascii="Times New Roman" w:hAnsi="Times New Roman"/>
      <w:b/>
      <w:sz w:val="24"/>
    </w:rPr>
  </w:style>
  <w:style w:type="character" w:customStyle="1" w:styleId="CAMCOMMI-II">
    <w:name w:val="CAM_COMM_I - II"/>
    <w:basedOn w:val="Carpredefinitoparagrafo"/>
    <w:rsid w:val="00F84BDE"/>
  </w:style>
  <w:style w:type="paragraph" w:customStyle="1" w:styleId="CAMCOMMintestazione">
    <w:name w:val="CAM_COMM_intestazione"/>
    <w:basedOn w:val="Intestazione"/>
    <w:rsid w:val="00F84BDE"/>
    <w:pPr>
      <w:pBdr>
        <w:bottom w:val="double" w:sz="4" w:space="1" w:color="auto"/>
      </w:pBdr>
      <w:tabs>
        <w:tab w:val="clear" w:pos="3969"/>
        <w:tab w:val="clear" w:pos="7938"/>
        <w:tab w:val="center" w:pos="4536"/>
        <w:tab w:val="right" w:pos="9072"/>
      </w:tabs>
      <w:spacing w:line="240" w:lineRule="auto"/>
      <w:ind w:firstLine="0"/>
      <w:jc w:val="left"/>
    </w:pPr>
    <w:rPr>
      <w:rFonts w:ascii="Times New Roman" w:hAnsi="Times New Roman"/>
      <w:i/>
    </w:rPr>
  </w:style>
  <w:style w:type="paragraph" w:customStyle="1" w:styleId="CAMCOMMtitolocommissione">
    <w:name w:val="CAM_COMM_titolo commissione"/>
    <w:basedOn w:val="Normale"/>
    <w:next w:val="Normale"/>
    <w:autoRedefine/>
    <w:rsid w:val="00F84BDE"/>
    <w:pPr>
      <w:spacing w:before="1080" w:after="120" w:line="240" w:lineRule="auto"/>
      <w:ind w:firstLine="0"/>
      <w:jc w:val="center"/>
    </w:pPr>
    <w:rPr>
      <w:rFonts w:ascii="Garamond" w:hAnsi="Garamond"/>
      <w:b/>
      <w:kern w:val="16"/>
      <w:sz w:val="36"/>
    </w:rPr>
  </w:style>
  <w:style w:type="paragraph" w:customStyle="1" w:styleId="AC-Relazione">
    <w:name w:val="AC-Relazione"/>
    <w:basedOn w:val="AC-PROPOSTADILEGGE"/>
    <w:rsid w:val="00F84BDE"/>
    <w:rPr>
      <w:rFonts w:ascii="Impact" w:hAnsi="Impact"/>
      <w:b w:val="0"/>
      <w:sz w:val="42"/>
    </w:rPr>
  </w:style>
  <w:style w:type="paragraph" w:customStyle="1" w:styleId="SommarioC">
    <w:name w:val="SommarioC"/>
    <w:basedOn w:val="SommarioA"/>
    <w:rsid w:val="00F84BDE"/>
    <w:pPr>
      <w:keepNext w:val="0"/>
      <w:keepLines w:val="0"/>
      <w:tabs>
        <w:tab w:val="left" w:pos="567"/>
      </w:tabs>
      <w:spacing w:before="60" w:after="0"/>
      <w:outlineLvl w:val="2"/>
    </w:pPr>
    <w:rPr>
      <w:b w:val="0"/>
      <w:smallCaps w:val="0"/>
      <w:sz w:val="22"/>
    </w:rPr>
  </w:style>
  <w:style w:type="paragraph" w:customStyle="1" w:styleId="SommarioA">
    <w:name w:val="SommarioA"/>
    <w:basedOn w:val="Normale"/>
    <w:next w:val="Normale"/>
    <w:rsid w:val="00F84BDE"/>
    <w:pPr>
      <w:keepNext/>
      <w:keepLines/>
      <w:tabs>
        <w:tab w:val="right" w:pos="7938"/>
      </w:tabs>
      <w:spacing w:before="480" w:after="60"/>
      <w:ind w:right="851" w:firstLine="0"/>
      <w:jc w:val="left"/>
      <w:outlineLvl w:val="0"/>
    </w:pPr>
    <w:rPr>
      <w:b/>
      <w:smallCaps/>
      <w:sz w:val="26"/>
    </w:rPr>
  </w:style>
  <w:style w:type="paragraph" w:styleId="Numeroelenco2">
    <w:name w:val="List Number 2"/>
    <w:basedOn w:val="Normale"/>
    <w:rsid w:val="006223EB"/>
    <w:pPr>
      <w:numPr>
        <w:numId w:val="3"/>
      </w:numPr>
    </w:pPr>
  </w:style>
  <w:style w:type="paragraph" w:customStyle="1" w:styleId="-PAGINA-">
    <w:name w:val="- PAGINA -"/>
    <w:rsid w:val="006223EB"/>
  </w:style>
  <w:style w:type="paragraph" w:customStyle="1" w:styleId="Autore">
    <w:name w:val="Autore"/>
    <w:rsid w:val="006223EB"/>
  </w:style>
  <w:style w:type="paragraph" w:customStyle="1" w:styleId="Autoreultimosalvataggio">
    <w:name w:val="Autore ultimo salvataggio"/>
    <w:rsid w:val="006223EB"/>
  </w:style>
  <w:style w:type="paragraph" w:customStyle="1" w:styleId="Autorenpaginadata">
    <w:name w:val="Autore  n. pagina  data"/>
    <w:rsid w:val="006223EB"/>
  </w:style>
  <w:style w:type="paragraph" w:styleId="Sommario4">
    <w:name w:val="toc 4"/>
    <w:basedOn w:val="Sommario1"/>
    <w:next w:val="Normale"/>
    <w:rsid w:val="006223EB"/>
    <w:pPr>
      <w:keepNext w:val="0"/>
      <w:keepLines w:val="0"/>
      <w:numPr>
        <w:numId w:val="5"/>
      </w:numPr>
      <w:tabs>
        <w:tab w:val="left" w:pos="851"/>
      </w:tabs>
      <w:spacing w:before="0" w:after="0"/>
      <w:outlineLvl w:val="3"/>
    </w:pPr>
    <w:rPr>
      <w:b w:val="0"/>
      <w:i/>
      <w:smallCaps w:val="0"/>
      <w:sz w:val="22"/>
    </w:rPr>
  </w:style>
  <w:style w:type="paragraph" w:styleId="Sommario7">
    <w:name w:val="toc 7"/>
    <w:basedOn w:val="Normale"/>
    <w:next w:val="Normale"/>
    <w:autoRedefine/>
    <w:rsid w:val="006223EB"/>
    <w:pPr>
      <w:tabs>
        <w:tab w:val="left" w:leader="dot" w:pos="7088"/>
        <w:tab w:val="center" w:pos="7655"/>
        <w:tab w:val="right" w:pos="8505"/>
      </w:tabs>
      <w:spacing w:before="60" w:after="60" w:line="240" w:lineRule="auto"/>
      <w:ind w:left="1203" w:right="1700" w:hanging="352"/>
      <w:jc w:val="left"/>
    </w:pPr>
    <w:rPr>
      <w:noProof/>
    </w:rPr>
  </w:style>
  <w:style w:type="paragraph" w:customStyle="1" w:styleId="Titolo1sintesi">
    <w:name w:val="Titolo 1 (sintesi)"/>
    <w:basedOn w:val="Titolo1"/>
    <w:rsid w:val="006223EB"/>
    <w:pPr>
      <w:pBdr>
        <w:top w:val="single" w:sz="6" w:space="12" w:color="auto"/>
        <w:left w:val="single" w:sz="6" w:space="4" w:color="auto"/>
        <w:bottom w:val="single" w:sz="6" w:space="12" w:color="auto"/>
        <w:right w:val="single" w:sz="6" w:space="4" w:color="auto"/>
      </w:pBdr>
      <w:shd w:val="pct10" w:color="auto" w:fill="auto"/>
      <w:ind w:left="1134" w:right="1134"/>
      <w:outlineLvl w:val="1"/>
    </w:pPr>
  </w:style>
  <w:style w:type="paragraph" w:customStyle="1" w:styleId="Datadicreazione">
    <w:name w:val="Data di creazione"/>
    <w:rsid w:val="00F84BDE"/>
  </w:style>
  <w:style w:type="paragraph" w:customStyle="1" w:styleId="Dataultimastampa">
    <w:name w:val="Data ultima stampa"/>
    <w:rsid w:val="00F84BDE"/>
  </w:style>
  <w:style w:type="paragraph" w:customStyle="1" w:styleId="Nomefile">
    <w:name w:val="Nome file"/>
    <w:rsid w:val="006223EB"/>
  </w:style>
  <w:style w:type="paragraph" w:customStyle="1" w:styleId="Nomefileepercorso">
    <w:name w:val="Nome file e percorso"/>
    <w:rsid w:val="006223EB"/>
  </w:style>
  <w:style w:type="paragraph" w:customStyle="1" w:styleId="PaginaXdiY">
    <w:name w:val="Pagina X di Y"/>
    <w:rsid w:val="006223EB"/>
  </w:style>
  <w:style w:type="paragraph" w:customStyle="1" w:styleId="Riservatopaginadata">
    <w:name w:val="Riservato  pagina #  data"/>
    <w:rsid w:val="006223EB"/>
  </w:style>
  <w:style w:type="paragraph" w:styleId="Sommario5">
    <w:name w:val="toc 5"/>
    <w:basedOn w:val="Sommario1"/>
    <w:next w:val="Normale"/>
    <w:autoRedefine/>
    <w:rsid w:val="006223EB"/>
    <w:pPr>
      <w:keepNext w:val="0"/>
      <w:keepLines w:val="0"/>
      <w:spacing w:before="0" w:after="0"/>
      <w:ind w:left="851"/>
      <w:jc w:val="both"/>
      <w:outlineLvl w:val="4"/>
    </w:pPr>
    <w:rPr>
      <w:b w:val="0"/>
      <w:smallCaps w:val="0"/>
      <w:sz w:val="22"/>
    </w:rPr>
  </w:style>
  <w:style w:type="paragraph" w:styleId="Sommario6">
    <w:name w:val="toc 6"/>
    <w:basedOn w:val="Normale"/>
    <w:next w:val="Normale"/>
    <w:autoRedefine/>
    <w:rsid w:val="006223EB"/>
    <w:pPr>
      <w:ind w:left="1100"/>
      <w:jc w:val="left"/>
    </w:pPr>
    <w:rPr>
      <w:rFonts w:ascii="Times New Roman" w:hAnsi="Times New Roman"/>
      <w:sz w:val="18"/>
    </w:rPr>
  </w:style>
  <w:style w:type="paragraph" w:styleId="Sommario8">
    <w:name w:val="toc 8"/>
    <w:basedOn w:val="Sommario1"/>
    <w:next w:val="Normale"/>
    <w:autoRedefine/>
    <w:rsid w:val="006223EB"/>
    <w:pPr>
      <w:spacing w:line="300" w:lineRule="exact"/>
      <w:outlineLvl w:val="7"/>
    </w:pPr>
  </w:style>
  <w:style w:type="paragraph" w:styleId="Sommario9">
    <w:name w:val="toc 9"/>
    <w:basedOn w:val="Sommario1"/>
    <w:next w:val="Normale"/>
    <w:rsid w:val="006223EB"/>
    <w:pPr>
      <w:keepNext w:val="0"/>
      <w:keepLines w:val="0"/>
      <w:spacing w:before="120" w:after="0" w:line="300" w:lineRule="exact"/>
      <w:ind w:left="284"/>
      <w:jc w:val="both"/>
      <w:outlineLvl w:val="8"/>
    </w:pPr>
    <w:rPr>
      <w:smallCaps w:val="0"/>
      <w:sz w:val="22"/>
    </w:rPr>
  </w:style>
  <w:style w:type="paragraph" w:customStyle="1" w:styleId="cop">
    <w:name w:val="cop"/>
    <w:basedOn w:val="Normale"/>
    <w:rsid w:val="00F84BDE"/>
    <w:pPr>
      <w:keepNext/>
      <w:spacing w:line="240" w:lineRule="auto"/>
      <w:ind w:firstLine="0"/>
      <w:jc w:val="center"/>
    </w:pPr>
    <w:rPr>
      <w:b/>
      <w:smallCaps/>
      <w:kern w:val="28"/>
      <w:sz w:val="40"/>
    </w:rPr>
  </w:style>
  <w:style w:type="paragraph" w:styleId="Mappadocumento">
    <w:name w:val="Document Map"/>
    <w:basedOn w:val="Normale"/>
    <w:rsid w:val="006223EB"/>
    <w:pPr>
      <w:shd w:val="clear" w:color="auto" w:fill="000080"/>
    </w:pPr>
    <w:rPr>
      <w:rFonts w:ascii="Tahoma" w:hAnsi="Tahoma"/>
    </w:rPr>
  </w:style>
  <w:style w:type="paragraph" w:customStyle="1" w:styleId="Etichettadocumento">
    <w:name w:val="Etichetta documento"/>
    <w:basedOn w:val="Normale"/>
    <w:rsid w:val="00F84BDE"/>
    <w:pPr>
      <w:keepNext/>
      <w:keepLines/>
      <w:spacing w:before="400" w:after="120" w:line="240" w:lineRule="atLeast"/>
      <w:ind w:left="-840" w:firstLine="0"/>
      <w:jc w:val="left"/>
    </w:pPr>
    <w:rPr>
      <w:rFonts w:ascii="Arial Black" w:hAnsi="Arial Black"/>
      <w:spacing w:val="-100"/>
      <w:kern w:val="28"/>
      <w:sz w:val="108"/>
    </w:rPr>
  </w:style>
  <w:style w:type="paragraph" w:styleId="Intestazionemessaggio">
    <w:name w:val="Message Header"/>
    <w:basedOn w:val="Normale"/>
    <w:rsid w:val="006223EB"/>
    <w:pPr>
      <w:keepLines/>
      <w:tabs>
        <w:tab w:val="left" w:pos="720"/>
        <w:tab w:val="left" w:pos="4320"/>
        <w:tab w:val="left" w:pos="5040"/>
        <w:tab w:val="right" w:pos="8640"/>
      </w:tabs>
      <w:spacing w:after="40" w:line="440" w:lineRule="atLeast"/>
      <w:ind w:left="720" w:hanging="720"/>
      <w:jc w:val="left"/>
    </w:pPr>
    <w:rPr>
      <w:spacing w:val="-5"/>
    </w:rPr>
  </w:style>
  <w:style w:type="character" w:customStyle="1" w:styleId="Etichettaintestazionemessaggio">
    <w:name w:val="Etichetta intestazione messaggio"/>
    <w:rsid w:val="00F84BDE"/>
    <w:rPr>
      <w:rFonts w:ascii="Arial Black" w:hAnsi="Arial Black"/>
      <w:sz w:val="18"/>
    </w:rPr>
  </w:style>
  <w:style w:type="paragraph" w:customStyle="1" w:styleId="Indirizzomittente1">
    <w:name w:val="Indirizzo mittente 1"/>
    <w:basedOn w:val="Normale"/>
    <w:rsid w:val="006223EB"/>
    <w:pPr>
      <w:keepLines/>
      <w:framePr w:w="5040" w:hSpace="187" w:vSpace="187" w:wrap="notBeside" w:vAnchor="page" w:hAnchor="margin" w:y="966" w:anchorLock="1"/>
      <w:tabs>
        <w:tab w:val="left" w:pos="27814"/>
      </w:tabs>
      <w:spacing w:line="200" w:lineRule="atLeast"/>
      <w:ind w:firstLine="0"/>
      <w:jc w:val="left"/>
    </w:pPr>
    <w:rPr>
      <w:spacing w:val="-2"/>
      <w:sz w:val="16"/>
    </w:rPr>
  </w:style>
  <w:style w:type="paragraph" w:customStyle="1" w:styleId="Correzioneautomatica">
    <w:name w:val="Correzione automatica"/>
    <w:rsid w:val="00F84BDE"/>
  </w:style>
  <w:style w:type="paragraph" w:styleId="Rientrocorpodeltesto">
    <w:name w:val="Body Text Indent"/>
    <w:basedOn w:val="Normale"/>
    <w:rsid w:val="00F84BDE"/>
    <w:pPr>
      <w:spacing w:line="240" w:lineRule="auto"/>
    </w:pPr>
  </w:style>
  <w:style w:type="character" w:styleId="Collegamentoipertestuale">
    <w:name w:val="Hyperlink"/>
    <w:rsid w:val="006223EB"/>
    <w:rPr>
      <w:rFonts w:ascii="Arial" w:hAnsi="Arial"/>
      <w:color w:val="0000FF"/>
      <w:sz w:val="22"/>
      <w:u w:val="single"/>
    </w:rPr>
  </w:style>
  <w:style w:type="paragraph" w:styleId="Corpotesto">
    <w:name w:val="Body Text"/>
    <w:basedOn w:val="Normale"/>
    <w:rsid w:val="00F84BDE"/>
    <w:pPr>
      <w:spacing w:after="120"/>
    </w:pPr>
  </w:style>
  <w:style w:type="paragraph" w:customStyle="1" w:styleId="noteIntestazione">
    <w:name w:val="note Intestazione"/>
    <w:basedOn w:val="Intestazione"/>
    <w:rsid w:val="006223EB"/>
    <w:pPr>
      <w:pBdr>
        <w:bottom w:val="single" w:sz="6" w:space="1" w:color="auto"/>
      </w:pBdr>
      <w:tabs>
        <w:tab w:val="clear" w:pos="3969"/>
        <w:tab w:val="center" w:pos="4253"/>
      </w:tabs>
      <w:spacing w:line="300" w:lineRule="exact"/>
      <w:ind w:right="56" w:firstLine="0"/>
    </w:pPr>
    <w:rPr>
      <w:i/>
      <w:sz w:val="20"/>
    </w:rPr>
  </w:style>
  <w:style w:type="paragraph" w:customStyle="1" w:styleId="COMITATO-indiceautomatico">
    <w:name w:val="COMITATO - indice automatico"/>
    <w:rsid w:val="006223EB"/>
    <w:pPr>
      <w:spacing w:line="300" w:lineRule="atLeast"/>
      <w:ind w:firstLine="284"/>
      <w:jc w:val="both"/>
    </w:pPr>
    <w:rPr>
      <w:rFonts w:ascii="Arial" w:hAnsi="Arial"/>
      <w:sz w:val="22"/>
    </w:rPr>
  </w:style>
  <w:style w:type="paragraph" w:customStyle="1" w:styleId="OCCHIELLO2">
    <w:name w:val="OCCHIELLO2"/>
    <w:basedOn w:val="Normale"/>
    <w:next w:val="Normale"/>
    <w:rsid w:val="006223EB"/>
    <w:pPr>
      <w:spacing w:before="5520"/>
      <w:jc w:val="center"/>
      <w:outlineLvl w:val="8"/>
    </w:pPr>
    <w:rPr>
      <w:b/>
      <w:sz w:val="32"/>
    </w:rPr>
  </w:style>
  <w:style w:type="paragraph" w:customStyle="1" w:styleId="SommarioD">
    <w:name w:val="SommarioD"/>
    <w:basedOn w:val="SommarioA"/>
    <w:rsid w:val="00F84BDE"/>
    <w:pPr>
      <w:keepNext w:val="0"/>
      <w:keepLines w:val="0"/>
      <w:tabs>
        <w:tab w:val="left" w:pos="851"/>
      </w:tabs>
      <w:spacing w:before="0" w:after="0"/>
      <w:outlineLvl w:val="3"/>
    </w:pPr>
    <w:rPr>
      <w:b w:val="0"/>
      <w:i/>
      <w:smallCaps w:val="0"/>
      <w:sz w:val="22"/>
    </w:rPr>
  </w:style>
  <w:style w:type="paragraph" w:customStyle="1" w:styleId="ASnormale">
    <w:name w:val="ASnormale"/>
    <w:basedOn w:val="Normale"/>
    <w:rsid w:val="00F84BDE"/>
    <w:pPr>
      <w:spacing w:after="60" w:line="300" w:lineRule="exact"/>
      <w:jc w:val="left"/>
    </w:pPr>
    <w:rPr>
      <w:rFonts w:ascii="Garamond" w:hAnsi="Garamond"/>
      <w:sz w:val="24"/>
    </w:rPr>
  </w:style>
  <w:style w:type="paragraph" w:customStyle="1" w:styleId="AS-diniziativa">
    <w:name w:val="AS- d'iniziativa"/>
    <w:basedOn w:val="ASnormale"/>
    <w:rsid w:val="00F84BDE"/>
    <w:pPr>
      <w:spacing w:before="480"/>
      <w:ind w:firstLine="0"/>
      <w:jc w:val="center"/>
    </w:pPr>
    <w:rPr>
      <w:b/>
    </w:rPr>
  </w:style>
  <w:style w:type="paragraph" w:customStyle="1" w:styleId="ACintestazione2">
    <w:name w:val="ACintestazione2"/>
    <w:basedOn w:val="Intestazione"/>
    <w:rsid w:val="00F84BDE"/>
    <w:pPr>
      <w:tabs>
        <w:tab w:val="clear" w:pos="3969"/>
        <w:tab w:val="clear" w:pos="7938"/>
        <w:tab w:val="center" w:pos="4819"/>
        <w:tab w:val="right" w:pos="8550"/>
      </w:tabs>
      <w:spacing w:line="240" w:lineRule="auto"/>
      <w:ind w:firstLine="0"/>
      <w:jc w:val="left"/>
    </w:pPr>
    <w:rPr>
      <w:rFonts w:ascii="Times New Roman" w:hAnsi="Times New Roman"/>
      <w:sz w:val="20"/>
    </w:rPr>
  </w:style>
  <w:style w:type="paragraph" w:customStyle="1" w:styleId="ASS-SEN-titoletto">
    <w:name w:val="ASS-SEN-titoletto"/>
    <w:basedOn w:val="ASS-SENnormale"/>
    <w:rsid w:val="00F84BDE"/>
    <w:pPr>
      <w:ind w:firstLine="0"/>
      <w:jc w:val="center"/>
    </w:pPr>
    <w:rPr>
      <w:b/>
    </w:rPr>
  </w:style>
  <w:style w:type="paragraph" w:customStyle="1" w:styleId="ASS-SENnormale">
    <w:name w:val="ASS-SEN_normale"/>
    <w:basedOn w:val="Normale"/>
    <w:rsid w:val="00F84BDE"/>
    <w:pPr>
      <w:spacing w:after="60" w:line="300" w:lineRule="exact"/>
      <w:ind w:firstLine="525"/>
    </w:pPr>
    <w:rPr>
      <w:rFonts w:ascii="Garamond" w:hAnsi="Garamond"/>
      <w:sz w:val="24"/>
    </w:rPr>
  </w:style>
  <w:style w:type="paragraph" w:customStyle="1" w:styleId="AC-Normale">
    <w:name w:val="AC-Normale"/>
    <w:basedOn w:val="Normale"/>
    <w:rsid w:val="00F84BDE"/>
    <w:pPr>
      <w:spacing w:before="120" w:after="120" w:line="240" w:lineRule="auto"/>
      <w:ind w:firstLine="0"/>
      <w:jc w:val="center"/>
    </w:pPr>
    <w:rPr>
      <w:rFonts w:ascii="Times New Roman" w:hAnsi="Times New Roman"/>
      <w:b/>
      <w:sz w:val="20"/>
    </w:rPr>
  </w:style>
  <w:style w:type="paragraph" w:customStyle="1" w:styleId="AC-relazione0">
    <w:name w:val="AC-relazione"/>
    <w:basedOn w:val="Normale"/>
    <w:rsid w:val="00F84BDE"/>
    <w:pPr>
      <w:spacing w:after="60" w:line="300" w:lineRule="exact"/>
      <w:ind w:firstLine="301"/>
    </w:pPr>
    <w:rPr>
      <w:rFonts w:ascii="Garamond" w:hAnsi="Garamond"/>
      <w:sz w:val="24"/>
    </w:rPr>
  </w:style>
  <w:style w:type="paragraph" w:customStyle="1" w:styleId="SENCOMMcorpodeltesto">
    <w:name w:val="SEN_COMM_corpo del testo"/>
    <w:basedOn w:val="Normale"/>
    <w:rsid w:val="00F84BDE"/>
    <w:pPr>
      <w:spacing w:after="120" w:line="240" w:lineRule="auto"/>
      <w:ind w:firstLine="567"/>
    </w:pPr>
    <w:rPr>
      <w:rFonts w:ascii="Garamond" w:hAnsi="Garamond"/>
      <w:sz w:val="24"/>
    </w:rPr>
  </w:style>
  <w:style w:type="paragraph" w:customStyle="1" w:styleId="COMMSENcorpodeltesto">
    <w:name w:val="COMM_SEN_corpo del testo"/>
    <w:basedOn w:val="Normale"/>
    <w:rsid w:val="00F84BDE"/>
    <w:pPr>
      <w:spacing w:after="120" w:line="240" w:lineRule="auto"/>
      <w:ind w:firstLine="567"/>
    </w:pPr>
    <w:rPr>
      <w:rFonts w:ascii="Times New Roman" w:hAnsi="Times New Roman"/>
    </w:rPr>
  </w:style>
  <w:style w:type="paragraph" w:customStyle="1" w:styleId="MAIUSCGRCENTR">
    <w:name w:val="MAIUSC/GR/CENTR"/>
    <w:basedOn w:val="SENCOMMcorpodeltesto"/>
    <w:rsid w:val="00F84BDE"/>
    <w:pPr>
      <w:ind w:firstLine="0"/>
      <w:jc w:val="center"/>
    </w:pPr>
    <w:rPr>
      <w:b/>
      <w:caps/>
    </w:rPr>
  </w:style>
  <w:style w:type="paragraph" w:customStyle="1" w:styleId="SommarioB">
    <w:name w:val="SommarioB"/>
    <w:basedOn w:val="SommarioA"/>
    <w:rsid w:val="00F84BDE"/>
    <w:pPr>
      <w:keepNext w:val="0"/>
      <w:keepLines w:val="0"/>
      <w:spacing w:before="120" w:after="0" w:line="300" w:lineRule="exact"/>
      <w:ind w:left="284"/>
      <w:outlineLvl w:val="1"/>
    </w:pPr>
    <w:rPr>
      <w:smallCaps w:val="0"/>
      <w:sz w:val="22"/>
    </w:rPr>
  </w:style>
  <w:style w:type="paragraph" w:customStyle="1" w:styleId="CAM-ASS-normale">
    <w:name w:val="CAM-ASS-normale"/>
    <w:basedOn w:val="Normale"/>
    <w:rsid w:val="00F84BDE"/>
    <w:pPr>
      <w:spacing w:line="300" w:lineRule="exact"/>
      <w:ind w:firstLine="567"/>
      <w:jc w:val="left"/>
    </w:pPr>
    <w:rPr>
      <w:rFonts w:ascii="Garamond" w:hAnsi="Garamond"/>
      <w:sz w:val="24"/>
    </w:rPr>
  </w:style>
  <w:style w:type="paragraph" w:customStyle="1" w:styleId="CAM-ASS-testo">
    <w:name w:val="CAM-ASS-testo"/>
    <w:basedOn w:val="Normale"/>
    <w:rsid w:val="00F84BDE"/>
    <w:pPr>
      <w:spacing w:line="300" w:lineRule="exact"/>
      <w:ind w:firstLine="567"/>
    </w:pPr>
    <w:rPr>
      <w:rFonts w:ascii="Garamond" w:hAnsi="Garamond"/>
      <w:sz w:val="24"/>
    </w:rPr>
  </w:style>
  <w:style w:type="paragraph" w:customStyle="1" w:styleId="CAMCOMMcorpodeltesto">
    <w:name w:val="CAM_COMM_corpo del testo"/>
    <w:basedOn w:val="Normale"/>
    <w:rsid w:val="00F84BDE"/>
    <w:pPr>
      <w:spacing w:line="240" w:lineRule="auto"/>
    </w:pPr>
    <w:rPr>
      <w:rFonts w:ascii="Times New Roman" w:hAnsi="Times New Roman"/>
    </w:rPr>
  </w:style>
  <w:style w:type="paragraph" w:customStyle="1" w:styleId="CAMCAMMaffaricostituzionali">
    <w:name w:val="CAM_CAMM_(affari costituzionali)"/>
    <w:basedOn w:val="Normale"/>
    <w:next w:val="Normale"/>
    <w:rsid w:val="00F84BDE"/>
    <w:pPr>
      <w:spacing w:before="120" w:after="120" w:line="240" w:lineRule="auto"/>
      <w:ind w:firstLine="0"/>
      <w:jc w:val="center"/>
    </w:pPr>
    <w:rPr>
      <w:rFonts w:ascii="Times New Roman" w:hAnsi="Times New Roman"/>
      <w:b/>
    </w:rPr>
  </w:style>
  <w:style w:type="paragraph" w:customStyle="1" w:styleId="ToCompany">
    <w:name w:val="ToCompany"/>
    <w:basedOn w:val="Normale"/>
    <w:rsid w:val="006223EB"/>
    <w:pPr>
      <w:spacing w:line="240" w:lineRule="auto"/>
      <w:ind w:firstLine="0"/>
      <w:jc w:val="left"/>
    </w:pPr>
    <w:rPr>
      <w:sz w:val="28"/>
    </w:rPr>
  </w:style>
  <w:style w:type="paragraph" w:customStyle="1" w:styleId="SENCOMMtesto">
    <w:name w:val="SEN_COMM_testo"/>
    <w:basedOn w:val="Normale"/>
    <w:rsid w:val="00F84BDE"/>
    <w:pPr>
      <w:spacing w:before="120" w:after="120" w:line="300" w:lineRule="exact"/>
    </w:pPr>
    <w:rPr>
      <w:rFonts w:ascii="Times New Roman" w:hAnsi="Times New Roman"/>
    </w:rPr>
  </w:style>
  <w:style w:type="paragraph" w:customStyle="1" w:styleId="CAMCAMMCommissione">
    <w:name w:val="CAM_CAMM_(Commissione)"/>
    <w:basedOn w:val="Normale"/>
    <w:rsid w:val="00F84BDE"/>
    <w:pPr>
      <w:spacing w:before="120" w:after="120" w:line="240" w:lineRule="auto"/>
      <w:ind w:firstLine="0"/>
      <w:jc w:val="center"/>
    </w:pPr>
    <w:rPr>
      <w:rFonts w:ascii="Times New Roman" w:hAnsi="Times New Roman"/>
      <w:b/>
      <w:sz w:val="24"/>
    </w:rPr>
  </w:style>
  <w:style w:type="paragraph" w:customStyle="1" w:styleId="CAM-COMM-intestazione">
    <w:name w:val="CAM-COMM-intestazione"/>
    <w:basedOn w:val="Intestazione"/>
    <w:rsid w:val="00F84BDE"/>
    <w:pPr>
      <w:spacing w:after="120"/>
      <w:ind w:firstLine="0"/>
    </w:pPr>
    <w:rPr>
      <w:rFonts w:ascii="Times New Roman" w:hAnsi="Times New Roman"/>
      <w:i/>
    </w:rPr>
  </w:style>
  <w:style w:type="paragraph" w:styleId="Rientrocorpodeltesto2">
    <w:name w:val="Body Text Indent 2"/>
    <w:basedOn w:val="Normale"/>
    <w:rsid w:val="00F84BDE"/>
    <w:pPr>
      <w:spacing w:line="240" w:lineRule="auto"/>
    </w:pPr>
  </w:style>
  <w:style w:type="paragraph" w:customStyle="1" w:styleId="CopertinaServizio">
    <w:name w:val="Copertina/Servizio"/>
    <w:basedOn w:val="Normale"/>
    <w:rsid w:val="006223EB"/>
    <w:pPr>
      <w:keepNext/>
      <w:spacing w:line="240" w:lineRule="auto"/>
      <w:ind w:firstLine="0"/>
      <w:jc w:val="center"/>
    </w:pPr>
    <w:rPr>
      <w:b/>
      <w:smallCaps/>
      <w:kern w:val="28"/>
      <w:sz w:val="40"/>
    </w:rPr>
  </w:style>
  <w:style w:type="paragraph" w:customStyle="1" w:styleId="CopertinaCollana">
    <w:name w:val="Copertina/Collana"/>
    <w:basedOn w:val="Normale"/>
    <w:rsid w:val="006223EB"/>
    <w:pPr>
      <w:ind w:firstLine="0"/>
      <w:jc w:val="center"/>
    </w:pPr>
    <w:rPr>
      <w:smallCaps/>
      <w:spacing w:val="20"/>
      <w:sz w:val="36"/>
    </w:rPr>
  </w:style>
  <w:style w:type="paragraph" w:customStyle="1" w:styleId="CopertinaTitolo">
    <w:name w:val="Copertina/Titolo"/>
    <w:basedOn w:val="Normale"/>
    <w:rsid w:val="006223EB"/>
    <w:pPr>
      <w:keepLines/>
      <w:suppressAutoHyphens/>
      <w:spacing w:before="120"/>
      <w:ind w:left="284" w:right="284" w:firstLine="0"/>
      <w:jc w:val="center"/>
    </w:pPr>
    <w:rPr>
      <w:b/>
      <w:spacing w:val="20"/>
      <w:sz w:val="32"/>
    </w:rPr>
  </w:style>
  <w:style w:type="paragraph" w:customStyle="1" w:styleId="CopertinaNumero">
    <w:name w:val="Copertina/Numero"/>
    <w:basedOn w:val="Normale"/>
    <w:rsid w:val="006223EB"/>
    <w:pPr>
      <w:ind w:firstLine="0"/>
      <w:jc w:val="center"/>
    </w:pPr>
    <w:rPr>
      <w:sz w:val="28"/>
    </w:rPr>
  </w:style>
  <w:style w:type="paragraph" w:customStyle="1" w:styleId="CopertinaAtto">
    <w:name w:val="Copertina/Atto"/>
    <w:basedOn w:val="Normale"/>
    <w:rsid w:val="006223EB"/>
    <w:pPr>
      <w:spacing w:before="120"/>
      <w:ind w:left="142" w:right="140" w:firstLine="0"/>
      <w:jc w:val="center"/>
    </w:pPr>
    <w:rPr>
      <w:spacing w:val="20"/>
      <w:sz w:val="32"/>
    </w:rPr>
  </w:style>
  <w:style w:type="paragraph" w:customStyle="1" w:styleId="CopertinaParte">
    <w:name w:val="Copertina/Parte"/>
    <w:basedOn w:val="Normale"/>
    <w:rsid w:val="006223EB"/>
    <w:pPr>
      <w:ind w:right="140"/>
      <w:jc w:val="center"/>
    </w:pPr>
    <w:rPr>
      <w:spacing w:val="20"/>
    </w:rPr>
  </w:style>
  <w:style w:type="paragraph" w:customStyle="1" w:styleId="CopertinaLegislatura">
    <w:name w:val="Copertina/Legislatura"/>
    <w:basedOn w:val="Normale"/>
    <w:rsid w:val="006223EB"/>
    <w:pPr>
      <w:spacing w:before="240"/>
      <w:ind w:firstLine="0"/>
      <w:jc w:val="center"/>
    </w:pPr>
    <w:rPr>
      <w:smallCaps/>
      <w:spacing w:val="20"/>
      <w:sz w:val="28"/>
    </w:rPr>
  </w:style>
  <w:style w:type="paragraph" w:customStyle="1" w:styleId="CopertinaData">
    <w:name w:val="Copertina/Data"/>
    <w:basedOn w:val="Normale"/>
    <w:rsid w:val="006223EB"/>
    <w:pPr>
      <w:spacing w:before="240" w:after="360"/>
      <w:ind w:right="142" w:firstLine="0"/>
      <w:jc w:val="center"/>
    </w:pPr>
    <w:rPr>
      <w:i/>
      <w:spacing w:val="20"/>
      <w:sz w:val="24"/>
    </w:rPr>
  </w:style>
  <w:style w:type="paragraph" w:customStyle="1" w:styleId="CopertinaCameraDeputati">
    <w:name w:val="Copertina/Camera Deputati"/>
    <w:basedOn w:val="Normale"/>
    <w:rsid w:val="006223EB"/>
    <w:pPr>
      <w:ind w:firstLine="0"/>
      <w:jc w:val="center"/>
    </w:pPr>
    <w:rPr>
      <w:b/>
      <w:smallCaps/>
      <w:spacing w:val="20"/>
      <w:sz w:val="28"/>
      <w14:shadow w14:blurRad="50800" w14:dist="38100" w14:dir="2700000" w14:sx="100000" w14:sy="100000" w14:kx="0" w14:ky="0" w14:algn="tl">
        <w14:srgbClr w14:val="000000">
          <w14:alpha w14:val="60000"/>
        </w14:srgbClr>
      </w14:shadow>
    </w:rPr>
  </w:style>
  <w:style w:type="paragraph" w:customStyle="1" w:styleId="Titolo2articolo">
    <w:name w:val="Titolo 2(articolo)"/>
    <w:basedOn w:val="Titolo2"/>
    <w:rsid w:val="006223EB"/>
    <w:pPr>
      <w:ind w:left="0" w:firstLine="0"/>
      <w:jc w:val="center"/>
    </w:pPr>
  </w:style>
  <w:style w:type="paragraph" w:customStyle="1" w:styleId="To">
    <w:name w:val="To"/>
    <w:basedOn w:val="Normale"/>
    <w:rsid w:val="006223EB"/>
    <w:pPr>
      <w:spacing w:line="240" w:lineRule="auto"/>
      <w:ind w:firstLine="0"/>
      <w:jc w:val="left"/>
    </w:pPr>
    <w:rPr>
      <w:sz w:val="36"/>
    </w:rPr>
  </w:style>
  <w:style w:type="paragraph" w:customStyle="1" w:styleId="ToFax">
    <w:name w:val="ToFax"/>
    <w:basedOn w:val="Normale"/>
    <w:rsid w:val="006223EB"/>
    <w:pPr>
      <w:spacing w:line="240" w:lineRule="auto"/>
      <w:ind w:firstLine="0"/>
      <w:jc w:val="left"/>
    </w:pPr>
    <w:rPr>
      <w:sz w:val="28"/>
    </w:rPr>
  </w:style>
  <w:style w:type="paragraph" w:customStyle="1" w:styleId="FromCompany">
    <w:name w:val="FromCompany"/>
    <w:basedOn w:val="Normale"/>
    <w:rsid w:val="006223EB"/>
    <w:pPr>
      <w:spacing w:line="240" w:lineRule="auto"/>
      <w:ind w:firstLine="0"/>
      <w:jc w:val="left"/>
    </w:pPr>
    <w:rPr>
      <w:sz w:val="28"/>
    </w:rPr>
  </w:style>
  <w:style w:type="paragraph" w:customStyle="1" w:styleId="FromPhone">
    <w:name w:val="FromPhone"/>
    <w:basedOn w:val="Normale"/>
    <w:rsid w:val="006223EB"/>
    <w:pPr>
      <w:spacing w:line="240" w:lineRule="auto"/>
      <w:ind w:firstLine="0"/>
      <w:jc w:val="left"/>
    </w:pPr>
    <w:rPr>
      <w:sz w:val="28"/>
    </w:rPr>
  </w:style>
  <w:style w:type="paragraph" w:customStyle="1" w:styleId="FromFax">
    <w:name w:val="FromFax"/>
    <w:basedOn w:val="Normale"/>
    <w:rsid w:val="006223EB"/>
    <w:pPr>
      <w:spacing w:line="240" w:lineRule="auto"/>
      <w:ind w:firstLine="0"/>
      <w:jc w:val="left"/>
    </w:pPr>
    <w:rPr>
      <w:sz w:val="28"/>
    </w:rPr>
  </w:style>
  <w:style w:type="paragraph" w:customStyle="1" w:styleId="ToPhone">
    <w:name w:val="ToPhone"/>
    <w:basedOn w:val="ToCompany"/>
    <w:rsid w:val="006223EB"/>
  </w:style>
  <w:style w:type="paragraph" w:customStyle="1" w:styleId="AAA-COST-Indiceautomatico">
    <w:name w:val="AAA-COST.-Indice automatico"/>
    <w:rsid w:val="00F84BDE"/>
    <w:rPr>
      <w:noProof/>
      <w:sz w:val="3276"/>
    </w:rPr>
  </w:style>
  <w:style w:type="paragraph" w:customStyle="1" w:styleId="AAA-COMITATO-Indiceautomatico">
    <w:name w:val="AAA-COMITATO-Indice automatico"/>
    <w:rsid w:val="00F84BDE"/>
    <w:rPr>
      <w:noProof/>
      <w:sz w:val="3276"/>
    </w:rPr>
  </w:style>
  <w:style w:type="paragraph" w:customStyle="1" w:styleId="AAA-NORMATIVA-INDICEAUTOMATICO">
    <w:name w:val="AAA-NORMATIVA-INDICE AUTOMATICO"/>
    <w:rsid w:val="00F84BDE"/>
    <w:pPr>
      <w:spacing w:line="300" w:lineRule="atLeast"/>
      <w:ind w:firstLine="284"/>
      <w:jc w:val="both"/>
    </w:pPr>
    <w:rPr>
      <w:rFonts w:ascii="Arial" w:hAnsi="Arial"/>
      <w:sz w:val="22"/>
    </w:rPr>
  </w:style>
  <w:style w:type="paragraph" w:customStyle="1" w:styleId="AAA-SCHEDE-INDICEAUTOMATICO">
    <w:name w:val="AAA-SCHEDE-INDICE AUTOMATICO"/>
    <w:rsid w:val="00F84BDE"/>
    <w:pPr>
      <w:spacing w:line="300" w:lineRule="atLeast"/>
      <w:ind w:firstLine="284"/>
      <w:jc w:val="both"/>
    </w:pPr>
    <w:rPr>
      <w:rFonts w:ascii="Arial" w:hAnsi="Arial"/>
      <w:sz w:val="22"/>
    </w:rPr>
  </w:style>
  <w:style w:type="paragraph" w:customStyle="1" w:styleId="AAA-NORMATIVA-Indiceautomatico0">
    <w:name w:val="AAA-NORMATIVA-Indice automatico"/>
    <w:rsid w:val="00F84BDE"/>
    <w:rPr>
      <w:noProof/>
      <w:sz w:val="3276"/>
    </w:rPr>
  </w:style>
  <w:style w:type="paragraph" w:customStyle="1" w:styleId="AAA-SCHEDE-Indiceautomatico0">
    <w:name w:val="AAA-SCHEDE-Indice automatico"/>
    <w:rsid w:val="00F84BDE"/>
    <w:rPr>
      <w:noProof/>
      <w:sz w:val="3276"/>
    </w:rPr>
  </w:style>
  <w:style w:type="paragraph" w:customStyle="1" w:styleId="AAA-NORMATIVA-Indicecon2occh">
    <w:name w:val="AAA-NORMATIVA-Indice con 2° occh"/>
    <w:rsid w:val="00F84BDE"/>
    <w:pPr>
      <w:spacing w:line="300" w:lineRule="atLeast"/>
      <w:ind w:firstLine="284"/>
      <w:jc w:val="both"/>
    </w:pPr>
    <w:rPr>
      <w:rFonts w:ascii="Arial" w:hAnsi="Arial"/>
      <w:sz w:val="22"/>
    </w:rPr>
  </w:style>
  <w:style w:type="paragraph" w:customStyle="1" w:styleId="AAA-STRINGA-ATTI">
    <w:name w:val="AAA-STRINGA-ATTI"/>
    <w:rsid w:val="00F84BDE"/>
    <w:pPr>
      <w:spacing w:line="300" w:lineRule="atLeast"/>
      <w:ind w:firstLine="284"/>
      <w:jc w:val="both"/>
    </w:pPr>
    <w:rPr>
      <w:rFonts w:ascii="Arial" w:hAnsi="Arial"/>
      <w:sz w:val="22"/>
    </w:rPr>
  </w:style>
  <w:style w:type="paragraph" w:customStyle="1" w:styleId="AAA-STRINGA-OCCHIELLO">
    <w:name w:val="AAA-STRINGA-OCCHIELLO"/>
    <w:rsid w:val="00F84BDE"/>
    <w:pPr>
      <w:spacing w:line="300" w:lineRule="atLeast"/>
      <w:ind w:firstLine="284"/>
      <w:jc w:val="both"/>
    </w:pPr>
    <w:rPr>
      <w:rFonts w:ascii="Arial" w:hAnsi="Arial"/>
      <w:sz w:val="22"/>
    </w:rPr>
  </w:style>
  <w:style w:type="paragraph" w:customStyle="1" w:styleId="AAA-STRINGA-OCCHIELLO2">
    <w:name w:val="AAA-STRINGA-OCCHIELLO 2"/>
    <w:rsid w:val="00F84BDE"/>
    <w:pPr>
      <w:spacing w:line="300" w:lineRule="atLeast"/>
      <w:ind w:firstLine="284"/>
      <w:jc w:val="both"/>
    </w:pPr>
    <w:rPr>
      <w:rFonts w:ascii="Arial" w:hAnsi="Arial"/>
      <w:sz w:val="22"/>
    </w:rPr>
  </w:style>
  <w:style w:type="paragraph" w:customStyle="1" w:styleId="AAA-STRINGA-PARERIRESI">
    <w:name w:val="AAA-STRINGA-PARERI RESI.."/>
    <w:rsid w:val="00F84BDE"/>
    <w:pPr>
      <w:spacing w:line="300" w:lineRule="atLeast"/>
      <w:ind w:firstLine="284"/>
      <w:jc w:val="both"/>
    </w:pPr>
    <w:rPr>
      <w:rFonts w:ascii="Arial" w:hAnsi="Arial"/>
      <w:sz w:val="22"/>
    </w:rPr>
  </w:style>
  <w:style w:type="paragraph" w:customStyle="1" w:styleId="AAA-STRINGA-COMMISSIONECONSULTI">
    <w:name w:val="AAA-STRINGA-COMMISSIONE CONSULTI"/>
    <w:rsid w:val="00F84BDE"/>
    <w:pPr>
      <w:spacing w:line="300" w:lineRule="atLeast"/>
      <w:ind w:firstLine="284"/>
      <w:jc w:val="both"/>
    </w:pPr>
    <w:rPr>
      <w:rFonts w:ascii="Arial" w:hAnsi="Arial"/>
      <w:sz w:val="22"/>
    </w:rPr>
  </w:style>
  <w:style w:type="paragraph" w:customStyle="1" w:styleId="AAA-STRINGA-SEDUTADEL">
    <w:name w:val="AAA-STRINGA-SEDUTA DEL..."/>
    <w:rsid w:val="00F84BDE"/>
    <w:pPr>
      <w:widowControl w:val="0"/>
      <w:tabs>
        <w:tab w:val="right" w:pos="7938"/>
      </w:tabs>
      <w:spacing w:line="300" w:lineRule="atLeast"/>
      <w:ind w:left="851" w:right="851"/>
      <w:jc w:val="both"/>
      <w:outlineLvl w:val="4"/>
    </w:pPr>
    <w:rPr>
      <w:rFonts w:ascii="Arial" w:hAnsi="Arial"/>
      <w:noProof/>
      <w:sz w:val="22"/>
    </w:rPr>
  </w:style>
  <w:style w:type="paragraph" w:customStyle="1" w:styleId="AAA-ATTI-Indice">
    <w:name w:val="AAA-ATTI-Indice"/>
    <w:rsid w:val="00F84BDE"/>
    <w:pPr>
      <w:spacing w:line="300" w:lineRule="atLeast"/>
      <w:ind w:firstLine="284"/>
      <w:jc w:val="both"/>
    </w:pPr>
    <w:rPr>
      <w:rFonts w:ascii="Arial" w:hAnsi="Arial"/>
      <w:sz w:val="22"/>
    </w:rPr>
  </w:style>
  <w:style w:type="paragraph" w:customStyle="1" w:styleId="AAA-DOSSIER-Indiceautomaticoco">
    <w:name w:val="AAA-DOSSIER-Indice automatico co"/>
    <w:rsid w:val="00F84BDE"/>
    <w:pPr>
      <w:spacing w:line="300" w:lineRule="atLeast"/>
      <w:ind w:firstLine="284"/>
      <w:jc w:val="both"/>
    </w:pPr>
    <w:rPr>
      <w:rFonts w:ascii="Arial" w:hAnsi="Arial"/>
      <w:sz w:val="22"/>
    </w:rPr>
  </w:style>
  <w:style w:type="paragraph" w:customStyle="1" w:styleId="elencopuntato1liv">
    <w:name w:val="elencopuntato1°liv"/>
    <w:basedOn w:val="Normale"/>
    <w:rsid w:val="00F84BDE"/>
    <w:pPr>
      <w:numPr>
        <w:numId w:val="2"/>
      </w:numPr>
    </w:pPr>
  </w:style>
  <w:style w:type="paragraph" w:customStyle="1" w:styleId="Elencopuntato2livello">
    <w:name w:val="Elenco puntato 2° livello"/>
    <w:basedOn w:val="Normale"/>
    <w:rsid w:val="00F84BDE"/>
    <w:pPr>
      <w:ind w:firstLine="0"/>
    </w:pPr>
    <w:rPr>
      <w:i/>
    </w:rPr>
  </w:style>
  <w:style w:type="paragraph" w:customStyle="1" w:styleId="Elencopuntato1livello">
    <w:name w:val="Elenco puntato1°livello"/>
    <w:basedOn w:val="Normale"/>
    <w:next w:val="Normale"/>
    <w:rsid w:val="00F84BDE"/>
    <w:pPr>
      <w:numPr>
        <w:numId w:val="1"/>
      </w:numPr>
    </w:pPr>
    <w:rPr>
      <w:b/>
      <w:i/>
    </w:rPr>
  </w:style>
  <w:style w:type="paragraph" w:customStyle="1" w:styleId="aaa-omissis">
    <w:name w:val="aaa-omissis"/>
    <w:basedOn w:val="Normale"/>
    <w:rsid w:val="00F84BDE"/>
    <w:pPr>
      <w:spacing w:before="320" w:after="320"/>
      <w:ind w:firstLine="0"/>
      <w:jc w:val="center"/>
    </w:pPr>
    <w:rPr>
      <w:i/>
      <w:sz w:val="20"/>
    </w:rPr>
  </w:style>
  <w:style w:type="paragraph" w:customStyle="1" w:styleId="NOWEB">
    <w:name w:val="NOWEB"/>
    <w:basedOn w:val="Normale"/>
    <w:rsid w:val="00F84BDE"/>
    <w:rPr>
      <w:b/>
      <w:vanish/>
      <w:color w:val="FF0000"/>
      <w:szCs w:val="22"/>
      <w:u w:val="single"/>
    </w:rPr>
  </w:style>
  <w:style w:type="paragraph" w:customStyle="1" w:styleId="SIWEB">
    <w:name w:val="SIWEB"/>
    <w:basedOn w:val="Normale"/>
    <w:rsid w:val="00F84BDE"/>
    <w:pPr>
      <w:ind w:right="-285"/>
    </w:pPr>
    <w:rPr>
      <w:b/>
      <w:vanish/>
      <w:color w:val="339966"/>
      <w:szCs w:val="22"/>
      <w:effect w:val="antsBlack"/>
    </w:rPr>
  </w:style>
  <w:style w:type="table" w:styleId="Grigliatabella">
    <w:name w:val="Table Grid"/>
    <w:basedOn w:val="Tabellanormale"/>
    <w:rsid w:val="004220EF"/>
    <w:pPr>
      <w:spacing w:line="300" w:lineRule="atLeast"/>
      <w:ind w:firstLine="284"/>
      <w:jc w:val="both"/>
    </w:pPr>
    <w:tblPr/>
  </w:style>
  <w:style w:type="character" w:styleId="Collegamentovisitato">
    <w:name w:val="FollowedHyperlink"/>
    <w:rsid w:val="00F84BDE"/>
    <w:rPr>
      <w:color w:val="800080"/>
      <w:u w:val="single"/>
    </w:rPr>
  </w:style>
  <w:style w:type="paragraph" w:styleId="Iniziomodulo-z">
    <w:name w:val="HTML Top of Form"/>
    <w:basedOn w:val="Normale"/>
    <w:next w:val="Normale"/>
    <w:hidden/>
    <w:rsid w:val="0008408D"/>
    <w:pPr>
      <w:pBdr>
        <w:bottom w:val="single" w:sz="6" w:space="1" w:color="auto"/>
      </w:pBdr>
      <w:spacing w:line="240" w:lineRule="auto"/>
      <w:ind w:firstLine="0"/>
      <w:jc w:val="center"/>
    </w:pPr>
    <w:rPr>
      <w:rFonts w:cs="Arial"/>
      <w:vanish/>
      <w:sz w:val="16"/>
      <w:szCs w:val="16"/>
    </w:rPr>
  </w:style>
  <w:style w:type="paragraph" w:styleId="Finemodulo-z">
    <w:name w:val="HTML Bottom of Form"/>
    <w:basedOn w:val="Normale"/>
    <w:next w:val="Normale"/>
    <w:hidden/>
    <w:rsid w:val="0008408D"/>
    <w:pPr>
      <w:pBdr>
        <w:top w:val="single" w:sz="6" w:space="1" w:color="auto"/>
      </w:pBdr>
      <w:spacing w:line="240" w:lineRule="auto"/>
      <w:ind w:firstLine="0"/>
      <w:jc w:val="center"/>
    </w:pPr>
    <w:rPr>
      <w:rFonts w:cs="Arial"/>
      <w:vanish/>
      <w:sz w:val="16"/>
      <w:szCs w:val="16"/>
    </w:rPr>
  </w:style>
  <w:style w:type="paragraph" w:customStyle="1" w:styleId="AAA-TITOLETTOTESTOATTIPARLAMENTARI">
    <w:name w:val="AAA-TITOLETTO TESTO ATTI PARLAMENTARI"/>
    <w:basedOn w:val="Normale"/>
    <w:next w:val="AAA-TESTOATTIPARLAMENTARI"/>
    <w:rsid w:val="00F84BDE"/>
    <w:pPr>
      <w:spacing w:after="120" w:line="240" w:lineRule="exact"/>
      <w:jc w:val="center"/>
    </w:pPr>
    <w:rPr>
      <w:rFonts w:ascii="Garamond" w:hAnsi="Garamond"/>
      <w:b/>
      <w:bCs/>
    </w:rPr>
  </w:style>
  <w:style w:type="character" w:styleId="Enfasigrassetto">
    <w:name w:val="Strong"/>
    <w:uiPriority w:val="22"/>
    <w:qFormat/>
    <w:rsid w:val="00F84BDE"/>
    <w:rPr>
      <w:b/>
      <w:bCs/>
    </w:rPr>
  </w:style>
  <w:style w:type="paragraph" w:customStyle="1" w:styleId="bgricerca">
    <w:name w:val="bgricerca"/>
    <w:basedOn w:val="Normale"/>
    <w:rsid w:val="00F84BDE"/>
    <w:pPr>
      <w:shd w:val="clear" w:color="auto" w:fill="E7E8E7"/>
      <w:spacing w:before="75" w:after="180" w:line="240" w:lineRule="auto"/>
      <w:ind w:firstLine="0"/>
      <w:jc w:val="left"/>
    </w:pPr>
    <w:rPr>
      <w:rFonts w:ascii="Verdana" w:hAnsi="Verdana" w:cs="Garamond"/>
      <w:sz w:val="24"/>
      <w:szCs w:val="24"/>
    </w:rPr>
  </w:style>
  <w:style w:type="paragraph" w:customStyle="1" w:styleId="bggrigio">
    <w:name w:val="bggrigio"/>
    <w:basedOn w:val="Normale"/>
    <w:rsid w:val="00F84BDE"/>
    <w:pPr>
      <w:shd w:val="clear" w:color="auto" w:fill="DFDFDF"/>
      <w:spacing w:before="75" w:after="180" w:line="240" w:lineRule="auto"/>
      <w:ind w:firstLine="0"/>
      <w:jc w:val="left"/>
    </w:pPr>
    <w:rPr>
      <w:rFonts w:ascii="Verdana" w:hAnsi="Verdana" w:cs="Garamond"/>
      <w:sz w:val="24"/>
      <w:szCs w:val="24"/>
    </w:rPr>
  </w:style>
  <w:style w:type="paragraph" w:customStyle="1" w:styleId="bgboxlink">
    <w:name w:val="bgboxlink"/>
    <w:basedOn w:val="Normale"/>
    <w:rsid w:val="00F84BDE"/>
    <w:pPr>
      <w:shd w:val="clear" w:color="auto" w:fill="7F7F7F"/>
      <w:spacing w:before="75" w:after="180" w:line="240" w:lineRule="auto"/>
      <w:ind w:firstLine="0"/>
      <w:jc w:val="left"/>
    </w:pPr>
    <w:rPr>
      <w:rFonts w:ascii="Verdana" w:hAnsi="Verdana" w:cs="Garamond"/>
      <w:sz w:val="24"/>
      <w:szCs w:val="24"/>
    </w:rPr>
  </w:style>
  <w:style w:type="paragraph" w:customStyle="1" w:styleId="bgrigapopup">
    <w:name w:val="bgrigapopup"/>
    <w:basedOn w:val="Normale"/>
    <w:rsid w:val="00F84BDE"/>
    <w:pPr>
      <w:shd w:val="clear" w:color="auto" w:fill="9B1212"/>
      <w:spacing w:before="75" w:after="180" w:line="240" w:lineRule="auto"/>
      <w:ind w:firstLine="0"/>
      <w:jc w:val="left"/>
    </w:pPr>
    <w:rPr>
      <w:rFonts w:ascii="Verdana" w:hAnsi="Verdana" w:cs="Garamond"/>
      <w:sz w:val="24"/>
      <w:szCs w:val="24"/>
    </w:rPr>
  </w:style>
  <w:style w:type="paragraph" w:customStyle="1" w:styleId="cellabox">
    <w:name w:val="cellabox"/>
    <w:basedOn w:val="Normale"/>
    <w:rsid w:val="00F84BDE"/>
    <w:pPr>
      <w:spacing w:before="75" w:after="180" w:line="192" w:lineRule="auto"/>
      <w:ind w:firstLine="0"/>
      <w:jc w:val="left"/>
    </w:pPr>
    <w:rPr>
      <w:rFonts w:ascii="Verdana" w:hAnsi="Verdana" w:cs="Garamond"/>
      <w:sz w:val="24"/>
      <w:szCs w:val="24"/>
    </w:rPr>
  </w:style>
  <w:style w:type="paragraph" w:customStyle="1" w:styleId="center">
    <w:name w:val="center"/>
    <w:basedOn w:val="Normale"/>
    <w:rsid w:val="00F84BDE"/>
    <w:pPr>
      <w:spacing w:before="75" w:after="180" w:line="240" w:lineRule="auto"/>
      <w:ind w:firstLine="0"/>
      <w:jc w:val="center"/>
    </w:pPr>
    <w:rPr>
      <w:rFonts w:ascii="Verdana" w:hAnsi="Verdana" w:cs="Garamond"/>
      <w:sz w:val="24"/>
      <w:szCs w:val="24"/>
    </w:rPr>
  </w:style>
  <w:style w:type="paragraph" w:customStyle="1" w:styleId="Titolo11">
    <w:name w:val="Titolo 11"/>
    <w:basedOn w:val="Normale"/>
    <w:rsid w:val="00F84BDE"/>
    <w:pPr>
      <w:spacing w:before="100" w:beforeAutospacing="1" w:after="240" w:line="240" w:lineRule="auto"/>
      <w:ind w:firstLine="0"/>
      <w:jc w:val="center"/>
      <w:outlineLvl w:val="1"/>
    </w:pPr>
    <w:rPr>
      <w:rFonts w:ascii="Verdana" w:hAnsi="Verdana" w:cs="Garamond"/>
      <w:b/>
      <w:bCs/>
      <w:color w:val="000000"/>
      <w:kern w:val="36"/>
      <w:szCs w:val="22"/>
    </w:rPr>
  </w:style>
  <w:style w:type="paragraph" w:styleId="NormaleWeb">
    <w:name w:val="Normal (Web)"/>
    <w:basedOn w:val="Normale"/>
    <w:rsid w:val="00F84BDE"/>
    <w:pPr>
      <w:spacing w:after="120" w:line="240" w:lineRule="exact"/>
    </w:pPr>
    <w:rPr>
      <w:rFonts w:ascii="Garamond" w:hAnsi="Garamond" w:cs="Garamond"/>
      <w:sz w:val="24"/>
      <w:szCs w:val="24"/>
    </w:rPr>
  </w:style>
  <w:style w:type="character" w:customStyle="1" w:styleId="Collegamentoipertestuale1">
    <w:name w:val="Collegamento ipertestuale1"/>
    <w:rsid w:val="00F84BDE"/>
    <w:rPr>
      <w:strike w:val="0"/>
      <w:dstrike w:val="0"/>
      <w:color w:val="0000FF"/>
      <w:u w:val="none"/>
      <w:effect w:val="none"/>
      <w:shd w:val="clear" w:color="auto" w:fill="auto"/>
    </w:rPr>
  </w:style>
  <w:style w:type="paragraph" w:customStyle="1" w:styleId="Titolo12">
    <w:name w:val="Titolo 12"/>
    <w:basedOn w:val="Normale"/>
    <w:rsid w:val="00F84BDE"/>
    <w:pPr>
      <w:spacing w:before="100" w:beforeAutospacing="1" w:after="240" w:line="240" w:lineRule="auto"/>
      <w:ind w:firstLine="0"/>
      <w:jc w:val="center"/>
      <w:outlineLvl w:val="1"/>
    </w:pPr>
    <w:rPr>
      <w:rFonts w:ascii="Verdana" w:hAnsi="Verdana" w:cs="Garamond"/>
      <w:b/>
      <w:bCs/>
      <w:color w:val="000000"/>
      <w:kern w:val="36"/>
      <w:szCs w:val="22"/>
    </w:rPr>
  </w:style>
  <w:style w:type="character" w:customStyle="1" w:styleId="Collegamentoipertestuale2">
    <w:name w:val="Collegamento ipertestuale2"/>
    <w:rsid w:val="00F84BDE"/>
    <w:rPr>
      <w:strike w:val="0"/>
      <w:dstrike w:val="0"/>
      <w:color w:val="0000FF"/>
      <w:u w:val="none"/>
      <w:effect w:val="none"/>
      <w:shd w:val="clear" w:color="auto" w:fill="auto"/>
    </w:rPr>
  </w:style>
  <w:style w:type="paragraph" w:customStyle="1" w:styleId="DATASenComm">
    <w:name w:val="DATASenComm"/>
    <w:basedOn w:val="Normale"/>
    <w:link w:val="DATASenCommCarattere"/>
    <w:rsid w:val="00034E07"/>
    <w:pPr>
      <w:jc w:val="center"/>
    </w:pPr>
    <w:rPr>
      <w:rFonts w:ascii="Garamond" w:hAnsi="Garamond"/>
      <w:sz w:val="24"/>
      <w:szCs w:val="24"/>
    </w:rPr>
  </w:style>
  <w:style w:type="character" w:customStyle="1" w:styleId="DATASenCommCarattere">
    <w:name w:val="DATASenComm Carattere"/>
    <w:link w:val="DATASenComm"/>
    <w:rsid w:val="00034E07"/>
    <w:rPr>
      <w:rFonts w:ascii="Garamond" w:hAnsi="Garamond"/>
      <w:caps/>
      <w:sz w:val="24"/>
      <w:szCs w:val="24"/>
      <w:lang w:val="it-IT" w:eastAsia="it-IT" w:bidi="ar-SA"/>
    </w:rPr>
  </w:style>
  <w:style w:type="paragraph" w:customStyle="1" w:styleId="XV-ASS-SENseduta">
    <w:name w:val="XV-ASS-SEN_seduta"/>
    <w:basedOn w:val="Normale"/>
    <w:next w:val="Normale"/>
    <w:link w:val="XV-ASS-SENsedutaCarattere"/>
    <w:rsid w:val="001D1CAC"/>
    <w:pPr>
      <w:ind w:firstLine="0"/>
    </w:pPr>
    <w:rPr>
      <w:rFonts w:ascii="Times" w:hAnsi="Times"/>
      <w:sz w:val="32"/>
      <w:szCs w:val="32"/>
    </w:rPr>
  </w:style>
  <w:style w:type="character" w:customStyle="1" w:styleId="XV-ASS-SENsedutaCarattere">
    <w:name w:val="XV-ASS-SEN_seduta Carattere"/>
    <w:link w:val="XV-ASS-SENseduta"/>
    <w:rsid w:val="008B471B"/>
    <w:rPr>
      <w:rFonts w:ascii="Times" w:hAnsi="Times"/>
      <w:sz w:val="32"/>
      <w:szCs w:val="32"/>
      <w:lang w:val="it-IT" w:eastAsia="it-IT" w:bidi="ar-SA"/>
    </w:rPr>
  </w:style>
  <w:style w:type="paragraph" w:customStyle="1" w:styleId="ASS-SENXVLegislatura">
    <w:name w:val="ASS-SEN_XV Legislatura"/>
    <w:basedOn w:val="Normale"/>
    <w:rsid w:val="00BA23FD"/>
    <w:pPr>
      <w:spacing w:line="240" w:lineRule="auto"/>
      <w:ind w:firstLine="0"/>
      <w:jc w:val="right"/>
    </w:pPr>
    <w:rPr>
      <w:rFonts w:ascii="CG Times" w:hAnsi="CG Times"/>
      <w:sz w:val="24"/>
      <w:szCs w:val="24"/>
    </w:rPr>
  </w:style>
  <w:style w:type="character" w:styleId="AcronimoHTML">
    <w:name w:val="HTML Acronym"/>
    <w:basedOn w:val="Carpredefinitoparagrafo"/>
    <w:rsid w:val="00C53DBC"/>
  </w:style>
  <w:style w:type="character" w:customStyle="1" w:styleId="DATA-ASS-SEN">
    <w:name w:val="DATA-ASS-SEN"/>
    <w:basedOn w:val="Carpredefinitoparagrafo"/>
    <w:rsid w:val="00BA23FD"/>
  </w:style>
  <w:style w:type="paragraph" w:customStyle="1" w:styleId="ASS-SENNumero">
    <w:name w:val="ASS-SEN_Numero"/>
    <w:link w:val="ASS-SENNumeroCarattere"/>
    <w:rsid w:val="00BA23FD"/>
    <w:rPr>
      <w:rFonts w:ascii="CG Times" w:hAnsi="CG Times"/>
      <w:sz w:val="32"/>
    </w:rPr>
  </w:style>
  <w:style w:type="character" w:customStyle="1" w:styleId="ASS-SENNumeroCarattere">
    <w:name w:val="ASS-SEN_Numero Carattere"/>
    <w:link w:val="ASS-SENNumero"/>
    <w:rsid w:val="001D1CAC"/>
    <w:rPr>
      <w:rFonts w:ascii="CG Times" w:hAnsi="CG Times"/>
      <w:sz w:val="32"/>
      <w:lang w:val="it-IT" w:eastAsia="it-IT" w:bidi="ar-SA"/>
    </w:rPr>
  </w:style>
  <w:style w:type="paragraph" w:customStyle="1" w:styleId="XV-ASS-SENRESOCONTO">
    <w:name w:val="XV-ASS-SEN_RESOCONTO"/>
    <w:basedOn w:val="AS-SENATODELLAREPUBBLICA"/>
    <w:rsid w:val="00A870E6"/>
    <w:pPr>
      <w:spacing w:before="120"/>
      <w:ind w:right="-68"/>
      <w:jc w:val="left"/>
    </w:pPr>
    <w:rPr>
      <w:rFonts w:ascii="CG Times" w:hAnsi="CG Times"/>
      <w:spacing w:val="0"/>
      <w:sz w:val="36"/>
      <w:szCs w:val="36"/>
    </w:rPr>
  </w:style>
  <w:style w:type="paragraph" w:customStyle="1" w:styleId="XV-ASS-SENASSEMBLEA">
    <w:name w:val="XV-ASS-SEN_ASSEMBLEA"/>
    <w:rsid w:val="00A870E6"/>
    <w:pPr>
      <w:spacing w:before="240"/>
      <w:ind w:right="-68"/>
    </w:pPr>
    <w:rPr>
      <w:rFonts w:ascii="CG Times" w:hAnsi="CG Times"/>
      <w:b/>
      <w:sz w:val="36"/>
      <w:szCs w:val="36"/>
    </w:rPr>
  </w:style>
  <w:style w:type="paragraph" w:customStyle="1" w:styleId="XV-ASS-SENdata">
    <w:name w:val="XV-ASS-SEN_data"/>
    <w:basedOn w:val="Normale"/>
    <w:link w:val="XV-ASS-SENdataCarattere"/>
    <w:rsid w:val="001D1CAC"/>
    <w:pPr>
      <w:ind w:firstLine="0"/>
    </w:pPr>
    <w:rPr>
      <w:rFonts w:ascii="Times" w:hAnsi="Times"/>
      <w:sz w:val="32"/>
    </w:rPr>
  </w:style>
  <w:style w:type="character" w:customStyle="1" w:styleId="XV-ASS-SENdataCarattere">
    <w:name w:val="XV-ASS-SEN_data Carattere"/>
    <w:link w:val="XV-ASS-SENdata"/>
    <w:rsid w:val="001D1CAC"/>
    <w:rPr>
      <w:rFonts w:ascii="Times" w:hAnsi="Times"/>
      <w:sz w:val="32"/>
      <w:lang w:val="it-IT" w:eastAsia="it-IT" w:bidi="ar-SA"/>
    </w:rPr>
  </w:style>
  <w:style w:type="paragraph" w:customStyle="1" w:styleId="ASS-SENXIVLegislatura">
    <w:name w:val="ASS-SEN_XIV Legislatura"/>
    <w:basedOn w:val="AS-XIVLEGISLATURA"/>
    <w:rsid w:val="00F84BDE"/>
    <w:pPr>
      <w:spacing w:before="240"/>
    </w:pPr>
  </w:style>
  <w:style w:type="character" w:customStyle="1" w:styleId="DATA-ASS-SEN-XV">
    <w:name w:val="DATA-ASS-SEN-XV"/>
    <w:basedOn w:val="Carpredefinitoparagrafo"/>
    <w:rsid w:val="00BA23FD"/>
  </w:style>
  <w:style w:type="character" w:customStyle="1" w:styleId="XV-ASS-SENgiorno">
    <w:name w:val="XV-ASS-SEN_giorno"/>
    <w:rsid w:val="001D11FB"/>
    <w:rPr>
      <w:rFonts w:ascii="Times" w:hAnsi="Times"/>
      <w:sz w:val="32"/>
      <w:szCs w:val="32"/>
    </w:rPr>
  </w:style>
  <w:style w:type="paragraph" w:customStyle="1" w:styleId="XV-ASS-SENPresidenza">
    <w:name w:val="XV-ASS-SEN_Presidenza"/>
    <w:basedOn w:val="ASS-SENdata"/>
    <w:rsid w:val="00A870E6"/>
    <w:pPr>
      <w:spacing w:line="240" w:lineRule="auto"/>
      <w:jc w:val="left"/>
    </w:pPr>
    <w:rPr>
      <w:b w:val="0"/>
      <w:spacing w:val="0"/>
      <w:sz w:val="28"/>
      <w:szCs w:val="28"/>
    </w:rPr>
  </w:style>
  <w:style w:type="paragraph" w:customStyle="1" w:styleId="XV-ASS-SENAntimer">
    <w:name w:val="XV-ASS-SEN_Antimer"/>
    <w:basedOn w:val="Normale"/>
    <w:link w:val="XV-ASS-SENAntimerCarattere"/>
    <w:rsid w:val="000B3065"/>
    <w:pPr>
      <w:ind w:firstLine="0"/>
    </w:pPr>
    <w:rPr>
      <w:rFonts w:ascii="Times" w:hAnsi="Times"/>
      <w:sz w:val="32"/>
      <w:szCs w:val="32"/>
    </w:rPr>
  </w:style>
  <w:style w:type="character" w:customStyle="1" w:styleId="XV-ASS-SENAntimerCarattere">
    <w:name w:val="XV-ASS-SEN_Antimer Carattere"/>
    <w:link w:val="XV-ASS-SENAntimer"/>
    <w:rsid w:val="000B3065"/>
    <w:rPr>
      <w:rFonts w:ascii="Times" w:hAnsi="Times"/>
      <w:sz w:val="32"/>
      <w:szCs w:val="32"/>
      <w:lang w:val="it-IT" w:eastAsia="it-IT" w:bidi="ar-SA"/>
    </w:rPr>
  </w:style>
  <w:style w:type="paragraph" w:customStyle="1" w:styleId="XV-CopertinaServizioStudi">
    <w:name w:val="XV-Copertina/ServizioStudi"/>
    <w:basedOn w:val="Normale"/>
    <w:rsid w:val="00462D37"/>
    <w:pPr>
      <w:ind w:firstLine="0"/>
      <w:jc w:val="center"/>
    </w:pPr>
    <w:rPr>
      <w:spacing w:val="60"/>
      <w:sz w:val="40"/>
      <w:szCs w:val="40"/>
    </w:rPr>
  </w:style>
  <w:style w:type="paragraph" w:customStyle="1" w:styleId="XV-CopertinaCollana">
    <w:name w:val="XV-Copertina/Collana"/>
    <w:basedOn w:val="Normale"/>
    <w:rsid w:val="003F4C86"/>
    <w:pPr>
      <w:spacing w:line="240" w:lineRule="auto"/>
      <w:ind w:firstLine="0"/>
      <w:jc w:val="center"/>
    </w:pPr>
    <w:rPr>
      <w:spacing w:val="60"/>
      <w:sz w:val="36"/>
      <w:szCs w:val="36"/>
    </w:rPr>
  </w:style>
  <w:style w:type="paragraph" w:customStyle="1" w:styleId="XV-CopertinaServizio">
    <w:name w:val="XV-Copertina/Servizio"/>
    <w:basedOn w:val="XV-CopertinaServizioStudi"/>
    <w:rsid w:val="00727368"/>
    <w:pPr>
      <w:spacing w:line="240" w:lineRule="auto"/>
    </w:pPr>
  </w:style>
  <w:style w:type="paragraph" w:customStyle="1" w:styleId="XV-Legislatura">
    <w:name w:val="XV-Legislatura"/>
    <w:basedOn w:val="CopertinaServizio"/>
    <w:rsid w:val="0011220B"/>
    <w:pPr>
      <w:spacing w:before="120" w:line="400" w:lineRule="exact"/>
    </w:pPr>
    <w:rPr>
      <w:rFonts w:cs="Arial"/>
      <w:b w:val="0"/>
      <w:smallCaps w:val="0"/>
      <w:spacing w:val="20"/>
      <w:sz w:val="24"/>
      <w:szCs w:val="24"/>
    </w:rPr>
  </w:style>
  <w:style w:type="paragraph" w:customStyle="1" w:styleId="XV-CopertinaCameradeideputati">
    <w:name w:val="XV-Copertina/Cameradeideputati"/>
    <w:basedOn w:val="CopertinaServizio"/>
    <w:rsid w:val="000B2690"/>
    <w:rPr>
      <w:rFonts w:cs="Arial"/>
      <w:b w:val="0"/>
      <w:smallCaps w:val="0"/>
      <w:spacing w:val="20"/>
      <w:szCs w:val="40"/>
    </w:rPr>
  </w:style>
  <w:style w:type="paragraph" w:customStyle="1" w:styleId="XV-CopertinaTitolo">
    <w:name w:val="XV-Copertina/Titolo"/>
    <w:basedOn w:val="Normale"/>
    <w:rsid w:val="00C74C34"/>
    <w:pPr>
      <w:spacing w:before="120" w:line="240" w:lineRule="auto"/>
      <w:ind w:firstLine="0"/>
      <w:jc w:val="center"/>
    </w:pPr>
    <w:rPr>
      <w:rFonts w:cs="Arial"/>
      <w:spacing w:val="20"/>
      <w:sz w:val="36"/>
      <w:szCs w:val="36"/>
    </w:rPr>
  </w:style>
  <w:style w:type="paragraph" w:customStyle="1" w:styleId="XV-CopertinaSottotitolo">
    <w:name w:val="XV-Copertina/Sottotitolo"/>
    <w:basedOn w:val="Normale"/>
    <w:rsid w:val="00054773"/>
    <w:pPr>
      <w:spacing w:before="240" w:line="560" w:lineRule="atLeast"/>
      <w:ind w:firstLine="0"/>
      <w:jc w:val="center"/>
    </w:pPr>
    <w:rPr>
      <w:rFonts w:cs="Arial"/>
      <w:i/>
      <w:spacing w:val="20"/>
      <w:sz w:val="36"/>
      <w:szCs w:val="36"/>
    </w:rPr>
  </w:style>
  <w:style w:type="paragraph" w:customStyle="1" w:styleId="XV-Copertinadata">
    <w:name w:val="XV-Copertina/data"/>
    <w:basedOn w:val="Normale"/>
    <w:rsid w:val="005B6F13"/>
    <w:pPr>
      <w:ind w:firstLine="0"/>
      <w:jc w:val="center"/>
    </w:pPr>
    <w:rPr>
      <w:spacing w:val="20"/>
      <w:sz w:val="28"/>
      <w:szCs w:val="28"/>
    </w:rPr>
  </w:style>
  <w:style w:type="paragraph" w:customStyle="1" w:styleId="XV-Copertinaparteedizione">
    <w:name w:val="XV-Copertina/parteedizione"/>
    <w:basedOn w:val="Titolo8"/>
    <w:rsid w:val="00867692"/>
    <w:pPr>
      <w:keepNext/>
      <w:spacing w:before="120" w:after="120"/>
      <w:jc w:val="center"/>
    </w:pPr>
    <w:rPr>
      <w:rFonts w:cs="Arial"/>
      <w:i w:val="0"/>
      <w:spacing w:val="20"/>
      <w:sz w:val="26"/>
      <w:szCs w:val="26"/>
    </w:rPr>
  </w:style>
  <w:style w:type="paragraph" w:customStyle="1" w:styleId="XV-Copertinanumero">
    <w:name w:val="XV-Copertina/numero"/>
    <w:basedOn w:val="Normale"/>
    <w:rsid w:val="00867692"/>
    <w:pPr>
      <w:ind w:firstLine="0"/>
      <w:jc w:val="center"/>
    </w:pPr>
    <w:rPr>
      <w:rFonts w:cs="Arial"/>
      <w:sz w:val="32"/>
      <w:szCs w:val="32"/>
    </w:rPr>
  </w:style>
  <w:style w:type="paragraph" w:customStyle="1" w:styleId="XV-Copertinatitolo0">
    <w:name w:val="XV-Copertina/titolo"/>
    <w:basedOn w:val="Normale"/>
    <w:rsid w:val="00462D37"/>
    <w:pPr>
      <w:ind w:firstLine="0"/>
      <w:jc w:val="center"/>
    </w:pPr>
    <w:rPr>
      <w:spacing w:val="20"/>
      <w:sz w:val="44"/>
      <w:szCs w:val="44"/>
    </w:rPr>
  </w:style>
  <w:style w:type="paragraph" w:customStyle="1" w:styleId="ASS-SENNumeroseduta">
    <w:name w:val="ASS-SEN_Numero seduta"/>
    <w:basedOn w:val="Normale"/>
    <w:link w:val="ASS-SENNumerosedutaCarattere"/>
    <w:rsid w:val="001D11FB"/>
    <w:pPr>
      <w:spacing w:before="360" w:after="360" w:line="300" w:lineRule="exact"/>
      <w:ind w:firstLine="527"/>
      <w:jc w:val="right"/>
    </w:pPr>
    <w:rPr>
      <w:rFonts w:ascii="CG Times" w:hAnsi="CG Times"/>
      <w:noProof/>
      <w:sz w:val="32"/>
    </w:rPr>
  </w:style>
  <w:style w:type="character" w:customStyle="1" w:styleId="ASS-SENNumerosedutaCarattere">
    <w:name w:val="ASS-SEN_Numero seduta Carattere"/>
    <w:link w:val="ASS-SENNumeroseduta"/>
    <w:rsid w:val="001D11FB"/>
    <w:rPr>
      <w:rFonts w:ascii="CG Times" w:hAnsi="CG Times"/>
      <w:noProof/>
      <w:sz w:val="32"/>
      <w:lang w:val="it-IT" w:eastAsia="it-IT" w:bidi="ar-SA"/>
    </w:rPr>
  </w:style>
  <w:style w:type="paragraph" w:customStyle="1" w:styleId="STILE-LINEA">
    <w:name w:val="STILE-LINEA"/>
    <w:basedOn w:val="Normale"/>
    <w:rsid w:val="00144612"/>
    <w:pPr>
      <w:ind w:firstLine="0"/>
      <w:jc w:val="center"/>
    </w:pPr>
  </w:style>
  <w:style w:type="character" w:customStyle="1" w:styleId="CAM-ASS-sedutadiCarattere">
    <w:name w:val="CAM-ASS-seduta di.. Carattere"/>
    <w:link w:val="CAM-ASS-sedutadi"/>
    <w:rsid w:val="002218F2"/>
    <w:rPr>
      <w:rFonts w:ascii="Garamond" w:hAnsi="Garamond"/>
      <w:caps/>
      <w:spacing w:val="20"/>
      <w:w w:val="66"/>
      <w:sz w:val="48"/>
      <w:lang w:val="it-IT" w:eastAsia="it-IT" w:bidi="ar-SA"/>
    </w:rPr>
  </w:style>
  <w:style w:type="paragraph" w:customStyle="1" w:styleId="XV-Copertinacamera">
    <w:name w:val="XV-Copertina/camera"/>
    <w:basedOn w:val="Normale"/>
    <w:rsid w:val="00B63542"/>
    <w:pPr>
      <w:ind w:firstLine="0"/>
      <w:jc w:val="center"/>
    </w:pPr>
    <w:rPr>
      <w:sz w:val="40"/>
      <w:szCs w:val="40"/>
    </w:rPr>
  </w:style>
  <w:style w:type="paragraph" w:customStyle="1" w:styleId="XV-ASS-SENnumero">
    <w:name w:val="XV-ASS-SEN_numero"/>
    <w:link w:val="XV-ASS-SENnumeroCarattere"/>
    <w:rsid w:val="00031506"/>
    <w:rPr>
      <w:rFonts w:ascii="CG Times" w:hAnsi="CG Times"/>
      <w:sz w:val="32"/>
    </w:rPr>
  </w:style>
  <w:style w:type="character" w:customStyle="1" w:styleId="XV-ASS-SENnumeroCarattere">
    <w:name w:val="XV-ASS-SEN_numero Carattere"/>
    <w:link w:val="XV-ASS-SENnumero"/>
    <w:rsid w:val="00031506"/>
    <w:rPr>
      <w:rFonts w:ascii="CG Times" w:hAnsi="CG Times"/>
      <w:sz w:val="32"/>
      <w:lang w:val="it-IT" w:eastAsia="it-IT" w:bidi="ar-SA"/>
    </w:rPr>
  </w:style>
  <w:style w:type="character" w:customStyle="1" w:styleId="XV-ASS-SENdata-Carattere">
    <w:name w:val="XV-ASS-SEN_data-Carattere"/>
    <w:rsid w:val="00BF3E50"/>
  </w:style>
  <w:style w:type="character" w:customStyle="1" w:styleId="XV-ASS-SENsedutaCar">
    <w:name w:val="XV-ASS-SEN_seduta Car"/>
    <w:basedOn w:val="XV-ASS-SENsedutaCarattere"/>
    <w:rsid w:val="00E00A30"/>
    <w:rPr>
      <w:rFonts w:ascii="Times" w:hAnsi="Times"/>
      <w:sz w:val="32"/>
      <w:szCs w:val="32"/>
      <w:lang w:val="it-IT" w:eastAsia="it-IT" w:bidi="ar-SA"/>
    </w:rPr>
  </w:style>
  <w:style w:type="character" w:customStyle="1" w:styleId="XV-ASS-SENseduta-Car">
    <w:name w:val="XV-ASS-SEN_seduta-Car"/>
    <w:rsid w:val="00DF53D3"/>
    <w:rPr>
      <w:sz w:val="36"/>
      <w:szCs w:val="36"/>
    </w:rPr>
  </w:style>
  <w:style w:type="character" w:customStyle="1" w:styleId="leggititoloCarattere">
    <w:name w:val="leggi_titolo Carattere"/>
    <w:link w:val="leggititolo"/>
    <w:rsid w:val="000000F8"/>
    <w:rPr>
      <w:rFonts w:ascii="Arial" w:hAnsi="Arial"/>
      <w:b/>
      <w:lang w:val="it-IT" w:eastAsia="it-IT" w:bidi="ar-SA"/>
    </w:rPr>
  </w:style>
  <w:style w:type="paragraph" w:styleId="Testofumetto">
    <w:name w:val="Balloon Text"/>
    <w:basedOn w:val="Normale"/>
    <w:rsid w:val="008F3A6D"/>
    <w:rPr>
      <w:rFonts w:ascii="Tahoma" w:hAnsi="Tahoma" w:cs="Tahoma"/>
      <w:sz w:val="16"/>
      <w:szCs w:val="16"/>
    </w:rPr>
  </w:style>
  <w:style w:type="character" w:styleId="Rimandocommento">
    <w:name w:val="annotation reference"/>
    <w:semiHidden/>
    <w:rsid w:val="005633C0"/>
    <w:rPr>
      <w:sz w:val="16"/>
      <w:szCs w:val="16"/>
    </w:rPr>
  </w:style>
  <w:style w:type="paragraph" w:styleId="Testocommento">
    <w:name w:val="annotation text"/>
    <w:basedOn w:val="Normale"/>
    <w:semiHidden/>
    <w:rsid w:val="005633C0"/>
    <w:rPr>
      <w:sz w:val="20"/>
    </w:rPr>
  </w:style>
  <w:style w:type="paragraph" w:styleId="Soggettocommento">
    <w:name w:val="annotation subject"/>
    <w:basedOn w:val="Testocommento"/>
    <w:next w:val="Testocommento"/>
    <w:semiHidden/>
    <w:rsid w:val="005633C0"/>
    <w:rPr>
      <w:b/>
      <w:bCs/>
    </w:rPr>
  </w:style>
  <w:style w:type="character" w:customStyle="1" w:styleId="TestonotaapidipaginaCarattere3">
    <w:name w:val="Testo nota a piè di pagina Carattere3"/>
    <w:aliases w:val="Testo nota a piè di pagina Carattere Carattere,Testo nota a piè di pagina Carattere1 Carattere1,Testo nota a piè di pagina Carattere2 Carattere,Testo nota a piè di pagina Carattere Carattere1 Carattere"/>
    <w:link w:val="Testonotaapidipagina"/>
    <w:rsid w:val="006F4135"/>
    <w:rPr>
      <w:rFonts w:ascii="Arial" w:hAnsi="Arial"/>
      <w:sz w:val="18"/>
      <w:lang w:val="it-IT" w:eastAsia="it-IT" w:bidi="ar-SA"/>
    </w:rPr>
  </w:style>
  <w:style w:type="character" w:customStyle="1" w:styleId="Titolo1Carattere1">
    <w:name w:val="Titolo 1 Carattere1"/>
    <w:link w:val="Titolo1"/>
    <w:rsid w:val="00107446"/>
    <w:rPr>
      <w:rFonts w:ascii="Arial" w:hAnsi="Arial"/>
      <w:b/>
      <w:smallCaps/>
      <w:kern w:val="28"/>
      <w:sz w:val="26"/>
      <w:lang w:val="it-IT" w:eastAsia="it-IT" w:bidi="ar-SA"/>
    </w:rPr>
  </w:style>
  <w:style w:type="character" w:styleId="Enfasicorsivo">
    <w:name w:val="Emphasis"/>
    <w:uiPriority w:val="20"/>
    <w:qFormat/>
    <w:rsid w:val="004A24D7"/>
    <w:rPr>
      <w:i/>
      <w:iCs/>
    </w:rPr>
  </w:style>
  <w:style w:type="paragraph" w:customStyle="1" w:styleId="Testo">
    <w:name w:val="Testo"/>
    <w:aliases w:val="note a piè di pagina"/>
    <w:basedOn w:val="Normale"/>
    <w:rsid w:val="004A24D7"/>
    <w:pPr>
      <w:numPr>
        <w:numId w:val="6"/>
      </w:numPr>
      <w:outlineLvl w:val="0"/>
    </w:pPr>
  </w:style>
  <w:style w:type="character" w:customStyle="1" w:styleId="StileGrassetto">
    <w:name w:val="Stile Grassetto"/>
    <w:rsid w:val="00480024"/>
    <w:rPr>
      <w:rFonts w:ascii="Arial" w:hAnsi="Arial"/>
      <w:b/>
      <w:bCs/>
      <w:sz w:val="22"/>
    </w:rPr>
  </w:style>
  <w:style w:type="paragraph" w:customStyle="1" w:styleId="Normale1">
    <w:name w:val="Normale1"/>
    <w:link w:val="Normale1Carattere1"/>
    <w:rsid w:val="00AB0849"/>
    <w:pPr>
      <w:spacing w:after="120" w:line="360" w:lineRule="atLeast"/>
      <w:ind w:firstLine="284"/>
      <w:jc w:val="both"/>
    </w:pPr>
    <w:rPr>
      <w:rFonts w:ascii="Arial" w:hAnsi="Arial"/>
      <w:sz w:val="24"/>
    </w:rPr>
  </w:style>
  <w:style w:type="character" w:customStyle="1" w:styleId="Normale1Carattere1">
    <w:name w:val="Normale1 Carattere1"/>
    <w:link w:val="Normale1"/>
    <w:rsid w:val="00AB0849"/>
    <w:rPr>
      <w:rFonts w:ascii="Arial" w:hAnsi="Arial"/>
      <w:sz w:val="24"/>
      <w:lang w:val="it-IT" w:eastAsia="it-IT" w:bidi="ar-SA"/>
    </w:rPr>
  </w:style>
  <w:style w:type="paragraph" w:customStyle="1" w:styleId="provvr0">
    <w:name w:val="provv_r0"/>
    <w:basedOn w:val="Normale"/>
    <w:rsid w:val="000B0EDC"/>
    <w:pPr>
      <w:spacing w:before="100" w:beforeAutospacing="1" w:after="100" w:afterAutospacing="1" w:line="240" w:lineRule="auto"/>
      <w:ind w:firstLine="0"/>
      <w:jc w:val="left"/>
    </w:pPr>
    <w:rPr>
      <w:rFonts w:ascii="Times New Roman" w:hAnsi="Times New Roman"/>
      <w:sz w:val="24"/>
      <w:szCs w:val="24"/>
    </w:rPr>
  </w:style>
  <w:style w:type="character" w:customStyle="1" w:styleId="provvnumcomma">
    <w:name w:val="provv_numcomma"/>
    <w:basedOn w:val="Carpredefinitoparagrafo"/>
    <w:rsid w:val="000B0EDC"/>
  </w:style>
  <w:style w:type="character" w:customStyle="1" w:styleId="linkneltesto">
    <w:name w:val="link_nel_testo"/>
    <w:basedOn w:val="Carpredefinitoparagrafo"/>
    <w:rsid w:val="000B0EDC"/>
  </w:style>
  <w:style w:type="paragraph" w:customStyle="1" w:styleId="CarattereCarattereCarattereCarattereCarattere1Carattere">
    <w:name w:val="Carattere Carattere Carattere Carattere Carattere1 Carattere"/>
    <w:rsid w:val="0024162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18"/>
      <w:szCs w:val="18"/>
      <w:lang w:val="en-GB" w:eastAsia="en-GB"/>
    </w:rPr>
  </w:style>
  <w:style w:type="paragraph" w:customStyle="1" w:styleId="CarattereCarattere1Carattere">
    <w:name w:val="Carattere Carattere1 Carattere"/>
    <w:rsid w:val="009C143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18"/>
      <w:szCs w:val="18"/>
      <w:lang w:val="en-GB" w:eastAsia="en-GB"/>
    </w:rPr>
  </w:style>
  <w:style w:type="character" w:customStyle="1" w:styleId="Titolo1Carattere">
    <w:name w:val="Titolo 1 Carattere"/>
    <w:rsid w:val="0066584F"/>
    <w:rPr>
      <w:rFonts w:ascii="Arial" w:hAnsi="Arial"/>
      <w:b/>
      <w:smallCaps/>
      <w:kern w:val="28"/>
      <w:sz w:val="26"/>
      <w:lang w:val="it-IT" w:eastAsia="it-IT" w:bidi="ar-SA"/>
    </w:rPr>
  </w:style>
  <w:style w:type="character" w:customStyle="1" w:styleId="Titolo3Carattere">
    <w:name w:val="Titolo 3 Carattere"/>
    <w:link w:val="Titolo3"/>
    <w:rsid w:val="00011373"/>
    <w:rPr>
      <w:rFonts w:ascii="Arial" w:hAnsi="Arial"/>
      <w:b/>
      <w:i/>
      <w:sz w:val="22"/>
      <w:lang w:val="it-IT" w:eastAsia="it-IT" w:bidi="ar-SA"/>
    </w:rPr>
  </w:style>
  <w:style w:type="paragraph" w:customStyle="1" w:styleId="puntielenco">
    <w:name w:val="punti elenco"/>
    <w:basedOn w:val="Normale"/>
    <w:rsid w:val="00ED61BC"/>
    <w:pPr>
      <w:numPr>
        <w:numId w:val="7"/>
      </w:numPr>
    </w:pPr>
  </w:style>
  <w:style w:type="character" w:customStyle="1" w:styleId="titolopdl">
    <w:name w:val="titolopdl"/>
    <w:basedOn w:val="Carpredefinitoparagrafo"/>
    <w:rsid w:val="00BB6EA7"/>
  </w:style>
  <w:style w:type="paragraph" w:customStyle="1" w:styleId="Collegamento">
    <w:name w:val="Collegamento"/>
    <w:basedOn w:val="IndirizzoHTML"/>
    <w:rsid w:val="00F95F26"/>
    <w:pPr>
      <w:spacing w:before="60" w:after="60"/>
      <w:ind w:firstLine="0"/>
      <w:contextualSpacing/>
      <w:jc w:val="center"/>
    </w:pPr>
    <w:rPr>
      <w:b/>
      <w:i w:val="0"/>
      <w:color w:val="0000FF"/>
      <w:szCs w:val="22"/>
    </w:rPr>
  </w:style>
  <w:style w:type="paragraph" w:customStyle="1" w:styleId="StileCentratoPrimariga0cm">
    <w:name w:val="Stile Centrato Prima riga: 0 cm"/>
    <w:basedOn w:val="Normale"/>
    <w:rsid w:val="00F95F26"/>
    <w:pPr>
      <w:spacing w:before="60" w:after="60"/>
      <w:ind w:firstLine="0"/>
      <w:contextualSpacing/>
      <w:jc w:val="center"/>
    </w:pPr>
  </w:style>
  <w:style w:type="paragraph" w:styleId="IndirizzoHTML">
    <w:name w:val="HTML Address"/>
    <w:basedOn w:val="Normale"/>
    <w:link w:val="IndirizzoHTMLCarattere"/>
    <w:rsid w:val="00F95F26"/>
    <w:rPr>
      <w:i/>
      <w:iCs/>
    </w:rPr>
  </w:style>
  <w:style w:type="character" w:customStyle="1" w:styleId="IndirizzoHTMLCarattere">
    <w:name w:val="Indirizzo HTML Carattere"/>
    <w:link w:val="IndirizzoHTML"/>
    <w:rsid w:val="00F95F26"/>
    <w:rPr>
      <w:rFonts w:ascii="Arial" w:hAnsi="Arial"/>
      <w:i/>
      <w:iCs/>
      <w:sz w:val="22"/>
    </w:rPr>
  </w:style>
  <w:style w:type="paragraph" w:styleId="Sottotitolo">
    <w:name w:val="Subtitle"/>
    <w:basedOn w:val="Normale"/>
    <w:next w:val="Normale"/>
    <w:link w:val="SottotitoloCarattere"/>
    <w:qFormat/>
    <w:rsid w:val="006E4713"/>
    <w:pPr>
      <w:spacing w:after="60"/>
      <w:jc w:val="center"/>
      <w:outlineLvl w:val="1"/>
    </w:pPr>
    <w:rPr>
      <w:rFonts w:ascii="Cambria" w:hAnsi="Cambria"/>
      <w:sz w:val="24"/>
      <w:szCs w:val="24"/>
    </w:rPr>
  </w:style>
  <w:style w:type="character" w:customStyle="1" w:styleId="SottotitoloCarattere">
    <w:name w:val="Sottotitolo Carattere"/>
    <w:link w:val="Sottotitolo"/>
    <w:rsid w:val="006E4713"/>
    <w:rPr>
      <w:rFonts w:ascii="Cambria" w:eastAsia="Times New Roman" w:hAnsi="Cambria" w:cs="Times New Roman"/>
      <w:sz w:val="24"/>
      <w:szCs w:val="24"/>
    </w:rPr>
  </w:style>
  <w:style w:type="character" w:customStyle="1" w:styleId="PidipaginaCarattere">
    <w:name w:val="Piè di pagina Carattere"/>
    <w:link w:val="Pidipagina"/>
    <w:uiPriority w:val="99"/>
    <w:rsid w:val="00E92A51"/>
    <w:rPr>
      <w:rFonts w:ascii="Arial" w:hAnsi="Arial"/>
      <w:sz w:val="22"/>
    </w:rPr>
  </w:style>
  <w:style w:type="character" w:customStyle="1" w:styleId="IntestazioneCarattere">
    <w:name w:val="Intestazione Carattere"/>
    <w:link w:val="Intestazione"/>
    <w:uiPriority w:val="99"/>
    <w:rsid w:val="00332C22"/>
    <w:rPr>
      <w:rFonts w:ascii="Arial" w:hAnsi="Arial"/>
      <w:sz w:val="22"/>
    </w:rPr>
  </w:style>
  <w:style w:type="paragraph" w:styleId="Paragrafoelenco">
    <w:name w:val="List Paragraph"/>
    <w:aliases w:val="Punto elenco 1"/>
    <w:basedOn w:val="Normale"/>
    <w:link w:val="ParagrafoelencoCarattere"/>
    <w:uiPriority w:val="34"/>
    <w:qFormat/>
    <w:rsid w:val="00FA06F9"/>
    <w:pPr>
      <w:spacing w:before="60" w:after="60"/>
      <w:ind w:left="720"/>
      <w:contextualSpacing/>
    </w:pPr>
  </w:style>
  <w:style w:type="numbering" w:customStyle="1" w:styleId="Nessunelenco1">
    <w:name w:val="Nessun elenco1"/>
    <w:next w:val="Nessunelenco"/>
    <w:uiPriority w:val="99"/>
    <w:semiHidden/>
    <w:unhideWhenUsed/>
    <w:rsid w:val="00541B8B"/>
  </w:style>
  <w:style w:type="character" w:customStyle="1" w:styleId="titolo2articolo0">
    <w:name w:val="titolo 2(articolo)"/>
    <w:basedOn w:val="Carpredefinitoparagrafo"/>
    <w:rsid w:val="00541B8B"/>
  </w:style>
  <w:style w:type="paragraph" w:customStyle="1" w:styleId="NOWEB01">
    <w:name w:val="NOWEB01"/>
    <w:basedOn w:val="NOWEB"/>
    <w:rsid w:val="00541B8B"/>
    <w:pPr>
      <w:spacing w:before="60" w:after="60"/>
      <w:ind w:firstLine="0"/>
      <w:contextualSpacing/>
      <w:jc w:val="center"/>
    </w:pPr>
    <w:rPr>
      <w:effect w:val="antsRed"/>
      <w:lang w:val="es-ES"/>
    </w:rPr>
  </w:style>
  <w:style w:type="paragraph" w:customStyle="1" w:styleId="NOWEB02">
    <w:name w:val="NOWEB02"/>
    <w:basedOn w:val="NOWEB"/>
    <w:rsid w:val="00541B8B"/>
    <w:pPr>
      <w:spacing w:before="60" w:after="60"/>
      <w:ind w:firstLine="0"/>
      <w:contextualSpacing/>
      <w:jc w:val="center"/>
    </w:pPr>
    <w:rPr>
      <w:effect w:val="antsRed"/>
      <w:lang w:val="es-ES"/>
    </w:rPr>
  </w:style>
  <w:style w:type="paragraph" w:customStyle="1" w:styleId="NOWEB03">
    <w:name w:val="NOWEB03"/>
    <w:basedOn w:val="NOWEB"/>
    <w:rsid w:val="00541B8B"/>
    <w:pPr>
      <w:spacing w:before="60" w:after="60"/>
      <w:ind w:firstLine="0"/>
      <w:contextualSpacing/>
      <w:jc w:val="center"/>
    </w:pPr>
    <w:rPr>
      <w:effect w:val="antsRed"/>
      <w:lang w:val="es-ES"/>
    </w:rPr>
  </w:style>
  <w:style w:type="paragraph" w:customStyle="1" w:styleId="NOWEB04">
    <w:name w:val="NOWEB04"/>
    <w:basedOn w:val="NOWEB"/>
    <w:rsid w:val="00541B8B"/>
    <w:pPr>
      <w:spacing w:before="60" w:after="60"/>
      <w:ind w:firstLine="0"/>
      <w:contextualSpacing/>
      <w:jc w:val="center"/>
    </w:pPr>
    <w:rPr>
      <w:effect w:val="antsRed"/>
      <w:lang w:val="es-ES"/>
    </w:rPr>
  </w:style>
  <w:style w:type="paragraph" w:customStyle="1" w:styleId="NOWEB05">
    <w:name w:val="NOWEB05"/>
    <w:basedOn w:val="NOWEB"/>
    <w:rsid w:val="00541B8B"/>
    <w:pPr>
      <w:spacing w:before="60" w:after="60"/>
      <w:ind w:firstLine="0"/>
      <w:contextualSpacing/>
      <w:jc w:val="center"/>
    </w:pPr>
    <w:rPr>
      <w:effect w:val="antsRed"/>
      <w:lang w:val="es-ES"/>
    </w:rPr>
  </w:style>
  <w:style w:type="paragraph" w:customStyle="1" w:styleId="NOWEB06">
    <w:name w:val="NOWEB06"/>
    <w:basedOn w:val="NOWEB"/>
    <w:rsid w:val="00541B8B"/>
    <w:pPr>
      <w:spacing w:before="60" w:after="60"/>
      <w:ind w:firstLine="0"/>
      <w:contextualSpacing/>
      <w:jc w:val="center"/>
    </w:pPr>
    <w:rPr>
      <w:effect w:val="antsRed"/>
      <w:lang w:val="es-ES"/>
    </w:rPr>
  </w:style>
  <w:style w:type="paragraph" w:customStyle="1" w:styleId="NOWEB07">
    <w:name w:val="NOWEB07"/>
    <w:basedOn w:val="NOWEB"/>
    <w:rsid w:val="00541B8B"/>
    <w:pPr>
      <w:spacing w:before="60" w:after="60"/>
      <w:ind w:firstLine="0"/>
      <w:contextualSpacing/>
      <w:jc w:val="center"/>
    </w:pPr>
    <w:rPr>
      <w:effect w:val="antsRed"/>
      <w:lang w:val="es-ES"/>
    </w:rPr>
  </w:style>
  <w:style w:type="paragraph" w:customStyle="1" w:styleId="NOWEB08">
    <w:name w:val="NOWEB08"/>
    <w:basedOn w:val="NOWEB"/>
    <w:rsid w:val="00541B8B"/>
    <w:pPr>
      <w:spacing w:before="60" w:after="60"/>
      <w:ind w:firstLine="0"/>
      <w:contextualSpacing/>
      <w:jc w:val="center"/>
    </w:pPr>
    <w:rPr>
      <w:effect w:val="antsRed"/>
      <w:lang w:val="es-ES"/>
    </w:rPr>
  </w:style>
  <w:style w:type="paragraph" w:customStyle="1" w:styleId="SIWEB01">
    <w:name w:val="SIWEB01"/>
    <w:basedOn w:val="SIWEB"/>
    <w:rsid w:val="00541B8B"/>
    <w:pPr>
      <w:spacing w:before="60" w:after="60"/>
      <w:ind w:right="0" w:firstLine="0"/>
      <w:contextualSpacing/>
      <w:jc w:val="center"/>
    </w:pPr>
    <w:rPr>
      <w:lang w:val="es-ES"/>
    </w:rPr>
  </w:style>
  <w:style w:type="paragraph" w:customStyle="1" w:styleId="SIWEB02">
    <w:name w:val="SIWEB02"/>
    <w:basedOn w:val="SIWEB"/>
    <w:rsid w:val="00541B8B"/>
    <w:pPr>
      <w:spacing w:before="60" w:after="60"/>
      <w:ind w:right="0" w:firstLine="0"/>
      <w:contextualSpacing/>
      <w:jc w:val="center"/>
    </w:pPr>
    <w:rPr>
      <w:lang w:val="es-ES"/>
    </w:rPr>
  </w:style>
  <w:style w:type="paragraph" w:customStyle="1" w:styleId="SIWEB03">
    <w:name w:val="SIWEB03"/>
    <w:basedOn w:val="SIWEB"/>
    <w:rsid w:val="00541B8B"/>
    <w:pPr>
      <w:spacing w:before="60" w:after="60"/>
      <w:ind w:right="0" w:firstLine="0"/>
      <w:contextualSpacing/>
      <w:jc w:val="center"/>
    </w:pPr>
    <w:rPr>
      <w:lang w:val="es-ES"/>
    </w:rPr>
  </w:style>
  <w:style w:type="paragraph" w:customStyle="1" w:styleId="SIWEB04">
    <w:name w:val="SIWEB04"/>
    <w:basedOn w:val="SIWEB"/>
    <w:rsid w:val="00541B8B"/>
    <w:pPr>
      <w:spacing w:before="60" w:after="60"/>
      <w:ind w:right="0" w:firstLine="0"/>
      <w:contextualSpacing/>
      <w:jc w:val="center"/>
    </w:pPr>
    <w:rPr>
      <w:lang w:val="es-ES"/>
    </w:rPr>
  </w:style>
  <w:style w:type="paragraph" w:customStyle="1" w:styleId="SIWEB05">
    <w:name w:val="SIWEB05"/>
    <w:basedOn w:val="SIWEB"/>
    <w:rsid w:val="00541B8B"/>
    <w:pPr>
      <w:spacing w:before="60" w:after="60"/>
      <w:ind w:right="0" w:firstLine="0"/>
      <w:contextualSpacing/>
      <w:jc w:val="center"/>
    </w:pPr>
    <w:rPr>
      <w:lang w:val="es-ES"/>
    </w:rPr>
  </w:style>
  <w:style w:type="paragraph" w:customStyle="1" w:styleId="SIWEB06">
    <w:name w:val="SIWEB06"/>
    <w:basedOn w:val="SIWEB"/>
    <w:rsid w:val="00541B8B"/>
    <w:pPr>
      <w:spacing w:before="60" w:after="60"/>
      <w:ind w:right="0" w:firstLine="0"/>
      <w:contextualSpacing/>
      <w:jc w:val="center"/>
    </w:pPr>
    <w:rPr>
      <w:lang w:val="es-ES"/>
    </w:rPr>
  </w:style>
  <w:style w:type="paragraph" w:customStyle="1" w:styleId="SIWEB07">
    <w:name w:val="SIWEB07"/>
    <w:basedOn w:val="SIWEB"/>
    <w:rsid w:val="00541B8B"/>
    <w:pPr>
      <w:spacing w:before="60" w:after="60"/>
      <w:ind w:right="0" w:firstLine="0"/>
      <w:contextualSpacing/>
      <w:jc w:val="center"/>
    </w:pPr>
    <w:rPr>
      <w:lang w:val="es-ES"/>
    </w:rPr>
  </w:style>
  <w:style w:type="paragraph" w:customStyle="1" w:styleId="SIWEB08">
    <w:name w:val="SIWEB08"/>
    <w:basedOn w:val="SIWEB"/>
    <w:rsid w:val="00541B8B"/>
    <w:pPr>
      <w:spacing w:before="60" w:after="60"/>
      <w:ind w:right="0" w:firstLine="0"/>
      <w:contextualSpacing/>
      <w:jc w:val="center"/>
    </w:pPr>
    <w:rPr>
      <w:lang w:val="es-ES"/>
    </w:rPr>
  </w:style>
  <w:style w:type="paragraph" w:customStyle="1" w:styleId="SOMMARIO-NOINTERNET11">
    <w:name w:val="SOMMARIO - NOINTERNET11"/>
    <w:rsid w:val="00541B8B"/>
    <w:pPr>
      <w:spacing w:line="300" w:lineRule="atLeast"/>
      <w:ind w:firstLine="284"/>
      <w:jc w:val="both"/>
    </w:pPr>
    <w:rPr>
      <w:rFonts w:ascii="Arial" w:hAnsi="Arial"/>
      <w:sz w:val="22"/>
    </w:rPr>
  </w:style>
  <w:style w:type="character" w:customStyle="1" w:styleId="CAMCOMMX-XIII">
    <w:name w:val="CAM_COMM_X - XIII"/>
    <w:basedOn w:val="Carpredefinitoparagrafo"/>
    <w:rsid w:val="00541B8B"/>
  </w:style>
  <w:style w:type="character" w:customStyle="1" w:styleId="CAMCOMMX-XIII0">
    <w:name w:val="CAM_COMM_X-XIII"/>
    <w:basedOn w:val="CAMCOMMI-II"/>
    <w:rsid w:val="00541B8B"/>
  </w:style>
  <w:style w:type="character" w:customStyle="1" w:styleId="CAMCOMMRIUO1">
    <w:name w:val="CAM_COMM_RIU_O1"/>
    <w:basedOn w:val="CAMCOMMX-XIII0"/>
    <w:rsid w:val="00541B8B"/>
  </w:style>
  <w:style w:type="character" w:customStyle="1" w:styleId="CAMCOMMRIU02">
    <w:name w:val="CAM_COMM_RIU_02"/>
    <w:basedOn w:val="CAMCOMMX-XIII0"/>
    <w:rsid w:val="00541B8B"/>
  </w:style>
  <w:style w:type="character" w:customStyle="1" w:styleId="commcamdata">
    <w:name w:val="comm_cam_data"/>
    <w:rsid w:val="00541B8B"/>
    <w:rPr>
      <w:rFonts w:ascii="Times New Roman" w:hAnsi="Times New Roman"/>
      <w:i/>
      <w:iCs/>
      <w:sz w:val="24"/>
      <w:szCs w:val="24"/>
    </w:rPr>
  </w:style>
  <w:style w:type="paragraph" w:customStyle="1" w:styleId="Senatodata">
    <w:name w:val="Senato data"/>
    <w:basedOn w:val="SENCOMMdata"/>
    <w:rsid w:val="00541B8B"/>
    <w:pPr>
      <w:spacing w:line="300" w:lineRule="atLeast"/>
      <w:contextualSpacing/>
    </w:pPr>
    <w:rPr>
      <w:rFonts w:ascii="Arial" w:hAnsi="Arial"/>
      <w:sz w:val="22"/>
      <w:szCs w:val="22"/>
    </w:rPr>
  </w:style>
  <w:style w:type="paragraph" w:customStyle="1" w:styleId="Tabellamio">
    <w:name w:val="Tabella mio"/>
    <w:basedOn w:val="Ridotto"/>
    <w:rsid w:val="00541B8B"/>
    <w:pPr>
      <w:spacing w:before="60" w:after="60" w:line="240" w:lineRule="auto"/>
      <w:ind w:left="57" w:right="57" w:firstLine="0"/>
      <w:contextualSpacing/>
    </w:pPr>
    <w:rPr>
      <w:rFonts w:cs="Arial"/>
      <w:sz w:val="10"/>
    </w:rPr>
  </w:style>
  <w:style w:type="paragraph" w:customStyle="1" w:styleId="Tabellaremio">
    <w:name w:val="Tabellare mio"/>
    <w:basedOn w:val="Normale"/>
    <w:rsid w:val="00541B8B"/>
    <w:pPr>
      <w:spacing w:before="60" w:after="60"/>
      <w:ind w:left="57" w:right="57"/>
      <w:contextualSpacing/>
    </w:pPr>
    <w:rPr>
      <w:rFonts w:cs="Arial"/>
      <w:sz w:val="20"/>
    </w:rPr>
  </w:style>
  <w:style w:type="paragraph" w:customStyle="1" w:styleId="Titolo2-nosomm">
    <w:name w:val="Titolo 2 - no somm"/>
    <w:basedOn w:val="Normale"/>
    <w:next w:val="Normale"/>
    <w:rsid w:val="00541B8B"/>
    <w:pPr>
      <w:widowControl w:val="0"/>
      <w:spacing w:before="480" w:after="240"/>
      <w:contextualSpacing/>
    </w:pPr>
    <w:rPr>
      <w:b/>
      <w:sz w:val="24"/>
      <w:szCs w:val="24"/>
    </w:rPr>
  </w:style>
  <w:style w:type="paragraph" w:customStyle="1" w:styleId="Titolo2articolo-sommario5">
    <w:name w:val="Titolo 2(articolo - sommario 5)"/>
    <w:basedOn w:val="Titolo2"/>
    <w:rsid w:val="00541B8B"/>
    <w:pPr>
      <w:ind w:left="0" w:firstLine="0"/>
      <w:contextualSpacing/>
      <w:jc w:val="left"/>
      <w:outlineLvl w:val="4"/>
    </w:pPr>
    <w:rPr>
      <w:sz w:val="28"/>
      <w:szCs w:val="24"/>
    </w:rPr>
  </w:style>
  <w:style w:type="paragraph" w:customStyle="1" w:styleId="Sommario5bis">
    <w:name w:val="Sommario 5bis"/>
    <w:basedOn w:val="Sommario5"/>
    <w:rsid w:val="00541B8B"/>
    <w:pPr>
      <w:numPr>
        <w:numId w:val="19"/>
      </w:numPr>
      <w:contextualSpacing/>
    </w:pPr>
    <w:rPr>
      <w:szCs w:val="22"/>
    </w:rPr>
  </w:style>
  <w:style w:type="paragraph" w:customStyle="1" w:styleId="1">
    <w:name w:val="1"/>
    <w:rsid w:val="00541B8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18"/>
      <w:szCs w:val="18"/>
      <w:lang w:val="en-GB" w:eastAsia="en-GB"/>
    </w:rPr>
  </w:style>
  <w:style w:type="paragraph" w:customStyle="1" w:styleId="CopertinaServizio2">
    <w:name w:val="Copertina/Servizio2"/>
    <w:basedOn w:val="Titolo2"/>
    <w:rsid w:val="00541B8B"/>
    <w:pPr>
      <w:spacing w:before="120"/>
      <w:contextualSpacing/>
      <w:jc w:val="center"/>
    </w:pPr>
    <w:rPr>
      <w:smallCaps/>
      <w:spacing w:val="20"/>
      <w:sz w:val="30"/>
      <w14:shadow w14:blurRad="50800" w14:dist="38100" w14:dir="2700000" w14:sx="100000" w14:sy="100000" w14:kx="0" w14:ky="0" w14:algn="tl">
        <w14:srgbClr w14:val="000000">
          <w14:alpha w14:val="60000"/>
        </w14:srgbClr>
      </w14:shadow>
    </w:rPr>
  </w:style>
  <w:style w:type="paragraph" w:customStyle="1" w:styleId="CopertinaServizio3">
    <w:name w:val="Copertina/Servizio3"/>
    <w:basedOn w:val="Normale"/>
    <w:rsid w:val="00541B8B"/>
    <w:pPr>
      <w:spacing w:before="60" w:after="60"/>
      <w:contextualSpacing/>
      <w:jc w:val="center"/>
    </w:pPr>
    <w:rPr>
      <w:b/>
      <w:smallCaps/>
      <w:spacing w:val="20"/>
      <w:sz w:val="28"/>
      <w14:shadow w14:blurRad="50800" w14:dist="38100" w14:dir="2700000" w14:sx="100000" w14:sy="100000" w14:kx="0" w14:ky="0" w14:algn="tl">
        <w14:srgbClr w14:val="000000">
          <w14:alpha w14:val="60000"/>
        </w14:srgbClr>
      </w14:shadow>
    </w:rPr>
  </w:style>
  <w:style w:type="paragraph" w:customStyle="1" w:styleId="CopertinaServizio4">
    <w:name w:val="Copertina/Servizio4"/>
    <w:basedOn w:val="Normale"/>
    <w:rsid w:val="00541B8B"/>
    <w:pPr>
      <w:spacing w:before="60" w:after="60"/>
      <w:contextualSpacing/>
      <w:jc w:val="center"/>
    </w:pPr>
    <w:rPr>
      <w:b/>
      <w:smallCaps/>
      <w:spacing w:val="20"/>
      <w:sz w:val="24"/>
      <w14:shadow w14:blurRad="50800" w14:dist="38100" w14:dir="2700000" w14:sx="100000" w14:sy="100000" w14:kx="0" w14:ky="0" w14:algn="tl">
        <w14:srgbClr w14:val="000000">
          <w14:alpha w14:val="60000"/>
        </w14:srgbClr>
      </w14:shadow>
    </w:rPr>
  </w:style>
  <w:style w:type="paragraph" w:customStyle="1" w:styleId="CopertinaSottotitolo">
    <w:name w:val="Copertina/Sottotitolo"/>
    <w:basedOn w:val="CopertinaAtto"/>
    <w:rsid w:val="00541B8B"/>
    <w:pPr>
      <w:spacing w:after="60"/>
      <w:contextualSpacing/>
    </w:pPr>
    <w:rPr>
      <w:i/>
      <w:sz w:val="26"/>
    </w:rPr>
  </w:style>
  <w:style w:type="paragraph" w:customStyle="1" w:styleId="COSTITUZIONALITA-indiceautomat">
    <w:name w:val="COSTITUZIONALITA'-indice automat"/>
    <w:rsid w:val="00541B8B"/>
    <w:pPr>
      <w:spacing w:line="300" w:lineRule="atLeast"/>
      <w:ind w:firstLine="284"/>
      <w:jc w:val="both"/>
    </w:pPr>
    <w:rPr>
      <w:rFonts w:ascii="Arial" w:hAnsi="Arial"/>
      <w:sz w:val="22"/>
    </w:rPr>
  </w:style>
  <w:style w:type="paragraph" w:customStyle="1" w:styleId="Data1">
    <w:name w:val="Data1"/>
    <w:basedOn w:val="Normale"/>
    <w:rsid w:val="00541B8B"/>
    <w:pPr>
      <w:spacing w:before="360" w:after="60"/>
      <w:ind w:firstLine="0"/>
      <w:contextualSpacing/>
      <w:jc w:val="left"/>
    </w:pPr>
    <w:rPr>
      <w:sz w:val="28"/>
    </w:rPr>
  </w:style>
  <w:style w:type="paragraph" w:customStyle="1" w:styleId="From">
    <w:name w:val="From"/>
    <w:basedOn w:val="Normale"/>
    <w:rsid w:val="00541B8B"/>
    <w:pPr>
      <w:spacing w:before="360" w:after="60"/>
      <w:ind w:firstLine="0"/>
      <w:contextualSpacing/>
      <w:jc w:val="left"/>
    </w:pPr>
    <w:rPr>
      <w:sz w:val="36"/>
    </w:rPr>
  </w:style>
  <w:style w:type="paragraph" w:customStyle="1" w:styleId="index">
    <w:name w:val="index"/>
    <w:rsid w:val="00541B8B"/>
    <w:pPr>
      <w:spacing w:line="300" w:lineRule="atLeast"/>
      <w:ind w:firstLine="284"/>
      <w:jc w:val="both"/>
    </w:pPr>
    <w:rPr>
      <w:rFonts w:ascii="Arial" w:hAnsi="Arial"/>
      <w:sz w:val="22"/>
    </w:rPr>
  </w:style>
  <w:style w:type="paragraph" w:customStyle="1" w:styleId="indice1">
    <w:name w:val="indice1"/>
    <w:basedOn w:val="Normale"/>
    <w:rsid w:val="00541B8B"/>
    <w:pPr>
      <w:tabs>
        <w:tab w:val="left" w:leader="dot" w:pos="7371"/>
        <w:tab w:val="center" w:pos="7938"/>
        <w:tab w:val="right" w:pos="8505"/>
      </w:tabs>
      <w:spacing w:before="240" w:after="240"/>
      <w:ind w:left="567" w:firstLine="0"/>
      <w:contextualSpacing/>
      <w:jc w:val="left"/>
    </w:pPr>
    <w:rPr>
      <w:rFonts w:ascii="CG Times" w:hAnsi="CG Times"/>
      <w:noProof/>
      <w:sz w:val="24"/>
    </w:rPr>
  </w:style>
  <w:style w:type="paragraph" w:customStyle="1" w:styleId="indice2">
    <w:name w:val="indice2"/>
    <w:basedOn w:val="indice1"/>
    <w:rsid w:val="00541B8B"/>
    <w:pPr>
      <w:spacing w:after="0"/>
      <w:ind w:left="851"/>
    </w:pPr>
  </w:style>
  <w:style w:type="paragraph" w:customStyle="1" w:styleId="indice3">
    <w:name w:val="indice3"/>
    <w:basedOn w:val="indice2"/>
    <w:rsid w:val="00541B8B"/>
    <w:pPr>
      <w:spacing w:before="120"/>
      <w:ind w:left="1276" w:right="-568" w:hanging="426"/>
      <w:jc w:val="both"/>
    </w:pPr>
  </w:style>
  <w:style w:type="paragraph" w:customStyle="1" w:styleId="intestazioneComitatolegislazione">
    <w:name w:val="intestazione Comitato legislazione"/>
    <w:basedOn w:val="Intestazione"/>
    <w:rsid w:val="00541B8B"/>
    <w:pPr>
      <w:pBdr>
        <w:bottom w:val="single" w:sz="6" w:space="1" w:color="auto"/>
      </w:pBdr>
      <w:tabs>
        <w:tab w:val="clear" w:pos="3969"/>
      </w:tabs>
      <w:spacing w:before="60" w:after="60"/>
      <w:ind w:right="56" w:firstLine="0"/>
      <w:contextualSpacing/>
      <w:jc w:val="center"/>
    </w:pPr>
    <w:rPr>
      <w:i/>
    </w:rPr>
  </w:style>
  <w:style w:type="paragraph" w:customStyle="1" w:styleId="intestazionedispari0">
    <w:name w:val="intestazione dispari"/>
    <w:basedOn w:val="Normale"/>
    <w:rsid w:val="00541B8B"/>
    <w:pPr>
      <w:pBdr>
        <w:bottom w:val="single" w:sz="4" w:space="1" w:color="auto"/>
      </w:pBdr>
      <w:spacing w:before="60" w:after="60"/>
      <w:ind w:firstLine="0"/>
      <w:contextualSpacing/>
      <w:jc w:val="right"/>
    </w:pPr>
    <w:rPr>
      <w:smallCaps/>
      <w:sz w:val="18"/>
    </w:rPr>
  </w:style>
  <w:style w:type="paragraph" w:customStyle="1" w:styleId="NumeroattoComitatoLegislazione">
    <w:name w:val="Numero atto (Comitato Legislazione)"/>
    <w:basedOn w:val="Normale"/>
    <w:rsid w:val="00541B8B"/>
    <w:pPr>
      <w:spacing w:before="180" w:after="60"/>
      <w:ind w:left="284" w:right="284" w:firstLine="0"/>
      <w:contextualSpacing/>
      <w:jc w:val="center"/>
    </w:pPr>
    <w:rPr>
      <w:i/>
      <w:sz w:val="28"/>
    </w:rPr>
  </w:style>
  <w:style w:type="paragraph" w:customStyle="1" w:styleId="Pages">
    <w:name w:val="Pages"/>
    <w:basedOn w:val="Normale"/>
    <w:rsid w:val="00541B8B"/>
    <w:pPr>
      <w:spacing w:before="60" w:after="60"/>
      <w:ind w:firstLine="0"/>
      <w:contextualSpacing/>
      <w:jc w:val="left"/>
    </w:pPr>
    <w:rPr>
      <w:sz w:val="28"/>
    </w:rPr>
  </w:style>
  <w:style w:type="paragraph" w:customStyle="1" w:styleId="PDL-IndiceautomaticoSCHEDE">
    <w:name w:val="PDL - Indice automatico SCHEDE"/>
    <w:rsid w:val="00541B8B"/>
    <w:pPr>
      <w:spacing w:line="300" w:lineRule="atLeast"/>
      <w:ind w:firstLine="284"/>
      <w:jc w:val="both"/>
    </w:pPr>
    <w:rPr>
      <w:rFonts w:ascii="Arial" w:hAnsi="Arial"/>
      <w:sz w:val="22"/>
    </w:rPr>
  </w:style>
  <w:style w:type="paragraph" w:customStyle="1" w:styleId="Primaintestazionemessaggio">
    <w:name w:val="Prima intestazione messaggio"/>
    <w:basedOn w:val="Intestazionemessaggio"/>
    <w:next w:val="Intestazionemessaggio"/>
    <w:rsid w:val="00541B8B"/>
    <w:pPr>
      <w:spacing w:before="60"/>
      <w:contextualSpacing/>
    </w:pPr>
  </w:style>
  <w:style w:type="paragraph" w:customStyle="1" w:styleId="SCHEDE-indiceautomatico">
    <w:name w:val="SCHEDE - indice automatico"/>
    <w:rsid w:val="00541B8B"/>
    <w:rPr>
      <w:noProof/>
      <w:sz w:val="3276"/>
    </w:rPr>
  </w:style>
  <w:style w:type="paragraph" w:customStyle="1" w:styleId="SCHEDE-ARTICOLO">
    <w:name w:val="SCHEDE-ARTICOLO"/>
    <w:basedOn w:val="Normale"/>
    <w:rsid w:val="00541B8B"/>
    <w:pPr>
      <w:spacing w:before="60" w:after="60"/>
      <w:ind w:firstLine="0"/>
      <w:contextualSpacing/>
      <w:jc w:val="center"/>
      <w:outlineLvl w:val="2"/>
    </w:pPr>
    <w:rPr>
      <w:b/>
    </w:rPr>
  </w:style>
  <w:style w:type="paragraph" w:customStyle="1" w:styleId="Ultimointestazionemessaggio">
    <w:name w:val="Ultimo intestazione messaggio"/>
    <w:basedOn w:val="Intestazionemessaggio"/>
    <w:next w:val="Normale"/>
    <w:rsid w:val="00541B8B"/>
    <w:pPr>
      <w:pBdr>
        <w:bottom w:val="single" w:sz="6" w:space="19" w:color="auto"/>
        <w:between w:val="single" w:sz="6" w:space="19" w:color="auto"/>
      </w:pBdr>
      <w:tabs>
        <w:tab w:val="left" w:pos="1267"/>
        <w:tab w:val="left" w:pos="2938"/>
      </w:tabs>
      <w:spacing w:before="120" w:after="120"/>
      <w:ind w:left="0" w:firstLine="0"/>
      <w:contextualSpacing/>
    </w:pPr>
  </w:style>
  <w:style w:type="character" w:customStyle="1" w:styleId="CAM-ASS-SEDUTADI-carattere">
    <w:name w:val="CAM-ASS-SEDUTA DI-carattere"/>
    <w:rsid w:val="00541B8B"/>
    <w:rPr>
      <w:rFonts w:ascii="Garamond" w:hAnsi="Garamond"/>
      <w:caps w:val="0"/>
      <w:spacing w:val="20"/>
      <w:w w:val="66"/>
      <w:sz w:val="48"/>
      <w:lang w:val="it-IT" w:eastAsia="it-IT" w:bidi="ar-SA"/>
    </w:rPr>
  </w:style>
  <w:style w:type="paragraph" w:customStyle="1" w:styleId="XVIcopertinaAC">
    <w:name w:val="XVI_copertina_AC"/>
    <w:basedOn w:val="Normale"/>
    <w:rsid w:val="00541B8B"/>
    <w:pPr>
      <w:spacing w:before="60" w:after="60"/>
      <w:ind w:firstLine="0"/>
      <w:contextualSpacing/>
      <w:jc w:val="center"/>
    </w:pPr>
    <w:rPr>
      <w:rFonts w:cs="Arial"/>
      <w:b/>
      <w:color w:val="FFFFFF"/>
      <w:szCs w:val="26"/>
      <w:lang w:eastAsia="en-US"/>
    </w:rPr>
  </w:style>
  <w:style w:type="paragraph" w:customStyle="1" w:styleId="XVICopertinatitolo">
    <w:name w:val="XVI_Copertina_titolo"/>
    <w:basedOn w:val="XV-CopertinaTitolo"/>
    <w:rsid w:val="00541B8B"/>
    <w:pPr>
      <w:spacing w:before="0" w:after="60" w:line="300" w:lineRule="atLeast"/>
      <w:contextualSpacing/>
    </w:pPr>
    <w:rPr>
      <w:b/>
      <w:color w:val="FFFFFF"/>
      <w:spacing w:val="10"/>
      <w:sz w:val="26"/>
      <w:szCs w:val="26"/>
    </w:rPr>
  </w:style>
  <w:style w:type="paragraph" w:customStyle="1" w:styleId="Titolo1sintesi0">
    <w:name w:val="Titolo 1_sintesi"/>
    <w:basedOn w:val="Titolo1"/>
    <w:next w:val="ACsintesi"/>
    <w:rsid w:val="00541B8B"/>
    <w:pPr>
      <w:spacing w:before="0" w:after="120" w:line="240" w:lineRule="atLeast"/>
      <w:ind w:firstLine="284"/>
      <w:contextualSpacing/>
    </w:pPr>
    <w:rPr>
      <w:rFonts w:cs="Arial"/>
      <w:bCs/>
      <w:smallCaps w:val="0"/>
      <w:color w:val="000066"/>
      <w:spacing w:val="15"/>
      <w:kern w:val="0"/>
      <w:sz w:val="32"/>
      <w:szCs w:val="32"/>
    </w:rPr>
  </w:style>
  <w:style w:type="paragraph" w:customStyle="1" w:styleId="ACsintesi">
    <w:name w:val="AC_sintesi"/>
    <w:basedOn w:val="Titolo1"/>
    <w:next w:val="Normalesintesi"/>
    <w:rsid w:val="00541B8B"/>
    <w:pPr>
      <w:spacing w:before="0" w:after="120" w:line="240" w:lineRule="atLeast"/>
      <w:ind w:firstLine="284"/>
      <w:contextualSpacing/>
    </w:pPr>
    <w:rPr>
      <w:rFonts w:cs="Arial"/>
      <w:b w:val="0"/>
      <w:bCs/>
      <w:smallCaps w:val="0"/>
      <w:color w:val="000066"/>
      <w:spacing w:val="15"/>
      <w:kern w:val="0"/>
      <w:sz w:val="32"/>
      <w:szCs w:val="32"/>
    </w:rPr>
  </w:style>
  <w:style w:type="paragraph" w:customStyle="1" w:styleId="Normalesintesi">
    <w:name w:val="Normale_sintesi"/>
    <w:basedOn w:val="Normale"/>
    <w:rsid w:val="00541B8B"/>
    <w:pPr>
      <w:keepNext/>
      <w:keepLines/>
      <w:spacing w:before="60" w:after="60" w:line="240" w:lineRule="atLeast"/>
      <w:ind w:firstLine="0"/>
      <w:contextualSpacing/>
    </w:pPr>
    <w:rPr>
      <w:sz w:val="18"/>
      <w:szCs w:val="18"/>
    </w:rPr>
  </w:style>
  <w:style w:type="paragraph" w:customStyle="1" w:styleId="Titolo2sintesi">
    <w:name w:val="Titolo 2_sintesi"/>
    <w:basedOn w:val="Titolo2"/>
    <w:next w:val="Normalesintesi"/>
    <w:rsid w:val="00541B8B"/>
    <w:pPr>
      <w:spacing w:before="0" w:after="120" w:line="240" w:lineRule="atLeast"/>
      <w:ind w:left="0" w:firstLine="0"/>
      <w:contextualSpacing/>
      <w:jc w:val="left"/>
    </w:pPr>
    <w:rPr>
      <w:rFonts w:cs="Arial"/>
      <w:bCs/>
      <w:iCs/>
      <w:color w:val="000066"/>
      <w:sz w:val="28"/>
      <w:szCs w:val="22"/>
    </w:rPr>
  </w:style>
  <w:style w:type="paragraph" w:customStyle="1" w:styleId="Titolo3sintesi">
    <w:name w:val="Titolo 3_sintesi"/>
    <w:basedOn w:val="Titolo3"/>
    <w:next w:val="Normalesintesi"/>
    <w:rsid w:val="00541B8B"/>
    <w:pPr>
      <w:spacing w:before="60" w:after="60" w:line="240" w:lineRule="atLeast"/>
      <w:ind w:left="284" w:firstLine="0"/>
      <w:contextualSpacing/>
      <w:jc w:val="left"/>
    </w:pPr>
    <w:rPr>
      <w:rFonts w:cs="Arial"/>
      <w:bCs/>
      <w:color w:val="000066"/>
      <w:sz w:val="20"/>
    </w:rPr>
  </w:style>
  <w:style w:type="paragraph" w:customStyle="1" w:styleId="Sottotitolosintesi">
    <w:name w:val="Sottotitolo_sintesi"/>
    <w:basedOn w:val="Normale"/>
    <w:rsid w:val="00541B8B"/>
    <w:pPr>
      <w:spacing w:before="60" w:after="60" w:line="240" w:lineRule="atLeast"/>
      <w:ind w:firstLine="0"/>
      <w:contextualSpacing/>
      <w:jc w:val="center"/>
    </w:pPr>
    <w:rPr>
      <w:b/>
      <w:color w:val="000066"/>
      <w:sz w:val="24"/>
      <w:szCs w:val="24"/>
    </w:rPr>
  </w:style>
  <w:style w:type="paragraph" w:customStyle="1" w:styleId="Normalesintesitab">
    <w:name w:val="Normale_sintesi_tab"/>
    <w:basedOn w:val="Normale"/>
    <w:rsid w:val="00541B8B"/>
    <w:pPr>
      <w:spacing w:before="60" w:after="60" w:line="240" w:lineRule="atLeast"/>
      <w:ind w:firstLine="0"/>
      <w:contextualSpacing/>
    </w:pPr>
    <w:rPr>
      <w:b/>
      <w:i/>
      <w:color w:val="000066"/>
      <w:sz w:val="18"/>
      <w:szCs w:val="24"/>
    </w:rPr>
  </w:style>
  <w:style w:type="paragraph" w:customStyle="1" w:styleId="Normalesintesitab1">
    <w:name w:val="Normale_sintesi_tab_1"/>
    <w:basedOn w:val="Normalesintesitab"/>
    <w:rsid w:val="00541B8B"/>
    <w:pPr>
      <w:spacing w:line="240" w:lineRule="auto"/>
      <w:ind w:left="284"/>
      <w:jc w:val="left"/>
    </w:pPr>
    <w:rPr>
      <w:b w:val="0"/>
      <w:szCs w:val="18"/>
    </w:rPr>
  </w:style>
  <w:style w:type="paragraph" w:customStyle="1" w:styleId="StileNormalesintesi">
    <w:name w:val="Stile Normale_sintesi +"/>
    <w:basedOn w:val="Normalesintesi"/>
    <w:rsid w:val="00541B8B"/>
    <w:rPr>
      <w:bCs/>
      <w:iCs/>
      <w:color w:val="000080"/>
    </w:rPr>
  </w:style>
  <w:style w:type="paragraph" w:customStyle="1" w:styleId="Normalesintesipi">
    <w:name w:val="Normale_sintesi_piè"/>
    <w:basedOn w:val="Normale"/>
    <w:rsid w:val="00541B8B"/>
    <w:pPr>
      <w:pBdr>
        <w:top w:val="single" w:sz="4" w:space="1" w:color="000066"/>
        <w:bottom w:val="single" w:sz="4" w:space="1" w:color="000066"/>
      </w:pBdr>
      <w:tabs>
        <w:tab w:val="center" w:pos="5103"/>
        <w:tab w:val="right" w:pos="10206"/>
      </w:tabs>
      <w:spacing w:before="60" w:after="60" w:line="160" w:lineRule="atLeast"/>
      <w:ind w:firstLine="0"/>
      <w:contextualSpacing/>
    </w:pPr>
    <w:rPr>
      <w:rFonts w:cs="Arial"/>
      <w:i/>
      <w:sz w:val="16"/>
      <w:szCs w:val="16"/>
    </w:rPr>
  </w:style>
  <w:style w:type="paragraph" w:customStyle="1" w:styleId="Normalesintesipi1">
    <w:name w:val="Normale_sintesi_piè1"/>
    <w:basedOn w:val="Normale"/>
    <w:rsid w:val="00541B8B"/>
    <w:pPr>
      <w:pBdr>
        <w:top w:val="single" w:sz="4" w:space="1" w:color="000066"/>
        <w:bottom w:val="single" w:sz="4" w:space="1" w:color="000066"/>
      </w:pBdr>
      <w:tabs>
        <w:tab w:val="center" w:pos="5103"/>
        <w:tab w:val="right" w:pos="10206"/>
      </w:tabs>
      <w:spacing w:before="60" w:after="60" w:line="240" w:lineRule="atLeast"/>
      <w:ind w:firstLine="0"/>
      <w:contextualSpacing/>
    </w:pPr>
    <w:rPr>
      <w:rFonts w:cs="Arial"/>
      <w:b/>
      <w:smallCaps/>
      <w:color w:val="000066"/>
      <w:sz w:val="18"/>
      <w:szCs w:val="18"/>
    </w:rPr>
  </w:style>
  <w:style w:type="paragraph" w:customStyle="1" w:styleId="Normalestileint">
    <w:name w:val="Normale_stile_int"/>
    <w:basedOn w:val="Normale"/>
    <w:rsid w:val="00541B8B"/>
    <w:pPr>
      <w:tabs>
        <w:tab w:val="right" w:pos="9972"/>
      </w:tabs>
      <w:spacing w:before="60" w:after="60" w:line="240" w:lineRule="atLeast"/>
      <w:ind w:firstLine="0"/>
      <w:contextualSpacing/>
      <w:jc w:val="left"/>
    </w:pPr>
    <w:rPr>
      <w:rFonts w:cs="Arial"/>
      <w:b/>
      <w:color w:val="FFFFFF"/>
      <w:sz w:val="20"/>
    </w:rPr>
  </w:style>
  <w:style w:type="paragraph" w:customStyle="1" w:styleId="Normalestilepi2">
    <w:name w:val="Normale_stile_piè2"/>
    <w:basedOn w:val="Normale"/>
    <w:rsid w:val="00541B8B"/>
    <w:pPr>
      <w:pBdr>
        <w:top w:val="single" w:sz="4" w:space="1" w:color="000066"/>
        <w:bottom w:val="single" w:sz="4" w:space="1" w:color="000066"/>
      </w:pBdr>
      <w:tabs>
        <w:tab w:val="center" w:pos="5103"/>
        <w:tab w:val="right" w:pos="10206"/>
      </w:tabs>
      <w:spacing w:before="60" w:after="60" w:line="240" w:lineRule="atLeast"/>
      <w:ind w:firstLine="0"/>
      <w:contextualSpacing/>
    </w:pPr>
    <w:rPr>
      <w:rFonts w:cs="Arial"/>
      <w:color w:val="000066"/>
      <w:sz w:val="18"/>
      <w:szCs w:val="18"/>
    </w:rPr>
  </w:style>
  <w:style w:type="paragraph" w:customStyle="1" w:styleId="Schedearticolato">
    <w:name w:val="Schede_articolato"/>
    <w:basedOn w:val="Normale"/>
    <w:next w:val="Normale"/>
    <w:rsid w:val="00541B8B"/>
    <w:pPr>
      <w:spacing w:before="60" w:after="60"/>
      <w:contextualSpacing/>
    </w:pPr>
    <w:rPr>
      <w:sz w:val="20"/>
    </w:rPr>
  </w:style>
  <w:style w:type="paragraph" w:styleId="Titolo">
    <w:name w:val="Title"/>
    <w:basedOn w:val="Normale"/>
    <w:link w:val="TitoloCarattere"/>
    <w:qFormat/>
    <w:rsid w:val="00541B8B"/>
    <w:pPr>
      <w:spacing w:before="240" w:after="60"/>
      <w:ind w:firstLine="0"/>
      <w:contextualSpacing/>
      <w:jc w:val="center"/>
      <w:outlineLvl w:val="0"/>
    </w:pPr>
    <w:rPr>
      <w:rFonts w:cs="Arial"/>
      <w:b/>
      <w:bCs/>
      <w:kern w:val="28"/>
      <w:sz w:val="32"/>
      <w:szCs w:val="32"/>
    </w:rPr>
  </w:style>
  <w:style w:type="character" w:customStyle="1" w:styleId="TitoloCarattere">
    <w:name w:val="Titolo Carattere"/>
    <w:basedOn w:val="Carpredefinitoparagrafo"/>
    <w:link w:val="Titolo"/>
    <w:rsid w:val="00541B8B"/>
    <w:rPr>
      <w:rFonts w:ascii="Arial" w:hAnsi="Arial" w:cs="Arial"/>
      <w:b/>
      <w:bCs/>
      <w:kern w:val="28"/>
      <w:sz w:val="32"/>
      <w:szCs w:val="32"/>
    </w:rPr>
  </w:style>
  <w:style w:type="paragraph" w:customStyle="1" w:styleId="Osservazioni">
    <w:name w:val="Osservazioni"/>
    <w:basedOn w:val="Normale"/>
    <w:qFormat/>
    <w:rsid w:val="00541B8B"/>
    <w:pPr>
      <w:spacing w:before="60" w:after="60"/>
      <w:contextualSpacing/>
    </w:pPr>
    <w:rPr>
      <w:i/>
    </w:rPr>
  </w:style>
  <w:style w:type="paragraph" w:customStyle="1" w:styleId="Puntoelenco1">
    <w:name w:val="Punto elenco 1°"/>
    <w:basedOn w:val="Paragrafoelenco"/>
    <w:autoRedefine/>
    <w:qFormat/>
    <w:rsid w:val="00541B8B"/>
    <w:pPr>
      <w:numPr>
        <w:numId w:val="20"/>
      </w:numPr>
      <w:tabs>
        <w:tab w:val="left" w:pos="284"/>
      </w:tabs>
      <w:spacing w:before="40" w:line="240" w:lineRule="auto"/>
      <w:contextualSpacing w:val="0"/>
    </w:pPr>
  </w:style>
  <w:style w:type="paragraph" w:customStyle="1" w:styleId="Puntoelenco2">
    <w:name w:val="Punto elenco 2°"/>
    <w:basedOn w:val="Normale"/>
    <w:autoRedefine/>
    <w:qFormat/>
    <w:rsid w:val="00541B8B"/>
    <w:pPr>
      <w:numPr>
        <w:numId w:val="21"/>
      </w:numPr>
      <w:tabs>
        <w:tab w:val="left" w:pos="284"/>
      </w:tabs>
      <w:spacing w:before="40" w:after="60"/>
      <w:contextualSpacing/>
    </w:pPr>
  </w:style>
  <w:style w:type="character" w:customStyle="1" w:styleId="Titolo2Carattere">
    <w:name w:val="Titolo 2 Carattere"/>
    <w:basedOn w:val="Carpredefinitoparagrafo"/>
    <w:link w:val="Titolo2"/>
    <w:rsid w:val="00541B8B"/>
    <w:rPr>
      <w:rFonts w:ascii="Arial" w:hAnsi="Arial"/>
      <w:b/>
      <w:sz w:val="24"/>
    </w:rPr>
  </w:style>
  <w:style w:type="paragraph" w:styleId="Didascalia">
    <w:name w:val="caption"/>
    <w:basedOn w:val="Normale"/>
    <w:next w:val="Normale"/>
    <w:uiPriority w:val="35"/>
    <w:semiHidden/>
    <w:unhideWhenUsed/>
    <w:qFormat/>
    <w:rsid w:val="00541B8B"/>
    <w:pPr>
      <w:spacing w:before="60" w:after="200"/>
      <w:ind w:firstLine="0"/>
      <w:contextualSpacing/>
    </w:pPr>
    <w:rPr>
      <w:b/>
      <w:bCs/>
      <w:color w:val="4F81BD" w:themeColor="accent1"/>
      <w:sz w:val="18"/>
      <w:szCs w:val="18"/>
    </w:rPr>
  </w:style>
  <w:style w:type="character" w:customStyle="1" w:styleId="ParagrafoelencoCarattere">
    <w:name w:val="Paragrafo elenco Carattere"/>
    <w:aliases w:val="Punto elenco 1 Carattere"/>
    <w:basedOn w:val="Carpredefinitoparagrafo"/>
    <w:link w:val="Paragrafoelenco"/>
    <w:uiPriority w:val="34"/>
    <w:locked/>
    <w:rsid w:val="00541B8B"/>
    <w:rPr>
      <w:rFonts w:ascii="Arial" w:hAnsi="Arial"/>
      <w:sz w:val="22"/>
    </w:rPr>
  </w:style>
  <w:style w:type="paragraph" w:styleId="Citazione">
    <w:name w:val="Quote"/>
    <w:basedOn w:val="Normale"/>
    <w:next w:val="Normale"/>
    <w:link w:val="CitazioneCarattere"/>
    <w:uiPriority w:val="29"/>
    <w:qFormat/>
    <w:rsid w:val="00541B8B"/>
    <w:pPr>
      <w:spacing w:before="60" w:after="60"/>
      <w:ind w:firstLine="0"/>
      <w:contextualSpacing/>
    </w:pPr>
    <w:rPr>
      <w:i/>
      <w:iCs/>
      <w:color w:val="000000" w:themeColor="text1"/>
    </w:rPr>
  </w:style>
  <w:style w:type="character" w:customStyle="1" w:styleId="CitazioneCarattere">
    <w:name w:val="Citazione Carattere"/>
    <w:basedOn w:val="Carpredefinitoparagrafo"/>
    <w:link w:val="Citazione"/>
    <w:uiPriority w:val="29"/>
    <w:rsid w:val="00541B8B"/>
    <w:rPr>
      <w:rFonts w:ascii="Arial" w:hAnsi="Arial"/>
      <w:i/>
      <w:iCs/>
      <w:color w:val="000000" w:themeColor="text1"/>
      <w:sz w:val="22"/>
    </w:rPr>
  </w:style>
  <w:style w:type="paragraph" w:styleId="Citazioneintensa">
    <w:name w:val="Intense Quote"/>
    <w:basedOn w:val="Normale"/>
    <w:next w:val="Normale"/>
    <w:link w:val="CitazioneintensaCarattere"/>
    <w:uiPriority w:val="30"/>
    <w:qFormat/>
    <w:rsid w:val="00541B8B"/>
    <w:pPr>
      <w:pBdr>
        <w:bottom w:val="single" w:sz="4" w:space="4" w:color="4F81BD" w:themeColor="accent1"/>
      </w:pBdr>
      <w:spacing w:before="200" w:after="280"/>
      <w:ind w:left="936" w:right="936" w:firstLine="0"/>
      <w:contextualSpacing/>
    </w:pPr>
    <w:rPr>
      <w:b/>
      <w:bCs/>
      <w:i/>
      <w:iCs/>
      <w:color w:val="4F81BD" w:themeColor="accent1"/>
    </w:rPr>
  </w:style>
  <w:style w:type="character" w:customStyle="1" w:styleId="CitazioneintensaCarattere">
    <w:name w:val="Citazione intensa Carattere"/>
    <w:basedOn w:val="Carpredefinitoparagrafo"/>
    <w:link w:val="Citazioneintensa"/>
    <w:uiPriority w:val="30"/>
    <w:rsid w:val="00541B8B"/>
    <w:rPr>
      <w:rFonts w:ascii="Arial" w:hAnsi="Arial"/>
      <w:b/>
      <w:bCs/>
      <w:i/>
      <w:iCs/>
      <w:color w:val="4F81BD" w:themeColor="accent1"/>
      <w:sz w:val="22"/>
    </w:rPr>
  </w:style>
  <w:style w:type="paragraph" w:styleId="Titolosommario">
    <w:name w:val="TOC Heading"/>
    <w:basedOn w:val="Titolo1"/>
    <w:next w:val="Normale"/>
    <w:uiPriority w:val="39"/>
    <w:semiHidden/>
    <w:unhideWhenUsed/>
    <w:qFormat/>
    <w:rsid w:val="00541B8B"/>
    <w:pPr>
      <w:keepLines/>
      <w:spacing w:after="0"/>
      <w:contextualSpacing/>
      <w:jc w:val="both"/>
      <w:outlineLvl w:val="9"/>
    </w:pPr>
    <w:rPr>
      <w:rFonts w:asciiTheme="majorHAnsi" w:eastAsiaTheme="majorEastAsia" w:hAnsiTheme="majorHAnsi" w:cstheme="majorBidi"/>
      <w:bCs/>
      <w:smallCaps w:val="0"/>
      <w:color w:val="365F91" w:themeColor="accent1" w:themeShade="BF"/>
      <w:kern w:val="0"/>
      <w:sz w:val="28"/>
      <w:szCs w:val="28"/>
    </w:rPr>
  </w:style>
  <w:style w:type="character" w:customStyle="1" w:styleId="RidottoCarattere">
    <w:name w:val="Ridotto Carattere"/>
    <w:link w:val="Ridotto"/>
    <w:rsid w:val="00541B8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36189">
      <w:bodyDiv w:val="1"/>
      <w:marLeft w:val="0"/>
      <w:marRight w:val="0"/>
      <w:marTop w:val="0"/>
      <w:marBottom w:val="0"/>
      <w:divBdr>
        <w:top w:val="none" w:sz="0" w:space="0" w:color="auto"/>
        <w:left w:val="none" w:sz="0" w:space="0" w:color="auto"/>
        <w:bottom w:val="none" w:sz="0" w:space="0" w:color="auto"/>
        <w:right w:val="none" w:sz="0" w:space="0" w:color="auto"/>
      </w:divBdr>
    </w:div>
    <w:div w:id="63570009">
      <w:bodyDiv w:val="1"/>
      <w:marLeft w:val="0"/>
      <w:marRight w:val="0"/>
      <w:marTop w:val="0"/>
      <w:marBottom w:val="0"/>
      <w:divBdr>
        <w:top w:val="none" w:sz="0" w:space="0" w:color="auto"/>
        <w:left w:val="none" w:sz="0" w:space="0" w:color="auto"/>
        <w:bottom w:val="none" w:sz="0" w:space="0" w:color="auto"/>
        <w:right w:val="none" w:sz="0" w:space="0" w:color="auto"/>
      </w:divBdr>
    </w:div>
    <w:div w:id="73472960">
      <w:bodyDiv w:val="1"/>
      <w:marLeft w:val="0"/>
      <w:marRight w:val="0"/>
      <w:marTop w:val="0"/>
      <w:marBottom w:val="0"/>
      <w:divBdr>
        <w:top w:val="none" w:sz="0" w:space="0" w:color="auto"/>
        <w:left w:val="none" w:sz="0" w:space="0" w:color="auto"/>
        <w:bottom w:val="none" w:sz="0" w:space="0" w:color="auto"/>
        <w:right w:val="none" w:sz="0" w:space="0" w:color="auto"/>
      </w:divBdr>
      <w:divsChild>
        <w:div w:id="1277635103">
          <w:marLeft w:val="0"/>
          <w:marRight w:val="0"/>
          <w:marTop w:val="0"/>
          <w:marBottom w:val="0"/>
          <w:divBdr>
            <w:top w:val="none" w:sz="0" w:space="0" w:color="auto"/>
            <w:left w:val="none" w:sz="0" w:space="0" w:color="auto"/>
            <w:bottom w:val="none" w:sz="0" w:space="0" w:color="auto"/>
            <w:right w:val="none" w:sz="0" w:space="0" w:color="auto"/>
          </w:divBdr>
          <w:divsChild>
            <w:div w:id="772748894">
              <w:marLeft w:val="0"/>
              <w:marRight w:val="0"/>
              <w:marTop w:val="0"/>
              <w:marBottom w:val="0"/>
              <w:divBdr>
                <w:top w:val="none" w:sz="0" w:space="0" w:color="auto"/>
                <w:left w:val="none" w:sz="0" w:space="0" w:color="auto"/>
                <w:bottom w:val="none" w:sz="0" w:space="0" w:color="auto"/>
                <w:right w:val="none" w:sz="0" w:space="0" w:color="auto"/>
              </w:divBdr>
              <w:divsChild>
                <w:div w:id="56056976">
                  <w:marLeft w:val="0"/>
                  <w:marRight w:val="0"/>
                  <w:marTop w:val="0"/>
                  <w:marBottom w:val="0"/>
                  <w:divBdr>
                    <w:top w:val="none" w:sz="0" w:space="0" w:color="auto"/>
                    <w:left w:val="none" w:sz="0" w:space="0" w:color="auto"/>
                    <w:bottom w:val="none" w:sz="0" w:space="0" w:color="auto"/>
                    <w:right w:val="none" w:sz="0" w:space="0" w:color="auto"/>
                  </w:divBdr>
                  <w:divsChild>
                    <w:div w:id="175828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12562">
      <w:bodyDiv w:val="1"/>
      <w:marLeft w:val="0"/>
      <w:marRight w:val="0"/>
      <w:marTop w:val="0"/>
      <w:marBottom w:val="0"/>
      <w:divBdr>
        <w:top w:val="none" w:sz="0" w:space="0" w:color="auto"/>
        <w:left w:val="none" w:sz="0" w:space="0" w:color="auto"/>
        <w:bottom w:val="none" w:sz="0" w:space="0" w:color="auto"/>
        <w:right w:val="none" w:sz="0" w:space="0" w:color="auto"/>
      </w:divBdr>
    </w:div>
    <w:div w:id="124206202">
      <w:bodyDiv w:val="1"/>
      <w:marLeft w:val="0"/>
      <w:marRight w:val="0"/>
      <w:marTop w:val="0"/>
      <w:marBottom w:val="0"/>
      <w:divBdr>
        <w:top w:val="none" w:sz="0" w:space="0" w:color="auto"/>
        <w:left w:val="none" w:sz="0" w:space="0" w:color="auto"/>
        <w:bottom w:val="none" w:sz="0" w:space="0" w:color="auto"/>
        <w:right w:val="none" w:sz="0" w:space="0" w:color="auto"/>
      </w:divBdr>
    </w:div>
    <w:div w:id="239557666">
      <w:bodyDiv w:val="1"/>
      <w:marLeft w:val="0"/>
      <w:marRight w:val="0"/>
      <w:marTop w:val="0"/>
      <w:marBottom w:val="0"/>
      <w:divBdr>
        <w:top w:val="none" w:sz="0" w:space="0" w:color="auto"/>
        <w:left w:val="none" w:sz="0" w:space="0" w:color="auto"/>
        <w:bottom w:val="none" w:sz="0" w:space="0" w:color="auto"/>
        <w:right w:val="none" w:sz="0" w:space="0" w:color="auto"/>
      </w:divBdr>
    </w:div>
    <w:div w:id="241567210">
      <w:bodyDiv w:val="1"/>
      <w:marLeft w:val="0"/>
      <w:marRight w:val="0"/>
      <w:marTop w:val="0"/>
      <w:marBottom w:val="0"/>
      <w:divBdr>
        <w:top w:val="none" w:sz="0" w:space="0" w:color="auto"/>
        <w:left w:val="none" w:sz="0" w:space="0" w:color="auto"/>
        <w:bottom w:val="none" w:sz="0" w:space="0" w:color="auto"/>
        <w:right w:val="none" w:sz="0" w:space="0" w:color="auto"/>
      </w:divBdr>
    </w:div>
    <w:div w:id="271517843">
      <w:bodyDiv w:val="1"/>
      <w:marLeft w:val="0"/>
      <w:marRight w:val="0"/>
      <w:marTop w:val="0"/>
      <w:marBottom w:val="0"/>
      <w:divBdr>
        <w:top w:val="none" w:sz="0" w:space="0" w:color="auto"/>
        <w:left w:val="none" w:sz="0" w:space="0" w:color="auto"/>
        <w:bottom w:val="none" w:sz="0" w:space="0" w:color="auto"/>
        <w:right w:val="none" w:sz="0" w:space="0" w:color="auto"/>
      </w:divBdr>
    </w:div>
    <w:div w:id="338581516">
      <w:bodyDiv w:val="1"/>
      <w:marLeft w:val="0"/>
      <w:marRight w:val="0"/>
      <w:marTop w:val="0"/>
      <w:marBottom w:val="0"/>
      <w:divBdr>
        <w:top w:val="none" w:sz="0" w:space="0" w:color="auto"/>
        <w:left w:val="none" w:sz="0" w:space="0" w:color="auto"/>
        <w:bottom w:val="none" w:sz="0" w:space="0" w:color="auto"/>
        <w:right w:val="none" w:sz="0" w:space="0" w:color="auto"/>
      </w:divBdr>
    </w:div>
    <w:div w:id="350449783">
      <w:bodyDiv w:val="1"/>
      <w:marLeft w:val="0"/>
      <w:marRight w:val="0"/>
      <w:marTop w:val="0"/>
      <w:marBottom w:val="0"/>
      <w:divBdr>
        <w:top w:val="none" w:sz="0" w:space="0" w:color="auto"/>
        <w:left w:val="none" w:sz="0" w:space="0" w:color="auto"/>
        <w:bottom w:val="none" w:sz="0" w:space="0" w:color="auto"/>
        <w:right w:val="none" w:sz="0" w:space="0" w:color="auto"/>
      </w:divBdr>
    </w:div>
    <w:div w:id="366877866">
      <w:bodyDiv w:val="1"/>
      <w:marLeft w:val="0"/>
      <w:marRight w:val="0"/>
      <w:marTop w:val="0"/>
      <w:marBottom w:val="0"/>
      <w:divBdr>
        <w:top w:val="none" w:sz="0" w:space="0" w:color="auto"/>
        <w:left w:val="none" w:sz="0" w:space="0" w:color="auto"/>
        <w:bottom w:val="none" w:sz="0" w:space="0" w:color="auto"/>
        <w:right w:val="none" w:sz="0" w:space="0" w:color="auto"/>
      </w:divBdr>
    </w:div>
    <w:div w:id="411857865">
      <w:bodyDiv w:val="1"/>
      <w:marLeft w:val="0"/>
      <w:marRight w:val="0"/>
      <w:marTop w:val="0"/>
      <w:marBottom w:val="0"/>
      <w:divBdr>
        <w:top w:val="none" w:sz="0" w:space="0" w:color="auto"/>
        <w:left w:val="none" w:sz="0" w:space="0" w:color="auto"/>
        <w:bottom w:val="none" w:sz="0" w:space="0" w:color="auto"/>
        <w:right w:val="none" w:sz="0" w:space="0" w:color="auto"/>
      </w:divBdr>
    </w:div>
    <w:div w:id="430975253">
      <w:bodyDiv w:val="1"/>
      <w:marLeft w:val="0"/>
      <w:marRight w:val="0"/>
      <w:marTop w:val="0"/>
      <w:marBottom w:val="0"/>
      <w:divBdr>
        <w:top w:val="none" w:sz="0" w:space="0" w:color="auto"/>
        <w:left w:val="none" w:sz="0" w:space="0" w:color="auto"/>
        <w:bottom w:val="none" w:sz="0" w:space="0" w:color="auto"/>
        <w:right w:val="none" w:sz="0" w:space="0" w:color="auto"/>
      </w:divBdr>
    </w:div>
    <w:div w:id="466898059">
      <w:bodyDiv w:val="1"/>
      <w:marLeft w:val="0"/>
      <w:marRight w:val="0"/>
      <w:marTop w:val="0"/>
      <w:marBottom w:val="0"/>
      <w:divBdr>
        <w:top w:val="none" w:sz="0" w:space="0" w:color="auto"/>
        <w:left w:val="none" w:sz="0" w:space="0" w:color="auto"/>
        <w:bottom w:val="none" w:sz="0" w:space="0" w:color="auto"/>
        <w:right w:val="none" w:sz="0" w:space="0" w:color="auto"/>
      </w:divBdr>
    </w:div>
    <w:div w:id="486097885">
      <w:bodyDiv w:val="1"/>
      <w:marLeft w:val="0"/>
      <w:marRight w:val="0"/>
      <w:marTop w:val="0"/>
      <w:marBottom w:val="0"/>
      <w:divBdr>
        <w:top w:val="none" w:sz="0" w:space="0" w:color="auto"/>
        <w:left w:val="none" w:sz="0" w:space="0" w:color="auto"/>
        <w:bottom w:val="none" w:sz="0" w:space="0" w:color="auto"/>
        <w:right w:val="none" w:sz="0" w:space="0" w:color="auto"/>
      </w:divBdr>
    </w:div>
    <w:div w:id="634261057">
      <w:bodyDiv w:val="1"/>
      <w:marLeft w:val="0"/>
      <w:marRight w:val="0"/>
      <w:marTop w:val="0"/>
      <w:marBottom w:val="0"/>
      <w:divBdr>
        <w:top w:val="none" w:sz="0" w:space="0" w:color="auto"/>
        <w:left w:val="none" w:sz="0" w:space="0" w:color="auto"/>
        <w:bottom w:val="none" w:sz="0" w:space="0" w:color="auto"/>
        <w:right w:val="none" w:sz="0" w:space="0" w:color="auto"/>
      </w:divBdr>
    </w:div>
    <w:div w:id="697505872">
      <w:bodyDiv w:val="1"/>
      <w:marLeft w:val="0"/>
      <w:marRight w:val="0"/>
      <w:marTop w:val="0"/>
      <w:marBottom w:val="0"/>
      <w:divBdr>
        <w:top w:val="none" w:sz="0" w:space="0" w:color="auto"/>
        <w:left w:val="none" w:sz="0" w:space="0" w:color="auto"/>
        <w:bottom w:val="none" w:sz="0" w:space="0" w:color="auto"/>
        <w:right w:val="none" w:sz="0" w:space="0" w:color="auto"/>
      </w:divBdr>
    </w:div>
    <w:div w:id="728840918">
      <w:bodyDiv w:val="1"/>
      <w:marLeft w:val="0"/>
      <w:marRight w:val="0"/>
      <w:marTop w:val="0"/>
      <w:marBottom w:val="0"/>
      <w:divBdr>
        <w:top w:val="none" w:sz="0" w:space="0" w:color="auto"/>
        <w:left w:val="none" w:sz="0" w:space="0" w:color="auto"/>
        <w:bottom w:val="none" w:sz="0" w:space="0" w:color="auto"/>
        <w:right w:val="none" w:sz="0" w:space="0" w:color="auto"/>
      </w:divBdr>
    </w:div>
    <w:div w:id="797799404">
      <w:bodyDiv w:val="1"/>
      <w:marLeft w:val="0"/>
      <w:marRight w:val="0"/>
      <w:marTop w:val="0"/>
      <w:marBottom w:val="0"/>
      <w:divBdr>
        <w:top w:val="none" w:sz="0" w:space="0" w:color="auto"/>
        <w:left w:val="none" w:sz="0" w:space="0" w:color="auto"/>
        <w:bottom w:val="none" w:sz="0" w:space="0" w:color="auto"/>
        <w:right w:val="none" w:sz="0" w:space="0" w:color="auto"/>
      </w:divBdr>
    </w:div>
    <w:div w:id="819855734">
      <w:bodyDiv w:val="1"/>
      <w:marLeft w:val="0"/>
      <w:marRight w:val="0"/>
      <w:marTop w:val="0"/>
      <w:marBottom w:val="0"/>
      <w:divBdr>
        <w:top w:val="none" w:sz="0" w:space="0" w:color="auto"/>
        <w:left w:val="none" w:sz="0" w:space="0" w:color="auto"/>
        <w:bottom w:val="none" w:sz="0" w:space="0" w:color="auto"/>
        <w:right w:val="none" w:sz="0" w:space="0" w:color="auto"/>
      </w:divBdr>
    </w:div>
    <w:div w:id="829103191">
      <w:bodyDiv w:val="1"/>
      <w:marLeft w:val="0"/>
      <w:marRight w:val="0"/>
      <w:marTop w:val="0"/>
      <w:marBottom w:val="0"/>
      <w:divBdr>
        <w:top w:val="none" w:sz="0" w:space="0" w:color="auto"/>
        <w:left w:val="none" w:sz="0" w:space="0" w:color="auto"/>
        <w:bottom w:val="none" w:sz="0" w:space="0" w:color="auto"/>
        <w:right w:val="none" w:sz="0" w:space="0" w:color="auto"/>
      </w:divBdr>
    </w:div>
    <w:div w:id="1207137779">
      <w:bodyDiv w:val="1"/>
      <w:marLeft w:val="0"/>
      <w:marRight w:val="0"/>
      <w:marTop w:val="0"/>
      <w:marBottom w:val="0"/>
      <w:divBdr>
        <w:top w:val="none" w:sz="0" w:space="0" w:color="auto"/>
        <w:left w:val="none" w:sz="0" w:space="0" w:color="auto"/>
        <w:bottom w:val="none" w:sz="0" w:space="0" w:color="auto"/>
        <w:right w:val="none" w:sz="0" w:space="0" w:color="auto"/>
      </w:divBdr>
    </w:div>
    <w:div w:id="1246112953">
      <w:bodyDiv w:val="1"/>
      <w:marLeft w:val="0"/>
      <w:marRight w:val="0"/>
      <w:marTop w:val="0"/>
      <w:marBottom w:val="0"/>
      <w:divBdr>
        <w:top w:val="none" w:sz="0" w:space="0" w:color="auto"/>
        <w:left w:val="none" w:sz="0" w:space="0" w:color="auto"/>
        <w:bottom w:val="none" w:sz="0" w:space="0" w:color="auto"/>
        <w:right w:val="none" w:sz="0" w:space="0" w:color="auto"/>
      </w:divBdr>
    </w:div>
    <w:div w:id="1249382177">
      <w:bodyDiv w:val="1"/>
      <w:marLeft w:val="0"/>
      <w:marRight w:val="0"/>
      <w:marTop w:val="0"/>
      <w:marBottom w:val="0"/>
      <w:divBdr>
        <w:top w:val="none" w:sz="0" w:space="0" w:color="auto"/>
        <w:left w:val="none" w:sz="0" w:space="0" w:color="auto"/>
        <w:bottom w:val="none" w:sz="0" w:space="0" w:color="auto"/>
        <w:right w:val="none" w:sz="0" w:space="0" w:color="auto"/>
      </w:divBdr>
    </w:div>
    <w:div w:id="1292326398">
      <w:bodyDiv w:val="1"/>
      <w:marLeft w:val="0"/>
      <w:marRight w:val="0"/>
      <w:marTop w:val="0"/>
      <w:marBottom w:val="0"/>
      <w:divBdr>
        <w:top w:val="none" w:sz="0" w:space="0" w:color="auto"/>
        <w:left w:val="none" w:sz="0" w:space="0" w:color="auto"/>
        <w:bottom w:val="none" w:sz="0" w:space="0" w:color="auto"/>
        <w:right w:val="none" w:sz="0" w:space="0" w:color="auto"/>
      </w:divBdr>
    </w:div>
    <w:div w:id="1504051350">
      <w:bodyDiv w:val="1"/>
      <w:marLeft w:val="0"/>
      <w:marRight w:val="0"/>
      <w:marTop w:val="0"/>
      <w:marBottom w:val="0"/>
      <w:divBdr>
        <w:top w:val="none" w:sz="0" w:space="0" w:color="auto"/>
        <w:left w:val="none" w:sz="0" w:space="0" w:color="auto"/>
        <w:bottom w:val="none" w:sz="0" w:space="0" w:color="auto"/>
        <w:right w:val="none" w:sz="0" w:space="0" w:color="auto"/>
      </w:divBdr>
      <w:divsChild>
        <w:div w:id="74403257">
          <w:marLeft w:val="0"/>
          <w:marRight w:val="0"/>
          <w:marTop w:val="0"/>
          <w:marBottom w:val="0"/>
          <w:divBdr>
            <w:top w:val="none" w:sz="0" w:space="0" w:color="auto"/>
            <w:left w:val="none" w:sz="0" w:space="0" w:color="auto"/>
            <w:bottom w:val="none" w:sz="0" w:space="0" w:color="auto"/>
            <w:right w:val="none" w:sz="0" w:space="0" w:color="auto"/>
          </w:divBdr>
          <w:divsChild>
            <w:div w:id="1777797037">
              <w:marLeft w:val="0"/>
              <w:marRight w:val="0"/>
              <w:marTop w:val="0"/>
              <w:marBottom w:val="0"/>
              <w:divBdr>
                <w:top w:val="none" w:sz="0" w:space="0" w:color="auto"/>
                <w:left w:val="none" w:sz="0" w:space="0" w:color="auto"/>
                <w:bottom w:val="none" w:sz="0" w:space="0" w:color="auto"/>
                <w:right w:val="none" w:sz="0" w:space="0" w:color="auto"/>
              </w:divBdr>
              <w:divsChild>
                <w:div w:id="855000915">
                  <w:marLeft w:val="0"/>
                  <w:marRight w:val="0"/>
                  <w:marTop w:val="0"/>
                  <w:marBottom w:val="0"/>
                  <w:divBdr>
                    <w:top w:val="none" w:sz="0" w:space="0" w:color="auto"/>
                    <w:left w:val="none" w:sz="0" w:space="0" w:color="auto"/>
                    <w:bottom w:val="none" w:sz="0" w:space="0" w:color="auto"/>
                    <w:right w:val="none" w:sz="0" w:space="0" w:color="auto"/>
                  </w:divBdr>
                  <w:divsChild>
                    <w:div w:id="11003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292727">
      <w:bodyDiv w:val="1"/>
      <w:marLeft w:val="0"/>
      <w:marRight w:val="0"/>
      <w:marTop w:val="0"/>
      <w:marBottom w:val="0"/>
      <w:divBdr>
        <w:top w:val="none" w:sz="0" w:space="0" w:color="auto"/>
        <w:left w:val="none" w:sz="0" w:space="0" w:color="auto"/>
        <w:bottom w:val="none" w:sz="0" w:space="0" w:color="auto"/>
        <w:right w:val="none" w:sz="0" w:space="0" w:color="auto"/>
      </w:divBdr>
    </w:div>
    <w:div w:id="1557280098">
      <w:bodyDiv w:val="1"/>
      <w:marLeft w:val="0"/>
      <w:marRight w:val="0"/>
      <w:marTop w:val="0"/>
      <w:marBottom w:val="0"/>
      <w:divBdr>
        <w:top w:val="none" w:sz="0" w:space="0" w:color="auto"/>
        <w:left w:val="none" w:sz="0" w:space="0" w:color="auto"/>
        <w:bottom w:val="none" w:sz="0" w:space="0" w:color="auto"/>
        <w:right w:val="none" w:sz="0" w:space="0" w:color="auto"/>
      </w:divBdr>
    </w:div>
    <w:div w:id="1557810834">
      <w:bodyDiv w:val="1"/>
      <w:marLeft w:val="0"/>
      <w:marRight w:val="0"/>
      <w:marTop w:val="0"/>
      <w:marBottom w:val="0"/>
      <w:divBdr>
        <w:top w:val="none" w:sz="0" w:space="0" w:color="auto"/>
        <w:left w:val="none" w:sz="0" w:space="0" w:color="auto"/>
        <w:bottom w:val="none" w:sz="0" w:space="0" w:color="auto"/>
        <w:right w:val="none" w:sz="0" w:space="0" w:color="auto"/>
      </w:divBdr>
    </w:div>
    <w:div w:id="1653754012">
      <w:bodyDiv w:val="1"/>
      <w:marLeft w:val="0"/>
      <w:marRight w:val="0"/>
      <w:marTop w:val="0"/>
      <w:marBottom w:val="0"/>
      <w:divBdr>
        <w:top w:val="none" w:sz="0" w:space="0" w:color="auto"/>
        <w:left w:val="none" w:sz="0" w:space="0" w:color="auto"/>
        <w:bottom w:val="none" w:sz="0" w:space="0" w:color="auto"/>
        <w:right w:val="none" w:sz="0" w:space="0" w:color="auto"/>
      </w:divBdr>
    </w:div>
    <w:div w:id="1690983266">
      <w:bodyDiv w:val="1"/>
      <w:marLeft w:val="0"/>
      <w:marRight w:val="0"/>
      <w:marTop w:val="0"/>
      <w:marBottom w:val="0"/>
      <w:divBdr>
        <w:top w:val="none" w:sz="0" w:space="0" w:color="auto"/>
        <w:left w:val="none" w:sz="0" w:space="0" w:color="auto"/>
        <w:bottom w:val="none" w:sz="0" w:space="0" w:color="auto"/>
        <w:right w:val="none" w:sz="0" w:space="0" w:color="auto"/>
      </w:divBdr>
    </w:div>
    <w:div w:id="1693217700">
      <w:bodyDiv w:val="1"/>
      <w:marLeft w:val="0"/>
      <w:marRight w:val="0"/>
      <w:marTop w:val="0"/>
      <w:marBottom w:val="0"/>
      <w:divBdr>
        <w:top w:val="none" w:sz="0" w:space="0" w:color="auto"/>
        <w:left w:val="none" w:sz="0" w:space="0" w:color="auto"/>
        <w:bottom w:val="none" w:sz="0" w:space="0" w:color="auto"/>
        <w:right w:val="none" w:sz="0" w:space="0" w:color="auto"/>
      </w:divBdr>
    </w:div>
    <w:div w:id="1796483119">
      <w:bodyDiv w:val="1"/>
      <w:marLeft w:val="0"/>
      <w:marRight w:val="0"/>
      <w:marTop w:val="0"/>
      <w:marBottom w:val="0"/>
      <w:divBdr>
        <w:top w:val="none" w:sz="0" w:space="0" w:color="auto"/>
        <w:left w:val="none" w:sz="0" w:space="0" w:color="auto"/>
        <w:bottom w:val="none" w:sz="0" w:space="0" w:color="auto"/>
        <w:right w:val="none" w:sz="0" w:space="0" w:color="auto"/>
      </w:divBdr>
    </w:div>
    <w:div w:id="1809978052">
      <w:bodyDiv w:val="1"/>
      <w:marLeft w:val="0"/>
      <w:marRight w:val="0"/>
      <w:marTop w:val="0"/>
      <w:marBottom w:val="0"/>
      <w:divBdr>
        <w:top w:val="none" w:sz="0" w:space="0" w:color="auto"/>
        <w:left w:val="none" w:sz="0" w:space="0" w:color="auto"/>
        <w:bottom w:val="none" w:sz="0" w:space="0" w:color="auto"/>
        <w:right w:val="none" w:sz="0" w:space="0" w:color="auto"/>
      </w:divBdr>
    </w:div>
    <w:div w:id="1876499201">
      <w:bodyDiv w:val="1"/>
      <w:marLeft w:val="0"/>
      <w:marRight w:val="0"/>
      <w:marTop w:val="0"/>
      <w:marBottom w:val="0"/>
      <w:divBdr>
        <w:top w:val="none" w:sz="0" w:space="0" w:color="auto"/>
        <w:left w:val="none" w:sz="0" w:space="0" w:color="auto"/>
        <w:bottom w:val="none" w:sz="0" w:space="0" w:color="auto"/>
        <w:right w:val="none" w:sz="0" w:space="0" w:color="auto"/>
      </w:divBdr>
    </w:div>
    <w:div w:id="1883010391">
      <w:bodyDiv w:val="1"/>
      <w:marLeft w:val="0"/>
      <w:marRight w:val="0"/>
      <w:marTop w:val="0"/>
      <w:marBottom w:val="0"/>
      <w:divBdr>
        <w:top w:val="none" w:sz="0" w:space="0" w:color="auto"/>
        <w:left w:val="none" w:sz="0" w:space="0" w:color="auto"/>
        <w:bottom w:val="none" w:sz="0" w:space="0" w:color="auto"/>
        <w:right w:val="none" w:sz="0" w:space="0" w:color="auto"/>
      </w:divBdr>
    </w:div>
    <w:div w:id="1896743104">
      <w:bodyDiv w:val="1"/>
      <w:marLeft w:val="0"/>
      <w:marRight w:val="0"/>
      <w:marTop w:val="0"/>
      <w:marBottom w:val="0"/>
      <w:divBdr>
        <w:top w:val="none" w:sz="0" w:space="0" w:color="auto"/>
        <w:left w:val="none" w:sz="0" w:space="0" w:color="auto"/>
        <w:bottom w:val="none" w:sz="0" w:space="0" w:color="auto"/>
        <w:right w:val="none" w:sz="0" w:space="0" w:color="auto"/>
      </w:divBdr>
    </w:div>
    <w:div w:id="1962878008">
      <w:bodyDiv w:val="1"/>
      <w:marLeft w:val="0"/>
      <w:marRight w:val="0"/>
      <w:marTop w:val="0"/>
      <w:marBottom w:val="0"/>
      <w:divBdr>
        <w:top w:val="none" w:sz="0" w:space="0" w:color="auto"/>
        <w:left w:val="none" w:sz="0" w:space="0" w:color="auto"/>
        <w:bottom w:val="none" w:sz="0" w:space="0" w:color="auto"/>
        <w:right w:val="none" w:sz="0" w:space="0" w:color="auto"/>
      </w:divBdr>
    </w:div>
    <w:div w:id="1985116507">
      <w:bodyDiv w:val="1"/>
      <w:marLeft w:val="0"/>
      <w:marRight w:val="0"/>
      <w:marTop w:val="0"/>
      <w:marBottom w:val="0"/>
      <w:divBdr>
        <w:top w:val="none" w:sz="0" w:space="0" w:color="auto"/>
        <w:left w:val="none" w:sz="0" w:space="0" w:color="auto"/>
        <w:bottom w:val="none" w:sz="0" w:space="0" w:color="auto"/>
        <w:right w:val="none" w:sz="0" w:space="0" w:color="auto"/>
      </w:divBdr>
    </w:div>
    <w:div w:id="206690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Ncs01_pool01_server\vol01\DATI\camera01\STUDI-COMITATO\XVII\RAPPORTO_PINI\0020_AC_3821_delega_legge_europea.docx" TargetMode="External"/><Relationship Id="rId299" Type="http://schemas.openxmlformats.org/officeDocument/2006/relationships/hyperlink" Target="file:///\\Ncs01_pool01_server\vol01\DATI\camera01\STUDI-COMITATO\XVII\RAPPORTO_PINI\0013_AC_3634_delega_unioni_civili.docx" TargetMode="External"/><Relationship Id="rId21" Type="http://schemas.openxmlformats.org/officeDocument/2006/relationships/hyperlink" Target="file:///\\Ncs01_pool01_server\vol01\DATI\camera01\STUDI-COMITATO\XVII\RAPPORTO_PINI\Rapporto_PINI_COMPLETO.docx" TargetMode="External"/><Relationship Id="rId63" Type="http://schemas.openxmlformats.org/officeDocument/2006/relationships/hyperlink" Target="file:///\\Ncs01_pool01_server\vol01\DATI\camera01\STUDI-COMITATO\XVII\RAPPORTO_PINI\Rapporto_PINI_COMPLETO.docx" TargetMode="External"/><Relationship Id="rId159" Type="http://schemas.openxmlformats.org/officeDocument/2006/relationships/hyperlink" Target="http://documenti.camera.it/apps/commonServices/getDocumento.ashx?sezione=bollettini&amp;tipoDoc=comunicato&amp;idlegislatura=17&amp;anno=2016&amp;mese=05&amp;giorno=12&amp;view=filtered_48&amp;idCommissione=48&amp;ancora=data.20160512.com48.bollettino.sede00010.tit00010" TargetMode="External"/><Relationship Id="rId324" Type="http://schemas.openxmlformats.org/officeDocument/2006/relationships/hyperlink" Target="http://documenti.camera.it/apps/commonServices/getDocumento.ashx?sezione=bollettini&amp;tipoDoc=comunicato&amp;idlegislatura=17&amp;anno=2015&amp;mese=12&amp;giorno=01&amp;view=filtered_48&amp;idCommissione=48&amp;ancora=data.20151201.com48.bollettino.sede00010.tit00010" TargetMode="External"/><Relationship Id="rId366" Type="http://schemas.openxmlformats.org/officeDocument/2006/relationships/hyperlink" Target="http://documenti.camera.it/apps/commonServices/getDocumento.ashx?idLegislatura=17&amp;sezione=lavori&amp;tipoDoc=pdl&amp;idDocumento=2039" TargetMode="External"/><Relationship Id="rId170" Type="http://schemas.openxmlformats.org/officeDocument/2006/relationships/hyperlink" Target="file:///\\Ncs01_pool01_server\vol01\DATI\camera01\STUDI-COMITATO\XVII\RAPPORTO_PINI\0022_AC_3886_ILVA.docx" TargetMode="External"/><Relationship Id="rId226" Type="http://schemas.openxmlformats.org/officeDocument/2006/relationships/hyperlink" Target="file:///\\Ncs01_pool01_server\vol01\DATI\camera01\STUDI-COMITATO\XVII\RAPPORTO_PINI\0008_AC_3119_delega_agricoltura.docx" TargetMode="External"/><Relationship Id="rId268"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10.tit00010" TargetMode="External"/><Relationship Id="rId32" Type="http://schemas.openxmlformats.org/officeDocument/2006/relationships/hyperlink" Target="file:///\\Ncs01_pool01_server\vol01\DATI\camera01\STUDI-COMITATO\XVII\RAPPORTO_PINI\Rapporto_PINI_COMPLETO.docx" TargetMode="External"/><Relationship Id="rId74" Type="http://schemas.openxmlformats.org/officeDocument/2006/relationships/hyperlink" Target="file:///\\Ncs01_pool01_server\vol01\DATI\camera01\STUDI-COMITATO\XVII\RAPPORTO_PINI\Rapporto_PINI_COMPLETO.docx" TargetMode="External"/><Relationship Id="rId128" Type="http://schemas.openxmlformats.org/officeDocument/2006/relationships/hyperlink" Target="http://documenti.camera.it/apps/commonServices/getDocumento.ashx?sezione=bollettini&amp;tipoDoc=comunicato&amp;idlegislatura=17&amp;anno=2016&amp;mese=07&amp;giorno=06&amp;view=filtered_48&amp;idCommissione=48&amp;ancora=data.20160706.com48.bollettino.sede00010.tit00020" TargetMode="External"/><Relationship Id="rId335" Type="http://schemas.openxmlformats.org/officeDocument/2006/relationships/header" Target="header28.xml"/><Relationship Id="rId377" Type="http://schemas.openxmlformats.org/officeDocument/2006/relationships/footer" Target="footer47.xml"/><Relationship Id="rId5" Type="http://schemas.openxmlformats.org/officeDocument/2006/relationships/settings" Target="settings.xml"/><Relationship Id="rId181" Type="http://schemas.openxmlformats.org/officeDocument/2006/relationships/header" Target="header12.xml"/><Relationship Id="rId237"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20" TargetMode="External"/><Relationship Id="rId402" Type="http://schemas.openxmlformats.org/officeDocument/2006/relationships/footer" Target="footer57.xml"/><Relationship Id="rId279" Type="http://schemas.openxmlformats.org/officeDocument/2006/relationships/hyperlink" Target="file:///\\Ncs01_pool01_server\vol01\DATI\camera01\STUDI-COMITATO\XVII\RAPPORTO_PINI\0024_AC_3953_missioni_internazionali.docx" TargetMode="External"/><Relationship Id="rId43" Type="http://schemas.openxmlformats.org/officeDocument/2006/relationships/hyperlink" Target="file:///\\Ncs01_pool01_server\vol01\DATI\camera01\STUDI-COMITATO\XVII\RAPPORTO_PINI\Rapporto_PINI_COMPLETO.docx" TargetMode="External"/><Relationship Id="rId139" Type="http://schemas.openxmlformats.org/officeDocument/2006/relationships/hyperlink" Target="file:///\\Ncs01_pool01_server\vol01\DATI\camera01\STUDI-COMITATO\XVII\RAPPORTO_PINI\0002_AC_3446_settore_creditizio.docx" TargetMode="External"/><Relationship Id="rId290" Type="http://schemas.openxmlformats.org/officeDocument/2006/relationships/hyperlink" Target="file:///\\Ncs01_pool01_server\vol01\DATI\camera01\STUDI-COMITATO\XVII\RAPPORTO_PINI\0007_TU_3317_fondo_editoria.docx" TargetMode="External"/><Relationship Id="rId304" Type="http://schemas.openxmlformats.org/officeDocument/2006/relationships/hyperlink" Target="http://documenti.camera.it/apps/commonServices/getDocumento.ashx?sezione=bollettini&amp;tipoDoc=comunicato&amp;idlegislatura=17&amp;anno=2016&amp;mese=06&amp;giorno=08&amp;view=filtered_48&amp;idCommissione=48&amp;ancora=data.20160608.com48.bollettino.sede00010.tit00010" TargetMode="External"/><Relationship Id="rId346" Type="http://schemas.openxmlformats.org/officeDocument/2006/relationships/hyperlink" Target="http://documenti.camera.it/apps/commonServices/getDocumento.ashx?sezione=bollettini&amp;tipoDoc=comunicato&amp;idlegislatura=17&amp;anno=2016&amp;mese=02&amp;giorno=10&amp;view=filtered&amp;idCommissione=48&amp;ancora=data.20160210.com48.bollettino.sede00030.tit00010" TargetMode="External"/><Relationship Id="rId388"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10" TargetMode="External"/><Relationship Id="rId85" Type="http://schemas.openxmlformats.org/officeDocument/2006/relationships/hyperlink" Target="file:///\\Ncs01_pool01_server\vol01\DATI\camera01\STUDI-COMITATO\XVII\RAPPORTO_PINI\0003_AC_3481_ILVA.docx" TargetMode="External"/><Relationship Id="rId150" Type="http://schemas.openxmlformats.org/officeDocument/2006/relationships/hyperlink" Target="file:///\\Ncs01_pool01_server\vol01\DATI\camera01\STUDI-COMITATO\XVII\RAPPORTO_PINI\0010_AC_2039NT_delega_consumo_suolo.docx" TargetMode="External"/><Relationship Id="rId171" Type="http://schemas.openxmlformats.org/officeDocument/2006/relationships/hyperlink" Target="http://documenti.camera.it/apps/commonServices/getDocumento.ashx?sezione=bollettini&amp;tipoDoc=comunicato&amp;idlegislatura=17&amp;anno=2016&amp;mese=06&amp;giorno=29&amp;view=filtered_48&amp;idCommissione=48&amp;ancora=data.20160629.com48.bollettino.sede00010.tit00010" TargetMode="External"/><Relationship Id="rId192" Type="http://schemas.openxmlformats.org/officeDocument/2006/relationships/hyperlink" Target="file:///\\Ncs01_pool01_server\vol01\DATI\camera01\STUDI-COMITATO\XVII\RAPPORTO_PINI\0008_AC_3119_delega_agricoltura.docx" TargetMode="External"/><Relationship Id="rId206" Type="http://schemas.openxmlformats.org/officeDocument/2006/relationships/hyperlink" Target="file:///\\Ncs01_pool01_server\vol01\DATI\camera01\STUDI-COMITATO\XVII\RAPPORTO_PINI\0022_AC_3886_ILVA.docx" TargetMode="External"/><Relationship Id="rId227"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10.tit00010" TargetMode="External"/><Relationship Id="rId413" Type="http://schemas.openxmlformats.org/officeDocument/2006/relationships/hyperlink" Target="http://www.camera.it/leg17/126?tab=&amp;leg=17&amp;idDocumento=3821&amp;sede=&amp;tipo=" TargetMode="External"/><Relationship Id="rId248" Type="http://schemas.openxmlformats.org/officeDocument/2006/relationships/hyperlink" Target="file:///\\Ncs01_pool01_server\vol01\DATI\camera01\STUDI-COMITATO\XVII\RAPPORTO_PINI\0021_AC_3892_banche_in_liquidazione.docx" TargetMode="External"/><Relationship Id="rId269" Type="http://schemas.openxmlformats.org/officeDocument/2006/relationships/hyperlink" Target="file:///\\Ncs01_pool01_server\vol01\DATI\camera01\STUDI-COMITATO\XVII\RAPPORTO_PINI\0009_AC_3606_banche_credito_cooperativo.docx" TargetMode="External"/><Relationship Id="rId12" Type="http://schemas.openxmlformats.org/officeDocument/2006/relationships/header" Target="header2.xml"/><Relationship Id="rId33" Type="http://schemas.openxmlformats.org/officeDocument/2006/relationships/hyperlink" Target="file:///\\Ncs01_pool01_server\vol01\DATI\camera01\STUDI-COMITATO\XVII\RAPPORTO_PINI\Rapporto_PINI_COMPLETO.docx" TargetMode="External"/><Relationship Id="rId108" Type="http://schemas.openxmlformats.org/officeDocument/2006/relationships/hyperlink" Target="http://documenti.camera.it/apps/commonServices/getDocumento.ashx?sezione=bollettini&amp;tipoDoc=comunicato&amp;idlegislatura=17&amp;anno=2016&amp;mese=05&amp;giorno=18&amp;view=filtered_48&amp;idCommissione=48&amp;ancora=data.20160518.com48.bollettino.sede00010.tit00010" TargetMode="External"/><Relationship Id="rId129" Type="http://schemas.openxmlformats.org/officeDocument/2006/relationships/hyperlink" Target="file:///\\Ncs01_pool01_server\vol01\DATI\camera01\STUDI-COMITATO\XVII\RAPPORTO_PINI\0026_AC_3954_processo_telematico.docx" TargetMode="External"/><Relationship Id="rId280" Type="http://schemas.openxmlformats.org/officeDocument/2006/relationships/header" Target="header19.xml"/><Relationship Id="rId315" Type="http://schemas.openxmlformats.org/officeDocument/2006/relationships/footer" Target="footer25.xml"/><Relationship Id="rId336" Type="http://schemas.openxmlformats.org/officeDocument/2006/relationships/footer" Target="footer31.xml"/><Relationship Id="rId357" Type="http://schemas.openxmlformats.org/officeDocument/2006/relationships/footer" Target="footer39.xml"/><Relationship Id="rId54" Type="http://schemas.openxmlformats.org/officeDocument/2006/relationships/hyperlink" Target="file:///\\Ncs01_pool01_server\vol01\DATI\camera01\STUDI-COMITATO\XVII\RAPPORTO_PINI\Rapporto_PINI_COMPLETO.docx" TargetMode="External"/><Relationship Id="rId75" Type="http://schemas.openxmlformats.org/officeDocument/2006/relationships/hyperlink" Target="file:///\\Ncs01_pool01_server\vol01\DATI\camera01\STUDI-COMITATO\XVII\RAPPORTO_PINI\Rapporto_PINI_COMPLETO.docx" TargetMode="External"/><Relationship Id="rId96"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20.tit00010" TargetMode="External"/><Relationship Id="rId140"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10" TargetMode="External"/><Relationship Id="rId161" Type="http://schemas.openxmlformats.org/officeDocument/2006/relationships/hyperlink" Target="http://documenti.camera.it/apps/commonServices/getDocumento.ashx?sezione=bollettini&amp;tipoDoc=comunicato&amp;idlegislatura=17&amp;anno=2016&amp;mese=05&amp;giorno=18&amp;view=filtered_48&amp;idCommissione=48&amp;ancora=data.20160518.com48.bollettino.sede00010.tit00010" TargetMode="External"/><Relationship Id="rId182" Type="http://schemas.openxmlformats.org/officeDocument/2006/relationships/footer" Target="footer14.xml"/><Relationship Id="rId217" Type="http://schemas.openxmlformats.org/officeDocument/2006/relationships/hyperlink" Target="http://documenti.camera.it/apps/commonServices/getDocumento.ashx?sezione=bollettini&amp;tipoDoc=comunicato&amp;idlegislatura=17&amp;anno=2015&amp;mese=11&amp;giorno=11&amp;view=filtered_48&amp;idCommissione=48&amp;ancora=data.20151111.com48.bollettino.sede00010.tit00010" TargetMode="External"/><Relationship Id="rId378" Type="http://schemas.openxmlformats.org/officeDocument/2006/relationships/footer" Target="footer48.xml"/><Relationship Id="rId399" Type="http://schemas.openxmlformats.org/officeDocument/2006/relationships/footer" Target="footer55.xml"/><Relationship Id="rId403" Type="http://schemas.openxmlformats.org/officeDocument/2006/relationships/hyperlink" Target="http://documenti.camera.it/apps/commonServices/getDocumento.ashx?idLegislatura=17&amp;sezione=lavori&amp;tipoDoc=pdl&amp;idDocumento=2617-B" TargetMode="External"/><Relationship Id="rId6" Type="http://schemas.openxmlformats.org/officeDocument/2006/relationships/webSettings" Target="webSettings.xml"/><Relationship Id="rId238" Type="http://schemas.openxmlformats.org/officeDocument/2006/relationships/hyperlink" Target="file:///\\Ncs01_pool01_server\vol01\DATI\camera01\STUDI-COMITATO\XVII\RAPPORTO_PINI\0014_AC_3672_magistratura_onoraria.docx" TargetMode="External"/><Relationship Id="rId259" Type="http://schemas.openxmlformats.org/officeDocument/2006/relationships/footer" Target="footer18.xml"/><Relationship Id="rId424" Type="http://schemas.openxmlformats.org/officeDocument/2006/relationships/hyperlink" Target="http://documenti.camera.it/apps/commonServices/getDocumento.ashx?sezione=bollettini&amp;tipoDoc=comunicato&amp;idlegislatura=17&amp;anno=2016&amp;mese=07&amp;giorno=06&amp;view=filtered_48&amp;idCommissione=48&amp;ancora=data.20160706.com48.bollettino.sede00010.tit00010" TargetMode="External"/><Relationship Id="rId23" Type="http://schemas.openxmlformats.org/officeDocument/2006/relationships/hyperlink" Target="file:///\\Ncs01_pool01_server\vol01\DATI\camera01\STUDI-COMITATO\XVII\RAPPORTO_PINI\Rapporto_PINI_COMPLETO.docx" TargetMode="External"/><Relationship Id="rId119" Type="http://schemas.openxmlformats.org/officeDocument/2006/relationships/hyperlink" Target="file:///\\Ncs01_pool01_server\vol01\DATI\camera01\STUDI-COMITATO\XVII\RAPPORTO_PINI\0021_AC_3892_banche_in_liquidazione.docx" TargetMode="External"/><Relationship Id="rId270"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20.tit00010" TargetMode="External"/><Relationship Id="rId291" Type="http://schemas.openxmlformats.org/officeDocument/2006/relationships/hyperlink" Target="file:///\\Ncs01_pool01_server\vol01\DATI\camera01\STUDI-COMITATO\XVII\RAPPORTO_PINI\0008_AC_3119_delega_agricoltura.docx" TargetMode="External"/><Relationship Id="rId305" Type="http://schemas.openxmlformats.org/officeDocument/2006/relationships/hyperlink" Target="file:///\\Ncs01_pool01_server\vol01\DATI\camera01\STUDI-COMITATO\XVII\RAPPORTO_PINI\0018_AC_3594_delega_contrasto_povert&#224;.docx" TargetMode="External"/><Relationship Id="rId326"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10" TargetMode="External"/><Relationship Id="rId347" Type="http://schemas.openxmlformats.org/officeDocument/2006/relationships/header" Target="header31.xml"/><Relationship Id="rId44" Type="http://schemas.openxmlformats.org/officeDocument/2006/relationships/hyperlink" Target="file:///\\Ncs01_pool01_server\vol01\DATI\camera01\STUDI-COMITATO\XVII\RAPPORTO_PINI\Rapporto_PINI_COMPLETO.docx" TargetMode="External"/><Relationship Id="rId65" Type="http://schemas.openxmlformats.org/officeDocument/2006/relationships/hyperlink" Target="file:///\\Ncs01_pool01_server\vol01\DATI\camera01\STUDI-COMITATO\XVII\RAPPORTO_PINI\Rapporto_PINI_COMPLETO.docx" TargetMode="External"/><Relationship Id="rId86"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20" TargetMode="External"/><Relationship Id="rId130" Type="http://schemas.openxmlformats.org/officeDocument/2006/relationships/header" Target="header7.xml"/><Relationship Id="rId151" Type="http://schemas.openxmlformats.org/officeDocument/2006/relationships/hyperlink" Target="http://documenti.camera.it/apps/commonServices/getDocumento.ashx?sezione=bollettini&amp;tipoDoc=comunicato&amp;idlegislatura=17&amp;anno=2016&amp;mese=03&amp;giorno=03&amp;view=filtered_48&amp;idCommissione=48&amp;ancora=data.20160303.com48.bollettino.sede00010.tit00010" TargetMode="External"/><Relationship Id="rId368" Type="http://schemas.openxmlformats.org/officeDocument/2006/relationships/header" Target="header38.xml"/><Relationship Id="rId389" Type="http://schemas.openxmlformats.org/officeDocument/2006/relationships/header" Target="header45.xml"/><Relationship Id="rId172" Type="http://schemas.openxmlformats.org/officeDocument/2006/relationships/hyperlink" Target="file:///\\Ncs01_pool01_server\vol01\DATI\camera01\STUDI-COMITATO\XVII\RAPPORTO_PINI\0023_AC_1460-B__delega_convenzione_penale.docx" TargetMode="External"/><Relationship Id="rId193"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20.tit00010" TargetMode="External"/><Relationship Id="rId207" Type="http://schemas.openxmlformats.org/officeDocument/2006/relationships/hyperlink" Target="http://documenti.camera.it/apps/commonServices/getDocumento.ashx?sezione=bollettini&amp;tipoDoc=comunicato&amp;idlegislatura=17&amp;anno=2016&amp;mese=07&amp;giorno=05&amp;view=filtered_48&amp;idCommissione=48&amp;ancora=data.20160705.com48.bollettino.sede00010.tit00010" TargetMode="External"/><Relationship Id="rId228" Type="http://schemas.openxmlformats.org/officeDocument/2006/relationships/hyperlink" Target="file:///\\Ncs01_pool01_server\vol01\DATI\camera01\STUDI-COMITATO\XVII\RAPPORTO_PINI\0009_AC_3606_banche_credito_cooperativo.docx" TargetMode="External"/><Relationship Id="rId249"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20" TargetMode="External"/><Relationship Id="rId414" Type="http://schemas.openxmlformats.org/officeDocument/2006/relationships/hyperlink" Target="http://documenti.camera.it/apps/commonServices/getDocumento.ashx?sezione=bollettini&amp;tipoDoc=comunicato&amp;idlegislatura=17&amp;anno=2016&amp;mese=06&amp;giorno=21&amp;view=filtered_48&amp;idCommissione=48&amp;ancora=data.20160621.com48.bollettino.sede00010.tit00010" TargetMode="External"/><Relationship Id="rId13" Type="http://schemas.openxmlformats.org/officeDocument/2006/relationships/footer" Target="footer3.xml"/><Relationship Id="rId109" Type="http://schemas.openxmlformats.org/officeDocument/2006/relationships/hyperlink" Target="file:///\\Ncs01_pool01_server\vol01\DATI\camera01\STUDI-COMITATO\XVII\RAPPORTO_PINI\0016_AC_3822_scuola_ricerca.docx" TargetMode="External"/><Relationship Id="rId260" Type="http://schemas.openxmlformats.org/officeDocument/2006/relationships/footer" Target="footer19.xml"/><Relationship Id="rId281" Type="http://schemas.openxmlformats.org/officeDocument/2006/relationships/header" Target="header20.xml"/><Relationship Id="rId316" Type="http://schemas.openxmlformats.org/officeDocument/2006/relationships/header" Target="header24.xml"/><Relationship Id="rId337" Type="http://schemas.openxmlformats.org/officeDocument/2006/relationships/footer" Target="footer32.xml"/><Relationship Id="rId34" Type="http://schemas.openxmlformats.org/officeDocument/2006/relationships/hyperlink" Target="file:///\\Ncs01_pool01_server\vol01\DATI\camera01\STUDI-COMITATO\XVII\RAPPORTO_PINI\Rapporto_PINI_COMPLETO.docx" TargetMode="External"/><Relationship Id="rId55" Type="http://schemas.openxmlformats.org/officeDocument/2006/relationships/hyperlink" Target="file:///\\Ncs01_pool01_server\vol01\DATI\camera01\STUDI-COMITATO\XVII\RAPPORTO_PINI\Rapporto_PINI_COMPLETO.docx" TargetMode="External"/><Relationship Id="rId76" Type="http://schemas.openxmlformats.org/officeDocument/2006/relationships/hyperlink" Target="file:///\\Ncs01_pool01_server\vol01\DATI\camera01\STUDI-COMITATO\XVII\RAPPORTO_PINI\Rapporto_PINI_COMPLETO.docx" TargetMode="External"/><Relationship Id="rId97" Type="http://schemas.openxmlformats.org/officeDocument/2006/relationships/hyperlink" Target="file:///\\Ncs01_pool01_server\vol01\DATI\camera01\STUDI-COMITATO\XVII\RAPPORTO_PINI\0010_AC_2039NT_delega_consumo_suolo.docx" TargetMode="External"/><Relationship Id="rId120"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20" TargetMode="External"/><Relationship Id="rId141" Type="http://schemas.openxmlformats.org/officeDocument/2006/relationships/hyperlink" Target="file:///\\Ncs01_pool01_server\vol01\DATI\camera01\STUDI-COMITATO\XVII\RAPPORTO_PINI\0003_AC_3481_ILVA.docx" TargetMode="External"/><Relationship Id="rId358" Type="http://schemas.openxmlformats.org/officeDocument/2006/relationships/footer" Target="footer40.xml"/><Relationship Id="rId379" Type="http://schemas.openxmlformats.org/officeDocument/2006/relationships/hyperlink" Target="http://documenti.camera.it/apps/commonServices/getDocumento.ashx?idLegislatura=17&amp;sezione=lavori&amp;tipoDoc=pdl&amp;idDocumento=2212" TargetMode="External"/><Relationship Id="rId7" Type="http://schemas.openxmlformats.org/officeDocument/2006/relationships/footnotes" Target="footnotes.xml"/><Relationship Id="rId162" Type="http://schemas.openxmlformats.org/officeDocument/2006/relationships/hyperlink" Target="file:///\\Ncs01_pool01_server\vol01\DATI\camera01\STUDI-COMITATO\XVII\RAPPORTO_PINI\0016_AC_3822_scuola_ricerca.docx" TargetMode="External"/><Relationship Id="rId183" Type="http://schemas.openxmlformats.org/officeDocument/2006/relationships/hyperlink" Target="http://documenti.camera.it/apps/commonServices/getDocumento.ashx?sezione=bollettini&amp;tipoDoc=comunicato&amp;idlegislatura=17&amp;anno=2015&amp;mese=11&amp;giorno=11&amp;view=filtered_48&amp;idCommissione=48&amp;ancora=data.20151111.com48.bollettino.sede00010.tit00010" TargetMode="External"/><Relationship Id="rId218" Type="http://schemas.openxmlformats.org/officeDocument/2006/relationships/hyperlink" Target="file:///\\Ncs01_pool01_server\vol01\DATI\camera01\STUDI-COMITATO\XVII\RAPPORTO_PINI\0001_AC_3393_missioni_internazionali.docx" TargetMode="External"/><Relationship Id="rId239" Type="http://schemas.openxmlformats.org/officeDocument/2006/relationships/hyperlink" Target="http://documenti.camera.it/apps/commonServices/getDocumento.ashx?sezione=bollettini&amp;tipoDoc=comunicato&amp;idlegislatura=17&amp;anno=2016&amp;mese=05&amp;giorno=12&amp;view=filtered_48&amp;idCommissione=48&amp;ancora=data.20160512.com48.bollettino.sede00010.tit00010" TargetMode="External"/><Relationship Id="rId390" Type="http://schemas.openxmlformats.org/officeDocument/2006/relationships/header" Target="header46.xml"/><Relationship Id="rId404" Type="http://schemas.openxmlformats.org/officeDocument/2006/relationships/hyperlink" Target="http://documenti.camera.it/apps/commonServices/getDocumento.ashx?sezione=bollettini&amp;tipoDoc=comunicato&amp;idlegislatura=17&amp;anno=2016&amp;mese=05&amp;giorno=12&amp;view=filtered_48&amp;idCommissione=48&amp;ancora=data.20160512.com48.bollettino.sede00010.tit00010" TargetMode="External"/><Relationship Id="rId425" Type="http://schemas.openxmlformats.org/officeDocument/2006/relationships/hyperlink" Target="http://www.camera.it/leg17/126?tab=&amp;leg=17&amp;idDocumento=3954&amp;sede=&amp;tipo=" TargetMode="External"/><Relationship Id="rId250" Type="http://schemas.openxmlformats.org/officeDocument/2006/relationships/hyperlink" Target="file:///\\Ncs01_pool01_server\vol01\DATI\camera01\STUDI-COMITATO\XVII\RAPPORTO_PINI\0022_AC_3886_ILVA.docx" TargetMode="External"/><Relationship Id="rId271" Type="http://schemas.openxmlformats.org/officeDocument/2006/relationships/hyperlink" Target="file:///\\Ncs01_pool01_server\vol01\DATI\camera01\STUDI-COMITATO\XVII\RAPPORTO_PINI\0010_AC_2039NT_delega_consumo_suolo.docx" TargetMode="External"/><Relationship Id="rId292"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20.tit00010" TargetMode="External"/><Relationship Id="rId306" Type="http://schemas.openxmlformats.org/officeDocument/2006/relationships/hyperlink" Target="http://documenti.camera.it/apps/commonServices/getDocumento.ashx?sezione=bollettini&amp;tipoDoc=comunicato&amp;idlegislatura=17&amp;anno=2016&amp;mese=06&amp;giorno=08&amp;view=filtered_48&amp;idCommissione=48&amp;ancora=data.20160608.com48.bollettino.sede00010.tit00020" TargetMode="External"/><Relationship Id="rId24" Type="http://schemas.openxmlformats.org/officeDocument/2006/relationships/hyperlink" Target="file:///\\Ncs01_pool01_server\vol01\DATI\camera01\STUDI-COMITATO\XVII\RAPPORTO_PINI\Rapporto_PINI_COMPLETO.docx" TargetMode="External"/><Relationship Id="rId45" Type="http://schemas.openxmlformats.org/officeDocument/2006/relationships/hyperlink" Target="file:///\\Ncs01_pool01_server\vol01\DATI\camera01\STUDI-COMITATO\XVII\RAPPORTO_PINI\Rapporto_PINI_COMPLETO.docx" TargetMode="External"/><Relationship Id="rId66" Type="http://schemas.openxmlformats.org/officeDocument/2006/relationships/hyperlink" Target="file:///\\Ncs01_pool01_server\vol01\DATI\camera01\STUDI-COMITATO\XVII\RAPPORTO_PINI\Rapporto_PINI_COMPLETO.docx" TargetMode="External"/><Relationship Id="rId87" Type="http://schemas.openxmlformats.org/officeDocument/2006/relationships/hyperlink" Target="file:///\\Ncs01_pool01_server\vol01\DATI\camera01\STUDI-COMITATO\XVII\RAPPORTO_PINI\0004_AC_3495_territorio_deleghe_bilancio.docx" TargetMode="External"/><Relationship Id="rId110" Type="http://schemas.openxmlformats.org/officeDocument/2006/relationships/hyperlink" Target="http://documenti.camera.it/apps/commonServices/getDocumento.ashx?sezione=bollettini&amp;tipoDoc=comunicato&amp;idlegislatura=17&amp;anno=2016&amp;mese=05&amp;giorno=25&amp;view=filtered_48&amp;idCommissione=48&amp;ancora=data.20160525.com48.bollettino.sede00010.tit00010" TargetMode="External"/><Relationship Id="rId131" Type="http://schemas.openxmlformats.org/officeDocument/2006/relationships/header" Target="header8.xml"/><Relationship Id="rId327" Type="http://schemas.openxmlformats.org/officeDocument/2006/relationships/hyperlink" Target="http://documenti.camera.it/apps/commonServices/getDocumento.ashx?idLegislatura=17&amp;sezione=lavori&amp;tipoDoc=pdl&amp;idDocumento=3495" TargetMode="External"/><Relationship Id="rId348" Type="http://schemas.openxmlformats.org/officeDocument/2006/relationships/header" Target="header32.xml"/><Relationship Id="rId369" Type="http://schemas.openxmlformats.org/officeDocument/2006/relationships/header" Target="header39.xml"/><Relationship Id="rId152" Type="http://schemas.openxmlformats.org/officeDocument/2006/relationships/hyperlink" Target="file:///\\Ncs01_pool01_server\vol01\DATI\camera01\STUDI-COMITATO\XVII\RAPPORTO_PINI\0011_AC_3540_L_delegaz_UE_2015.docx" TargetMode="External"/><Relationship Id="rId173" Type="http://schemas.openxmlformats.org/officeDocument/2006/relationships/hyperlink" Target="http://documenti.camera.it/apps/commonServices/getDocumento.ashx?sezione=bollettini&amp;tipoDoc=comunicato&amp;idlegislatura=17&amp;anno=2016&amp;mese=07&amp;giorno=05&amp;view=filtered_48&amp;idCommissione=48&amp;ancora=data.20160705.com48.bollettino.sede00010.tit00010" TargetMode="External"/><Relationship Id="rId194" Type="http://schemas.openxmlformats.org/officeDocument/2006/relationships/hyperlink" Target="file:///\\Ncs01_pool01_server\vol01\DATI\camera01\STUDI-COMITATO\XVII\RAPPORTO_PINI\0010_AC_2039NT_delega_consumo_suolo.docx" TargetMode="External"/><Relationship Id="rId208" Type="http://schemas.openxmlformats.org/officeDocument/2006/relationships/hyperlink" Target="file:///\\Ncs01_pool01_server\vol01\DATI\camera01\STUDI-COMITATO\XVII\RAPPORTO_PINI\0024_AC_3953_missioni_internazionali.docx" TargetMode="External"/><Relationship Id="rId229"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20.tit00010" TargetMode="External"/><Relationship Id="rId380" Type="http://schemas.openxmlformats.org/officeDocument/2006/relationships/hyperlink" Target="http://documenti.camera.it/apps/commonServices/getDocumento.ashx?sezione=bollettini&amp;tipoDoc=comunicato&amp;idlegislatura=17&amp;anno=2016&amp;mese=03&amp;giorno=09&amp;view=filtered_48&amp;idCommissione=48&amp;ancora=data.20160309.com48.bollettino.sede00010.tit00010" TargetMode="External"/><Relationship Id="rId415" Type="http://schemas.openxmlformats.org/officeDocument/2006/relationships/hyperlink" Target="http://www.camera.it/leg17/126?tab=&amp;leg=17&amp;idDocumento=3892&amp;sede=&amp;tipo=" TargetMode="External"/><Relationship Id="rId240" Type="http://schemas.openxmlformats.org/officeDocument/2006/relationships/hyperlink" Target="file:///\\Ncs01_pool01_server\vol01\DATI\camera01\STUDI-COMITATO\XVII\RAPPORTO_PINI\0015_AC_2617-B_delega_terzo_settore.docx" TargetMode="External"/><Relationship Id="rId261" Type="http://schemas.openxmlformats.org/officeDocument/2006/relationships/header" Target="header18.xml"/><Relationship Id="rId14" Type="http://schemas.openxmlformats.org/officeDocument/2006/relationships/header" Target="header3.xml"/><Relationship Id="rId35" Type="http://schemas.openxmlformats.org/officeDocument/2006/relationships/hyperlink" Target="file:///\\Ncs01_pool01_server\vol01\DATI\camera01\STUDI-COMITATO\XVII\RAPPORTO_PINI\Rapporto_PINI_COMPLETO.docx" TargetMode="External"/><Relationship Id="rId56" Type="http://schemas.openxmlformats.org/officeDocument/2006/relationships/footer" Target="footer6.xml"/><Relationship Id="rId77" Type="http://schemas.openxmlformats.org/officeDocument/2006/relationships/hyperlink" Target="file:///\\Ncs01_pool01_server\vol01\DATI\camera01\STUDI-COMITATO\XVII\RAPPORTO_PINI\Rapporto_PINI_COMPLETO.docx" TargetMode="External"/><Relationship Id="rId100" Type="http://schemas.openxmlformats.org/officeDocument/2006/relationships/hyperlink" Target="http://documenti.camera.it/apps/commonServices/getDocumento.ashx?sezione=bollettini&amp;tipoDoc=comunicato&amp;idlegislatura=17&amp;anno=2016&amp;mese=03&amp;giorno=09&amp;view=filtered_48&amp;idCommissione=48&amp;ancora=data.20160309.com48.bollettino.sede00010.tit00010" TargetMode="External"/><Relationship Id="rId282" Type="http://schemas.openxmlformats.org/officeDocument/2006/relationships/footer" Target="footer21.xml"/><Relationship Id="rId317" Type="http://schemas.openxmlformats.org/officeDocument/2006/relationships/footer" Target="footer26.xml"/><Relationship Id="rId338" Type="http://schemas.openxmlformats.org/officeDocument/2006/relationships/header" Target="header29.xml"/><Relationship Id="rId359" Type="http://schemas.openxmlformats.org/officeDocument/2006/relationships/header" Target="header36.xml"/><Relationship Id="rId8" Type="http://schemas.openxmlformats.org/officeDocument/2006/relationships/endnotes" Target="endnotes.xml"/><Relationship Id="rId98" Type="http://schemas.openxmlformats.org/officeDocument/2006/relationships/hyperlink" Target="http://documenti.camera.it/apps/commonServices/getDocumento.ashx?sezione=bollettini&amp;tipoDoc=comunicato&amp;idlegislatura=17&amp;anno=2016&amp;mese=03&amp;giorno=03&amp;view=filtered_48&amp;idCommissione=48&amp;ancora=data.20160303.com48.bollettino.sede00010.tit00010" TargetMode="External"/><Relationship Id="rId121" Type="http://schemas.openxmlformats.org/officeDocument/2006/relationships/hyperlink" Target="file:///\\Ncs01_pool01_server\vol01\DATI\camera01\STUDI-COMITATO\XVII\RAPPORTO_PINI\0022_AC_3886_ILVA.docx" TargetMode="External"/><Relationship Id="rId142"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20" TargetMode="External"/><Relationship Id="rId163" Type="http://schemas.openxmlformats.org/officeDocument/2006/relationships/hyperlink" Target="http://documenti.camera.it/apps/commonServices/getDocumento.ashx?sezione=bollettini&amp;tipoDoc=comunicato&amp;idlegislatura=17&amp;anno=2016&amp;mese=06&amp;giorno=08&amp;view=filtered_48&amp;idCommissione=48&amp;ancora=data.20160608.com48.bollettino.sede00010.tit00010" TargetMode="External"/><Relationship Id="rId184" Type="http://schemas.openxmlformats.org/officeDocument/2006/relationships/hyperlink" Target="file:///\\Ncs01_pool01_server\vol01\DATI\camera01\STUDI-COMITATO\XVII\RAPPORTO_PINI\0001_AC_3393_missioni_internazionali.docx" TargetMode="External"/><Relationship Id="rId219"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10" TargetMode="External"/><Relationship Id="rId370" Type="http://schemas.openxmlformats.org/officeDocument/2006/relationships/footer" Target="footer44.xml"/><Relationship Id="rId391" Type="http://schemas.openxmlformats.org/officeDocument/2006/relationships/footer" Target="footer52.xml"/><Relationship Id="rId405" Type="http://schemas.openxmlformats.org/officeDocument/2006/relationships/hyperlink" Target="http://documenti.camera.it/apps/commonServices/getDocumento.ashx?idLegislatura=17&amp;sezione=lavori&amp;tipoDoc=pdl&amp;idDocumento=3822" TargetMode="External"/><Relationship Id="rId426" Type="http://schemas.openxmlformats.org/officeDocument/2006/relationships/hyperlink" Target="http://documenti.camera.it/apps/commonServices/getDocumento.ashx?sezione=bollettini&amp;tipoDoc=comunicato&amp;idlegislatura=17&amp;anno=2016&amp;mese=07&amp;giorno=06&amp;view=filtered_48&amp;idCommissione=48&amp;ancora=data.20160706.com48.bollettino.sede00010.tit00020" TargetMode="External"/><Relationship Id="rId230" Type="http://schemas.openxmlformats.org/officeDocument/2006/relationships/hyperlink" Target="file:///\\Ncs01_pool01_server\vol01\DATI\camera01\STUDI-COMITATO\XVII\RAPPORTO_PINI\0010_AC_2039NT_delega_consumo_suolo.docx" TargetMode="External"/><Relationship Id="rId251" Type="http://schemas.openxmlformats.org/officeDocument/2006/relationships/hyperlink" Target="http://documenti.camera.it/apps/commonServices/getDocumento.ashx?sezione=bollettini&amp;tipoDoc=comunicato&amp;idlegislatura=17&amp;anno=2016&amp;mese=07&amp;giorno=05&amp;view=filtered_48&amp;idCommissione=48&amp;ancora=data.20160705.com48.bollettino.sede00010.tit00010" TargetMode="External"/><Relationship Id="rId25" Type="http://schemas.openxmlformats.org/officeDocument/2006/relationships/hyperlink" Target="file:///\\Ncs01_pool01_server\vol01\DATI\camera01\STUDI-COMITATO\XVII\RAPPORTO_PINI\Rapporto_PINI_COMPLETO.docx" TargetMode="External"/><Relationship Id="rId46" Type="http://schemas.openxmlformats.org/officeDocument/2006/relationships/hyperlink" Target="file:///\\Ncs01_pool01_server\vol01\DATI\camera01\STUDI-COMITATO\XVII\RAPPORTO_PINI\Rapporto_PINI_COMPLETO.docx" TargetMode="External"/><Relationship Id="rId67" Type="http://schemas.openxmlformats.org/officeDocument/2006/relationships/hyperlink" Target="file:///\\Ncs01_pool01_server\vol01\DATI\camera01\STUDI-COMITATO\XVII\RAPPORTO_PINI\Rapporto_PINI_COMPLETO.docx" TargetMode="External"/><Relationship Id="rId272" Type="http://schemas.openxmlformats.org/officeDocument/2006/relationships/hyperlink" Target="http://documenti.camera.it/apps/commonServices/getDocumento.ashx?sezione=bollettini&amp;tipoDoc=comunicato&amp;idlegislatura=17&amp;anno=2016&amp;mese=05&amp;giorno=18&amp;view=filtered_48&amp;idCommissione=48&amp;ancora=data.20160518.com48.bollettino.sede00010.tit00010" TargetMode="External"/><Relationship Id="rId293" Type="http://schemas.openxmlformats.org/officeDocument/2006/relationships/hyperlink" Target="file:///\\Ncs01_pool01_server\vol01\DATI\camera01\STUDI-COMITATO\XVII\RAPPORTO_PINI\0010_AC_2039NT_delega_consumo_suolo.docx" TargetMode="External"/><Relationship Id="rId307" Type="http://schemas.openxmlformats.org/officeDocument/2006/relationships/hyperlink" Target="file:///\\Ncs01_pool01_server\vol01\DATI\camera01\STUDI-COMITATO\XVII\RAPPORTO_PINI\0019_AC_3209_delega_riforma_confidi.docx" TargetMode="External"/><Relationship Id="rId328"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20" TargetMode="External"/><Relationship Id="rId349" Type="http://schemas.openxmlformats.org/officeDocument/2006/relationships/footer" Target="footer36.xml"/><Relationship Id="rId88" Type="http://schemas.openxmlformats.org/officeDocument/2006/relationships/hyperlink" Target="http://documenti.camera.it/apps/commonServices/getDocumento.ashx?sezione=bollettini&amp;tipoDoc=comunicato&amp;idlegislatura=17&amp;anno=2015&amp;mese=12&amp;giorno=22&amp;view=filtered_48&amp;idCommissione=48&amp;ancora=data.20151222.com48.bollettino.sede00010.tit00010" TargetMode="External"/><Relationship Id="rId111" Type="http://schemas.openxmlformats.org/officeDocument/2006/relationships/hyperlink" Target="file:///\\Ncs01_pool01_server\vol01\DATI\camera01\STUDI-COMITATO\XVII\RAPPORTO_PINI\0017_TU_2839_partiti_politici.docx" TargetMode="External"/><Relationship Id="rId132" Type="http://schemas.openxmlformats.org/officeDocument/2006/relationships/footer" Target="footer9.xml"/><Relationship Id="rId153" Type="http://schemas.openxmlformats.org/officeDocument/2006/relationships/hyperlink" Target="http://documenti.camera.it/apps/commonServices/getDocumento.ashx?sezione=bollettini&amp;tipoDoc=comunicato&amp;idlegislatura=17&amp;anno=2016&amp;mese=03&amp;giorno=09&amp;view=filtered_48&amp;idCommissione=48&amp;ancora=data.20160309.com48.bollettino.sede00010.tit00010" TargetMode="External"/><Relationship Id="rId174" Type="http://schemas.openxmlformats.org/officeDocument/2006/relationships/hyperlink" Target="file:///\\Ncs01_pool01_server\vol01\DATI\camera01\STUDI-COMITATO\XVII\RAPPORTO_PINI\0024_AC_3953_missioni_internazionali.docx" TargetMode="External"/><Relationship Id="rId195" Type="http://schemas.openxmlformats.org/officeDocument/2006/relationships/hyperlink" Target="http://documenti.camera.it/apps/commonServices/getDocumento.ashx?sezione=bollettini&amp;tipoDoc=comunicato&amp;idlegislatura=17&amp;anno=2016&amp;mese=03&amp;giorno=09&amp;view=filtered_48&amp;idCommissione=48&amp;ancora=data.20160309.com48.bollettino.sede00010.tit00010" TargetMode="External"/><Relationship Id="rId209" Type="http://schemas.openxmlformats.org/officeDocument/2006/relationships/hyperlink" Target="http://documenti.camera.it/apps/commonServices/getDocumento.ashx?sezione=bollettini&amp;tipoDoc=comunicato&amp;idlegislatura=17&amp;anno=2016&amp;mese=07&amp;giorno=06&amp;view=filtered_48&amp;idCommissione=48&amp;ancora=data.20160706.com48.bollettino.sede00010.tit00010" TargetMode="External"/><Relationship Id="rId360" Type="http://schemas.openxmlformats.org/officeDocument/2006/relationships/footer" Target="footer41.xml"/><Relationship Id="rId381" Type="http://schemas.openxmlformats.org/officeDocument/2006/relationships/header" Target="header42.xml"/><Relationship Id="rId416"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10" TargetMode="External"/><Relationship Id="rId220" Type="http://schemas.openxmlformats.org/officeDocument/2006/relationships/hyperlink" Target="file:///\\Ncs01_pool01_server\vol01\DATI\camera01\STUDI-COMITATO\XVII\RAPPORTO_PINI\0003_AC_3481_ILVA.docx" TargetMode="External"/><Relationship Id="rId241" Type="http://schemas.openxmlformats.org/officeDocument/2006/relationships/hyperlink" Target="http://documenti.camera.it/apps/commonServices/getDocumento.ashx?sezione=bollettini&amp;tipoDoc=comunicato&amp;idlegislatura=17&amp;anno=2016&amp;mese=05&amp;giorno=18&amp;view=filtered_48&amp;idCommissione=48&amp;ancora=data.20160518.com48.bollettino.sede00010.tit00010" TargetMode="External"/><Relationship Id="rId15" Type="http://schemas.openxmlformats.org/officeDocument/2006/relationships/header" Target="header4.xml"/><Relationship Id="rId36" Type="http://schemas.openxmlformats.org/officeDocument/2006/relationships/hyperlink" Target="file:///\\Ncs01_pool01_server\vol01\DATI\camera01\STUDI-COMITATO\XVII\RAPPORTO_PINI\Rapporto_PINI_COMPLETO.docx" TargetMode="External"/><Relationship Id="rId57" Type="http://schemas.openxmlformats.org/officeDocument/2006/relationships/footer" Target="footer7.xml"/><Relationship Id="rId262" Type="http://schemas.openxmlformats.org/officeDocument/2006/relationships/footer" Target="footer20.xml"/><Relationship Id="rId283" Type="http://schemas.openxmlformats.org/officeDocument/2006/relationships/footer" Target="footer22.xml"/><Relationship Id="rId318" Type="http://schemas.openxmlformats.org/officeDocument/2006/relationships/hyperlink" Target="http://documenti.camera.it/apps/commonServices/getDocumento.ashx?idLegislatura=17&amp;sezione=lavori&amp;tipoDoc=pdl&amp;idDocumento=3393" TargetMode="External"/><Relationship Id="rId339" Type="http://schemas.openxmlformats.org/officeDocument/2006/relationships/footer" Target="footer33.xml"/><Relationship Id="rId78" Type="http://schemas.openxmlformats.org/officeDocument/2006/relationships/header" Target="header6.xml"/><Relationship Id="rId99" Type="http://schemas.openxmlformats.org/officeDocument/2006/relationships/hyperlink" Target="file:///\\Ncs01_pool01_server\vol01\DATI\camera01\STUDI-COMITATO\XVII\RAPPORTO_PINI\0011_AC_3540_L_delegaz_UE_2015.docx" TargetMode="External"/><Relationship Id="rId101" Type="http://schemas.openxmlformats.org/officeDocument/2006/relationships/hyperlink" Target="file:///\\Ncs01_pool01_server\vol01\DATI\camera01\STUDI-COMITATO\XVII\RAPPORTO_PINI\0012_AC_2212_acque_pubbliche.docx" TargetMode="External"/><Relationship Id="rId122" Type="http://schemas.openxmlformats.org/officeDocument/2006/relationships/hyperlink" Target="http://documenti.camera.it/apps/commonServices/getDocumento.ashx?sezione=bollettini&amp;tipoDoc=comunicato&amp;idlegislatura=17&amp;anno=2016&amp;mese=06&amp;giorno=29&amp;view=filtered_48&amp;idCommissione=48&amp;ancora=data.20160629.com48.bollettino.sede00010.tit00010" TargetMode="External"/><Relationship Id="rId143" Type="http://schemas.openxmlformats.org/officeDocument/2006/relationships/hyperlink" Target="file:///\\Ncs01_pool01_server\vol01\DATI\camera01\STUDI-COMITATO\XVII\RAPPORTO_PINI\0004_AC_3495_territorio_deleghe_bilancio.docx" TargetMode="External"/><Relationship Id="rId164" Type="http://schemas.openxmlformats.org/officeDocument/2006/relationships/hyperlink" Target="file:///\\Ncs01_pool01_server\vol01\DATI\camera01\STUDI-COMITATO\XVII\RAPPORTO_PINI\0018_AC_3594_delega_contrasto_povert&#224;.docx" TargetMode="External"/><Relationship Id="rId185"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10" TargetMode="External"/><Relationship Id="rId350" Type="http://schemas.openxmlformats.org/officeDocument/2006/relationships/footer" Target="footer37.xml"/><Relationship Id="rId371" Type="http://schemas.openxmlformats.org/officeDocument/2006/relationships/footer" Target="footer45.xml"/><Relationship Id="rId406" Type="http://schemas.openxmlformats.org/officeDocument/2006/relationships/hyperlink" Target="http://documenti.camera.it/apps/commonServices/getDocumento.ashx?sezione=bollettini&amp;tipoDoc=comunicato&amp;idlegislatura=17&amp;anno=2016&amp;mese=05&amp;giorno=18&amp;view=filtered_48&amp;idCommissione=48&amp;ancora=data.20160518.com48.bollettino.sede00010.tit00010" TargetMode="External"/><Relationship Id="rId9" Type="http://schemas.openxmlformats.org/officeDocument/2006/relationships/header" Target="header1.xml"/><Relationship Id="rId210" Type="http://schemas.openxmlformats.org/officeDocument/2006/relationships/hyperlink" Target="file:///\\Ncs01_pool01_server\vol01\DATI\camera01\STUDI-COMITATO\XVII\RAPPORTO_PINI\0025_AC_3926_enti_territoriali.docx" TargetMode="External"/><Relationship Id="rId392" Type="http://schemas.openxmlformats.org/officeDocument/2006/relationships/footer" Target="footer53.xml"/><Relationship Id="rId427" Type="http://schemas.openxmlformats.org/officeDocument/2006/relationships/fontTable" Target="fontTable.xml"/><Relationship Id="rId26" Type="http://schemas.openxmlformats.org/officeDocument/2006/relationships/hyperlink" Target="file:///\\Ncs01_pool01_server\vol01\DATI\camera01\STUDI-COMITATO\XVII\RAPPORTO_PINI\Rapporto_PINI_COMPLETO.docx" TargetMode="External"/><Relationship Id="rId231" Type="http://schemas.openxmlformats.org/officeDocument/2006/relationships/hyperlink" Target="http://documenti.camera.it/apps/commonServices/getDocumento.ashx?sezione=bollettini&amp;tipoDoc=comunicato&amp;idlegislatura=17&amp;anno=2016&amp;mese=03&amp;giorno=03&amp;view=filtered_48&amp;idCommissione=48&amp;ancora=data.20160303.com48.bollettino.sede00010.tit00010" TargetMode="External"/><Relationship Id="rId252" Type="http://schemas.openxmlformats.org/officeDocument/2006/relationships/hyperlink" Target="file:///\\Ncs01_pool01_server\vol01\DATI\camera01\STUDI-COMITATO\XVII\RAPPORTO_PINI\0024_AC_3953_missioni_internazionali.docx" TargetMode="External"/><Relationship Id="rId273" Type="http://schemas.openxmlformats.org/officeDocument/2006/relationships/hyperlink" Target="file:///\\Ncs01_pool01_server\vol01\DATI\camera01\STUDI-COMITATO\XVII\RAPPORTO_PINI\0016_AC_3822_scuola_ricerca.docx" TargetMode="External"/><Relationship Id="rId294" Type="http://schemas.openxmlformats.org/officeDocument/2006/relationships/hyperlink" Target="http://documenti.camera.it/apps/commonServices/getDocumento.ashx?sezione=bollettini&amp;tipoDoc=comunicato&amp;idlegislatura=17&amp;anno=2016&amp;mese=03&amp;giorno=03&amp;view=filtered_48&amp;idCommissione=48&amp;ancora=data.20160303.com48.bollettino.sede00010.tit00010" TargetMode="External"/><Relationship Id="rId308" Type="http://schemas.openxmlformats.org/officeDocument/2006/relationships/hyperlink" Target="http://documenti.camera.it/apps/commonServices/getDocumento.ashx?sezione=bollettini&amp;tipoDoc=comunicato&amp;idlegislatura=17&amp;anno=2016&amp;mese=06&amp;giorno=21&amp;view=filtered_48&amp;idCommissione=48&amp;ancora=data.20160621.com48.bollettino.sede00010.tit00010" TargetMode="External"/><Relationship Id="rId329" Type="http://schemas.openxmlformats.org/officeDocument/2006/relationships/header" Target="header26.xml"/><Relationship Id="rId47" Type="http://schemas.openxmlformats.org/officeDocument/2006/relationships/hyperlink" Target="file:///\\Ncs01_pool01_server\vol01\DATI\camera01\STUDI-COMITATO\XVII\RAPPORTO_PINI\Rapporto_PINI_COMPLETO.docx" TargetMode="External"/><Relationship Id="rId68" Type="http://schemas.openxmlformats.org/officeDocument/2006/relationships/hyperlink" Target="file:///\\Ncs01_pool01_server\vol01\DATI\camera01\STUDI-COMITATO\XVII\RAPPORTO_PINI\Rapporto_PINI_COMPLETO.docx" TargetMode="External"/><Relationship Id="rId89" Type="http://schemas.openxmlformats.org/officeDocument/2006/relationships/hyperlink" Target="file:///\\Ncs01_pool01_server\vol01\DATI\camera01\STUDI-COMITATO\XVII\RAPPORTO_PINI\0005_AC_2953_delega_processo_civile.docx" TargetMode="External"/><Relationship Id="rId112" Type="http://schemas.openxmlformats.org/officeDocument/2006/relationships/hyperlink" Target="http://documenti.camera.it/apps/commonServices/getDocumento.ashx?sezione=bollettini&amp;tipoDoc=comunicato&amp;idlegislatura=17&amp;anno=2016&amp;mese=06&amp;giorno=08&amp;view=filtered_48&amp;idCommissione=48&amp;ancora=data.20160608.com48.bollettino.sede00010.tit00010" TargetMode="External"/><Relationship Id="rId133" Type="http://schemas.openxmlformats.org/officeDocument/2006/relationships/footer" Target="footer10.xml"/><Relationship Id="rId154" Type="http://schemas.openxmlformats.org/officeDocument/2006/relationships/hyperlink" Target="file:///\\Ncs01_pool01_server\vol01\DATI\camera01\STUDI-COMITATO\XVII\RAPPORTO_PINI\0012_AC_2212_acque_pubbliche.docx" TargetMode="External"/><Relationship Id="rId175" Type="http://schemas.openxmlformats.org/officeDocument/2006/relationships/hyperlink" Target="http://documenti.camera.it/apps/commonServices/getDocumento.ashx?sezione=bollettini&amp;tipoDoc=comunicato&amp;idlegislatura=17&amp;anno=2016&amp;mese=07&amp;giorno=06&amp;view=filtered_48&amp;idCommissione=48&amp;ancora=data.20160706.com48.bollettino.sede00010.tit00010" TargetMode="External"/><Relationship Id="rId340" Type="http://schemas.openxmlformats.org/officeDocument/2006/relationships/hyperlink" Target="http://documenti.camera.it/apps/commonServices/getDocumento.ashx?idLegislatura=17&amp;sezione=lavori&amp;tipoDoc=pdl&amp;idDocumento=3513" TargetMode="External"/><Relationship Id="rId361" Type="http://schemas.openxmlformats.org/officeDocument/2006/relationships/hyperlink" Target="http://documenti.camera.it/apps/commonServices/getDocumento.ashx?idLegislatura=17&amp;sezione=lavori&amp;tipoDoc=pdl&amp;idDocumento=3606" TargetMode="External"/><Relationship Id="rId196" Type="http://schemas.openxmlformats.org/officeDocument/2006/relationships/hyperlink" Target="file:///\\Ncs01_pool01_server\vol01\DATI\camera01\STUDI-COMITATO\XVII\RAPPORTO_PINI\0012_AC_2212_acque_pubbliche.docx" TargetMode="External"/><Relationship Id="rId200" Type="http://schemas.openxmlformats.org/officeDocument/2006/relationships/hyperlink" Target="file:///\\Ncs01_pool01_server\vol01\DATI\camera01\STUDI-COMITATO\XVII\RAPPORTO_PINI\0017_TU_2839_partiti_politici.docx" TargetMode="External"/><Relationship Id="rId382" Type="http://schemas.openxmlformats.org/officeDocument/2006/relationships/header" Target="header43.xml"/><Relationship Id="rId417" Type="http://schemas.openxmlformats.org/officeDocument/2006/relationships/hyperlink" Target="http://www.camera.it/leg17/126?tab=&amp;leg=17&amp;idDocumento=3886&amp;sede=&amp;tipo=" TargetMode="External"/><Relationship Id="rId16" Type="http://schemas.openxmlformats.org/officeDocument/2006/relationships/footer" Target="footer4.xml"/><Relationship Id="rId221"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20" TargetMode="External"/><Relationship Id="rId242" Type="http://schemas.openxmlformats.org/officeDocument/2006/relationships/hyperlink" Target="file:///\\Ncs01_pool01_server\vol01\DATI\camera01\STUDI-COMITATO\XVII\RAPPORTO_PINI\0016_AC_3822_scuola_ricerca.docx" TargetMode="External"/><Relationship Id="rId263" Type="http://schemas.openxmlformats.org/officeDocument/2006/relationships/hyperlink" Target="http://documenti.camera.it/apps/commonServices/getDocumento.ashx?sezione=bollettini&amp;tipoDoc=comunicato&amp;idlegislatura=17&amp;anno=2015&amp;mese=11&amp;giorno=11&amp;view=filtered_48&amp;idCommissione=48&amp;ancora=data.20151111.com48.bollettino.sede00010.tit00010" TargetMode="External"/><Relationship Id="rId284" Type="http://schemas.openxmlformats.org/officeDocument/2006/relationships/header" Target="header21.xml"/><Relationship Id="rId319" Type="http://schemas.openxmlformats.org/officeDocument/2006/relationships/hyperlink" Target="http://documenti.camera.it/apps/commonServices/getDocumento.ashx?sezione=bollettini&amp;tipoDoc=comunicato&amp;idlegislatura=17&amp;anno=2015&amp;mese=11&amp;giorno=11&amp;view=filtered_48&amp;idCommissione=48&amp;ancora=data.20151111.com48.bollettino.sede00010.tit00010" TargetMode="External"/><Relationship Id="rId37" Type="http://schemas.openxmlformats.org/officeDocument/2006/relationships/hyperlink" Target="file:///\\Ncs01_pool01_server\vol01\DATI\camera01\STUDI-COMITATO\XVII\RAPPORTO_PINI\Rapporto_PINI_COMPLETO.docx" TargetMode="External"/><Relationship Id="rId58" Type="http://schemas.openxmlformats.org/officeDocument/2006/relationships/header" Target="header5.xml"/><Relationship Id="rId79" Type="http://schemas.openxmlformats.org/officeDocument/2006/relationships/footer" Target="footer8.xml"/><Relationship Id="rId102"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10" TargetMode="External"/><Relationship Id="rId123" Type="http://schemas.openxmlformats.org/officeDocument/2006/relationships/hyperlink" Target="file:///\\Ncs01_pool01_server\vol01\DATI\camera01\STUDI-COMITATO\XVII\RAPPORTO_PINI\0023_AC_1460-B__delega_convenzione_penale.docx" TargetMode="External"/><Relationship Id="rId144" Type="http://schemas.openxmlformats.org/officeDocument/2006/relationships/hyperlink" Target="http://documenti.camera.it/apps/commonServices/getDocumento.ashx?sezione=bollettini&amp;tipoDoc=comunicato&amp;idlegislatura=17&amp;anno=2016&amp;mese=01&amp;giorno=14&amp;view=filtered&amp;idCommissione=48&amp;ancora=data.20160114.com48.bollettino.sede00010.tit00010" TargetMode="External"/><Relationship Id="rId330" Type="http://schemas.openxmlformats.org/officeDocument/2006/relationships/footer" Target="footer29.xml"/><Relationship Id="rId90" Type="http://schemas.openxmlformats.org/officeDocument/2006/relationships/hyperlink" Target="http://documenti.camera.it/apps/commonServices/getDocumento.ashx?sezione=bollettini&amp;tipoDoc=comunicato&amp;idlegislatura=17&amp;anno=2016&amp;mese=01&amp;giorno=14&amp;view=filtered&amp;idCommissione=48&amp;ancora=data.20160114.com48.bollettino.sede00010.tit00010" TargetMode="External"/><Relationship Id="rId165" Type="http://schemas.openxmlformats.org/officeDocument/2006/relationships/hyperlink" Target="http://documenti.camera.it/apps/commonServices/getDocumento.ashx?sezione=bollettini&amp;tipoDoc=comunicato&amp;idlegislatura=17&amp;anno=2016&amp;mese=06&amp;giorno=21&amp;view=filtered_48&amp;idCommissione=48&amp;ancora=data.20160621.com48.bollettino.sede00010.tit00010" TargetMode="External"/><Relationship Id="rId186" Type="http://schemas.openxmlformats.org/officeDocument/2006/relationships/hyperlink" Target="file:///\\Ncs01_pool01_server\vol01\DATI\camera01\STUDI-COMITATO\XVII\RAPPORTO_PINI\0003_AC_3481_ILVA.docx" TargetMode="External"/><Relationship Id="rId351" Type="http://schemas.openxmlformats.org/officeDocument/2006/relationships/header" Target="header33.xml"/><Relationship Id="rId372" Type="http://schemas.openxmlformats.org/officeDocument/2006/relationships/header" Target="header40.xml"/><Relationship Id="rId393" Type="http://schemas.openxmlformats.org/officeDocument/2006/relationships/header" Target="header47.xml"/><Relationship Id="rId407" Type="http://schemas.openxmlformats.org/officeDocument/2006/relationships/hyperlink" Target="http://documenti.camera.it/apps/commonServices/getDocumento.ashx?idLegislatura=17&amp;sezione=lavori&amp;tipoDoc=pdl&amp;idDocumento=2839" TargetMode="External"/><Relationship Id="rId428" Type="http://schemas.openxmlformats.org/officeDocument/2006/relationships/theme" Target="theme/theme1.xml"/><Relationship Id="rId211" Type="http://schemas.openxmlformats.org/officeDocument/2006/relationships/header" Target="header13.xml"/><Relationship Id="rId232" Type="http://schemas.openxmlformats.org/officeDocument/2006/relationships/hyperlink" Target="file:///\\Ncs01_pool01_server\vol01\DATI\camera01\STUDI-COMITATO\XVII\RAPPORTO_PINI\0011_AC_3540_L_delegaz_UE_2015.docx" TargetMode="External"/><Relationship Id="rId253" Type="http://schemas.openxmlformats.org/officeDocument/2006/relationships/hyperlink" Target="http://documenti.camera.it/apps/commonServices/getDocumento.ashx?sezione=bollettini&amp;tipoDoc=comunicato&amp;idlegislatura=17&amp;anno=2016&amp;mese=07&amp;giorno=06&amp;view=filtered_48&amp;idCommissione=48&amp;ancora=data.20160706.com48.bollettino.sede00010.tit00010" TargetMode="External"/><Relationship Id="rId274" Type="http://schemas.openxmlformats.org/officeDocument/2006/relationships/hyperlink" Target="http://documenti.camera.it/apps/commonServices/getDocumento.ashx?sezione=bollettini&amp;tipoDoc=comunicato&amp;idlegislatura=17&amp;anno=2016&amp;mese=06&amp;giorno=21&amp;view=filtered_48&amp;idCommissione=48&amp;ancora=data.20160621.com48.bollettino.sede00010.tit00010" TargetMode="External"/><Relationship Id="rId295" Type="http://schemas.openxmlformats.org/officeDocument/2006/relationships/hyperlink" Target="file:///\\Ncs01_pool01_server\vol01\DATI\camera01\STUDI-COMITATO\XVII\RAPPORTO_PINI\0011_AC_3540_L_delegaz_UE_2015.docx" TargetMode="External"/><Relationship Id="rId309" Type="http://schemas.openxmlformats.org/officeDocument/2006/relationships/hyperlink" Target="file:///\\Ncs01_pool01_server\vol01\DATI\camera01\STUDI-COMITATO\XVII\RAPPORTO_PINI\0020_AC_3821_delega_legge_europea.docx" TargetMode="External"/><Relationship Id="rId27" Type="http://schemas.openxmlformats.org/officeDocument/2006/relationships/hyperlink" Target="file:///\\Ncs01_pool01_server\vol01\DATI\camera01\STUDI-COMITATO\XVII\RAPPORTO_PINI\Rapporto_PINI_COMPLETO.docx" TargetMode="External"/><Relationship Id="rId48" Type="http://schemas.openxmlformats.org/officeDocument/2006/relationships/hyperlink" Target="file:///\\Ncs01_pool01_server\vol01\DATI\camera01\STUDI-COMITATO\XVII\RAPPORTO_PINI\Rapporto_PINI_COMPLETO.docx" TargetMode="External"/><Relationship Id="rId69" Type="http://schemas.openxmlformats.org/officeDocument/2006/relationships/hyperlink" Target="file:///\\Ncs01_pool01_server\vol01\DATI\camera01\STUDI-COMITATO\XVII\RAPPORTO_PINI\Rapporto_PINI_COMPLETO.docx" TargetMode="External"/><Relationship Id="rId113" Type="http://schemas.openxmlformats.org/officeDocument/2006/relationships/hyperlink" Target="file:///\\Ncs01_pool01_server\vol01\DATI\camera01\STUDI-COMITATO\XVII\RAPPORTO_PINI\0018_AC_3594_delega_contrasto_povert&#224;.docx" TargetMode="External"/><Relationship Id="rId134" Type="http://schemas.openxmlformats.org/officeDocument/2006/relationships/header" Target="header9.xml"/><Relationship Id="rId320" Type="http://schemas.openxmlformats.org/officeDocument/2006/relationships/header" Target="header25.xml"/><Relationship Id="rId80" Type="http://schemas.openxmlformats.org/officeDocument/2006/relationships/hyperlink" Target="http://documenti.camera.it/apps/commonServices/getDocumento.ashx?sezione=bollettini&amp;tipoDoc=comunicato&amp;idlegislatura=17&amp;anno=2015&amp;mese=11&amp;giorno=11&amp;view=filtered_48&amp;idCommissione=48&amp;ancora=data.20151111.com48.bollettino.sede00010.tit00010" TargetMode="External"/><Relationship Id="rId155"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10" TargetMode="External"/><Relationship Id="rId176" Type="http://schemas.openxmlformats.org/officeDocument/2006/relationships/hyperlink" Target="file:///\\Ncs01_pool01_server\vol01\DATI\camera01\STUDI-COMITATO\XVII\RAPPORTO_PINI\0025_AC_3926_enti_territoriali.docx" TargetMode="External"/><Relationship Id="rId197"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10" TargetMode="External"/><Relationship Id="rId341" Type="http://schemas.openxmlformats.org/officeDocument/2006/relationships/hyperlink" Target="http://documenti.camera.it/apps/commonServices/getDocumento.ashx?sezione=bollettini&amp;tipoDoc=comunicato&amp;idlegislatura=17&amp;anno=2016&amp;mese=01&amp;giorno=14&amp;view=filtered&amp;idCommissione=48&amp;ancora=data.20160114.com48.bollettino.sede00010.tit00010" TargetMode="External"/><Relationship Id="rId362"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10.tit00010" TargetMode="External"/><Relationship Id="rId383" Type="http://schemas.openxmlformats.org/officeDocument/2006/relationships/footer" Target="footer49.xml"/><Relationship Id="rId418"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20" TargetMode="External"/><Relationship Id="rId201" Type="http://schemas.openxmlformats.org/officeDocument/2006/relationships/hyperlink" Target="http://documenti.camera.it/apps/commonServices/getDocumento.ashx?sezione=bollettini&amp;tipoDoc=comunicato&amp;idlegislatura=17&amp;anno=2016&amp;mese=06&amp;giorno=21&amp;view=filtered_48&amp;idCommissione=48&amp;ancora=data.20160621.com48.bollettino.sede00010.tit00010" TargetMode="External"/><Relationship Id="rId222" Type="http://schemas.openxmlformats.org/officeDocument/2006/relationships/hyperlink" Target="file:///\\Ncs01_pool01_server\vol01\DATI\camera01\STUDI-COMITATO\XVII\RAPPORTO_PINI\0004_AC_3495_territorio_deleghe_bilancio.docx" TargetMode="External"/><Relationship Id="rId243" Type="http://schemas.openxmlformats.org/officeDocument/2006/relationships/hyperlink" Target="http://documenti.camera.it/apps/commonServices/getDocumento.ashx?sezione=bollettini&amp;tipoDoc=comunicato&amp;idlegislatura=17&amp;anno=2016&amp;mese=05&amp;giorno=25&amp;view=filtered_48&amp;idCommissione=48&amp;ancora=data.20160525.com48.bollettino.sede00010.tit00010" TargetMode="External"/><Relationship Id="rId264" Type="http://schemas.openxmlformats.org/officeDocument/2006/relationships/hyperlink" Target="file:///\\Ncs01_pool01_server\vol01\DATI\camera01\STUDI-COMITATO\XVII\RAPPORTO_PINI\0001_AC_3393_missioni_internazionali.docx" TargetMode="External"/><Relationship Id="rId285" Type="http://schemas.openxmlformats.org/officeDocument/2006/relationships/footer" Target="footer23.xml"/><Relationship Id="rId17" Type="http://schemas.openxmlformats.org/officeDocument/2006/relationships/footer" Target="footer5.xml"/><Relationship Id="rId38" Type="http://schemas.openxmlformats.org/officeDocument/2006/relationships/hyperlink" Target="file:///\\Ncs01_pool01_server\vol01\DATI\camera01\STUDI-COMITATO\XVII\RAPPORTO_PINI\Rapporto_PINI_COMPLETO.docx" TargetMode="External"/><Relationship Id="rId59" Type="http://schemas.openxmlformats.org/officeDocument/2006/relationships/hyperlink" Target="file:///\\Ncs01_pool01_server\vol01\DATI\camera01\STUDI-COMITATO\XVII\RAPPORTO_PINI\Rapporto_PINI_COMPLETO.docx" TargetMode="External"/><Relationship Id="rId103" Type="http://schemas.openxmlformats.org/officeDocument/2006/relationships/hyperlink" Target="file:///\\Ncs01_pool01_server\vol01\DATI\camera01\STUDI-COMITATO\XVII\RAPPORTO_PINI\0013_AC_3634_delega_unioni_civili.docx" TargetMode="External"/><Relationship Id="rId124" Type="http://schemas.openxmlformats.org/officeDocument/2006/relationships/hyperlink" Target="http://documenti.camera.it/apps/commonServices/getDocumento.ashx?sezione=bollettini&amp;tipoDoc=comunicato&amp;idlegislatura=17&amp;anno=2016&amp;mese=07&amp;giorno=05&amp;view=filtered_48&amp;idCommissione=48&amp;ancora=data.20160705.com48.bollettino.sede00010.tit00010" TargetMode="External"/><Relationship Id="rId310" Type="http://schemas.openxmlformats.org/officeDocument/2006/relationships/hyperlink" Target="http://documenti.camera.it/apps/commonServices/getDocumento.ashx?sezione=bollettini&amp;tipoDoc=comunicato&amp;idlegislatura=17&amp;anno=2016&amp;mese=06&amp;giorno=29&amp;view=filtered_48&amp;idCommissione=48&amp;ancora=data.20160629.com48.bollettino.sede00010.tit00010" TargetMode="External"/><Relationship Id="rId70" Type="http://schemas.openxmlformats.org/officeDocument/2006/relationships/hyperlink" Target="file:///\\Ncs01_pool01_server\vol01\DATI\camera01\STUDI-COMITATO\XVII\RAPPORTO_PINI\Rapporto_PINI_COMPLETO.docx" TargetMode="External"/><Relationship Id="rId91" Type="http://schemas.openxmlformats.org/officeDocument/2006/relationships/hyperlink" Target="file:///\\Ncs01_pool01_server\vol01\DATI\camera01\STUDI-COMITATO\XVII\RAPPORTO_PINI\0006_AC_3513_milleproroghe.docx" TargetMode="External"/><Relationship Id="rId145" Type="http://schemas.openxmlformats.org/officeDocument/2006/relationships/hyperlink" Target="file:///\\Ncs01_pool01_server\vol01\DATI\camera01\STUDI-COMITATO\XVII\RAPPORTO_PINI\0006_AC_3513_milleproroghe.docx" TargetMode="External"/><Relationship Id="rId166" Type="http://schemas.openxmlformats.org/officeDocument/2006/relationships/hyperlink" Target="file:///\\Ncs01_pool01_server\vol01\DATI\camera01\STUDI-COMITATO\XVII\RAPPORTO_PINI\0020_AC_3821_delega_legge_europea.docx" TargetMode="External"/><Relationship Id="rId187"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20" TargetMode="External"/><Relationship Id="rId331" Type="http://schemas.openxmlformats.org/officeDocument/2006/relationships/footer" Target="footer30.xml"/><Relationship Id="rId352" Type="http://schemas.openxmlformats.org/officeDocument/2006/relationships/footer" Target="footer38.xml"/><Relationship Id="rId373" Type="http://schemas.openxmlformats.org/officeDocument/2006/relationships/footer" Target="footer46.xml"/><Relationship Id="rId394" Type="http://schemas.openxmlformats.org/officeDocument/2006/relationships/footer" Target="footer54.xml"/><Relationship Id="rId408" Type="http://schemas.openxmlformats.org/officeDocument/2006/relationships/hyperlink" Target="http://documenti.camera.it/apps/commonServices/getDocumento.ashx?sezione=bollettini&amp;tipoDoc=comunicato&amp;idlegislatura=17&amp;anno=2016&amp;mese=05&amp;giorno=25&amp;view=filtered_48&amp;idCommissione=48&amp;ancora=data.20160525.com48.bollettino.sede00010.tit00010" TargetMode="External"/><Relationship Id="rId1" Type="http://schemas.openxmlformats.org/officeDocument/2006/relationships/customXml" Target="../customXml/item1.xml"/><Relationship Id="rId212" Type="http://schemas.openxmlformats.org/officeDocument/2006/relationships/header" Target="header14.xml"/><Relationship Id="rId233" Type="http://schemas.openxmlformats.org/officeDocument/2006/relationships/hyperlink" Target="http://documenti.camera.it/apps/commonServices/getDocumento.ashx?sezione=bollettini&amp;tipoDoc=comunicato&amp;idlegislatura=17&amp;anno=2016&amp;mese=03&amp;giorno=09&amp;view=filtered_48&amp;idCommissione=48&amp;ancora=data.20160309.com48.bollettino.sede00010.tit00010" TargetMode="External"/><Relationship Id="rId254" Type="http://schemas.openxmlformats.org/officeDocument/2006/relationships/hyperlink" Target="file:///\\Ncs01_pool01_server\vol01\DATI\camera01\STUDI-COMITATO\XVII\RAPPORTO_PINI\0025_AC_3926_enti_territoriali.docx" TargetMode="External"/><Relationship Id="rId28" Type="http://schemas.openxmlformats.org/officeDocument/2006/relationships/hyperlink" Target="file:///\\Ncs01_pool01_server\vol01\DATI\camera01\STUDI-COMITATO\XVII\RAPPORTO_PINI\Rapporto_PINI_COMPLETO.docx" TargetMode="External"/><Relationship Id="rId49" Type="http://schemas.openxmlformats.org/officeDocument/2006/relationships/hyperlink" Target="file:///\\Ncs01_pool01_server\vol01\DATI\camera01\STUDI-COMITATO\XVII\RAPPORTO_PINI\Rapporto_PINI_COMPLETO.docx" TargetMode="External"/><Relationship Id="rId114" Type="http://schemas.openxmlformats.org/officeDocument/2006/relationships/hyperlink" Target="http://documenti.camera.it/apps/commonServices/getDocumento.ashx?sezione=bollettini&amp;tipoDoc=comunicato&amp;idlegislatura=17&amp;anno=2016&amp;mese=06&amp;giorno=08&amp;view=filtered_48&amp;idCommissione=48&amp;ancora=data.20160608.com48.bollettino.sede00010.tit00020" TargetMode="External"/><Relationship Id="rId275" Type="http://schemas.openxmlformats.org/officeDocument/2006/relationships/hyperlink" Target="file:///\\Ncs01_pool01_server\vol01\DATI\camera01\STUDI-COMITATO\XVII\RAPPORTO_PINI\0020_AC_3821_delega_legge_europea.docx" TargetMode="External"/><Relationship Id="rId296" Type="http://schemas.openxmlformats.org/officeDocument/2006/relationships/hyperlink" Target="http://documenti.camera.it/apps/commonServices/getDocumento.ashx?sezione=bollettini&amp;tipoDoc=comunicato&amp;idlegislatura=17&amp;anno=2016&amp;mese=03&amp;giorno=09&amp;view=filtered_48&amp;idCommissione=48&amp;ancora=data.20160309.com48.bollettino.sede00010.tit00010" TargetMode="External"/><Relationship Id="rId300"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20" TargetMode="External"/><Relationship Id="rId60" Type="http://schemas.openxmlformats.org/officeDocument/2006/relationships/hyperlink" Target="file:///\\Ncs01_pool01_server\vol01\DATI\camera01\STUDI-COMITATO\XVII\RAPPORTO_PINI\Rapporto_PINI_COMPLETO.docx" TargetMode="External"/><Relationship Id="rId81" Type="http://schemas.openxmlformats.org/officeDocument/2006/relationships/hyperlink" Target="file:///\\Ncs01_pool01_server\vol01\DATI\camera01\STUDI-COMITATO\XVII\RAPPORTO_PINI\0001_AC_3393_missioni_internazionali.docx" TargetMode="External"/><Relationship Id="rId135" Type="http://schemas.openxmlformats.org/officeDocument/2006/relationships/footer" Target="footer11.xml"/><Relationship Id="rId156" Type="http://schemas.openxmlformats.org/officeDocument/2006/relationships/hyperlink" Target="file:///\\Ncs01_pool01_server\vol01\DATI\camera01\STUDI-COMITATO\XVII\RAPPORTO_PINI\0013_AC_3634_delega_unioni_civili.docx" TargetMode="External"/><Relationship Id="rId177" Type="http://schemas.openxmlformats.org/officeDocument/2006/relationships/header" Target="header10.xml"/><Relationship Id="rId198" Type="http://schemas.openxmlformats.org/officeDocument/2006/relationships/hyperlink" Target="file:///\\Ncs01_pool01_server\vol01\DATI\camera01\STUDI-COMITATO\XVII\RAPPORTO_PINI\0013_AC_3634_delega_unioni_civili.docx" TargetMode="External"/><Relationship Id="rId321" Type="http://schemas.openxmlformats.org/officeDocument/2006/relationships/footer" Target="footer27.xml"/><Relationship Id="rId342" Type="http://schemas.openxmlformats.org/officeDocument/2006/relationships/header" Target="header30.xml"/><Relationship Id="rId363" Type="http://schemas.openxmlformats.org/officeDocument/2006/relationships/header" Target="header37.xml"/><Relationship Id="rId384" Type="http://schemas.openxmlformats.org/officeDocument/2006/relationships/footer" Target="footer50.xml"/><Relationship Id="rId419" Type="http://schemas.openxmlformats.org/officeDocument/2006/relationships/hyperlink" Target="http://documenti.camera.it/apps/commonServices/getDocumento.ashx?idLegislatura=17&amp;sezione=lavori&amp;tipoDoc=pdl&amp;idDocumento=1460-B" TargetMode="External"/><Relationship Id="rId202" Type="http://schemas.openxmlformats.org/officeDocument/2006/relationships/hyperlink" Target="file:///\\Ncs01_pool01_server\vol01\DATI\camera01\STUDI-COMITATO\XVII\RAPPORTO_PINI\0020_AC_3821_delega_legge_europea.docx" TargetMode="External"/><Relationship Id="rId223" Type="http://schemas.openxmlformats.org/officeDocument/2006/relationships/hyperlink" Target="http://documenti.camera.it/apps/commonServices/getDocumento.ashx?sezione=bollettini&amp;tipoDoc=comunicato&amp;idlegislatura=17&amp;anno=2016&amp;mese=01&amp;giorno=14&amp;view=filtered&amp;idCommissione=48&amp;ancora=data.20160114.com48.bollettino.sede00010.tit00010" TargetMode="External"/><Relationship Id="rId244" Type="http://schemas.openxmlformats.org/officeDocument/2006/relationships/hyperlink" Target="file:///\\Ncs01_pool01_server\vol01\DATI\camera01\STUDI-COMITATO\XVII\RAPPORTO_PINI\0017_TU_2839_partiti_politici.docx" TargetMode="External"/><Relationship Id="rId18" Type="http://schemas.openxmlformats.org/officeDocument/2006/relationships/hyperlink" Target="file:///\\Ncs01_pool01_server\vol01\DATI\camera01\STUDI-COMITATO\XVII\RAPPORTO_PINI\Rapporto_PINI_COMPLETO.docx" TargetMode="External"/><Relationship Id="rId39" Type="http://schemas.openxmlformats.org/officeDocument/2006/relationships/hyperlink" Target="file:///\\Ncs01_pool01_server\vol01\DATI\camera01\STUDI-COMITATO\XVII\RAPPORTO_PINI\Rapporto_PINI_COMPLETO.docx" TargetMode="External"/><Relationship Id="rId265"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20" TargetMode="External"/><Relationship Id="rId286"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20" TargetMode="External"/><Relationship Id="rId50" Type="http://schemas.openxmlformats.org/officeDocument/2006/relationships/hyperlink" Target="file:///\\Ncs01_pool01_server\vol01\DATI\camera01\STUDI-COMITATO\XVII\RAPPORTO_PINI\Rapporto_PINI_COMPLETO.docx" TargetMode="External"/><Relationship Id="rId104"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20" TargetMode="External"/><Relationship Id="rId125" Type="http://schemas.openxmlformats.org/officeDocument/2006/relationships/hyperlink" Target="file:///\\Ncs01_pool01_server\vol01\DATI\camera01\STUDI-COMITATO\XVII\RAPPORTO_PINI\0024_AC_3953_missioni_internazionali.docx" TargetMode="External"/><Relationship Id="rId146" Type="http://schemas.openxmlformats.org/officeDocument/2006/relationships/hyperlink" Target="file:///\\Ncs01_pool01_server\vol01\DATI\camera01\STUDI-COMITATO\XVII\RAPPORTO_PINI\0008_AC_3119_delega_agricoltura.docx" TargetMode="External"/><Relationship Id="rId167"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10" TargetMode="External"/><Relationship Id="rId188" Type="http://schemas.openxmlformats.org/officeDocument/2006/relationships/hyperlink" Target="file:///\\Ncs01_pool01_server\vol01\DATI\camera01\STUDI-COMITATO\XVII\RAPPORTO_PINI\0004_AC_3495_territorio_deleghe_bilancio.docx" TargetMode="External"/><Relationship Id="rId311" Type="http://schemas.openxmlformats.org/officeDocument/2006/relationships/hyperlink" Target="file:///\\Ncs01_pool01_server\vol01\DATI\camera01\STUDI-COMITATO\XVII\RAPPORTO_PINI\0023_AC_1460-B__delega_convenzione_penale.docx" TargetMode="External"/><Relationship Id="rId332" Type="http://schemas.openxmlformats.org/officeDocument/2006/relationships/hyperlink" Target="http://documenti.camera.it/apps/commonServices/getDocumento.ashx?idLegislatura=17&amp;sezione=lavori&amp;tipoDoc=pdl&amp;idDocumento=2953" TargetMode="External"/><Relationship Id="rId353" Type="http://schemas.openxmlformats.org/officeDocument/2006/relationships/hyperlink" Target="http://documenti.camera.it/apps/commonServices/getDocumento.ashx?idLegislatura=17&amp;sezione=lavori&amp;tipoDoc=pdl&amp;idDocumento=3119" TargetMode="External"/><Relationship Id="rId374" Type="http://schemas.openxmlformats.org/officeDocument/2006/relationships/hyperlink" Target="http://documenti.camera.it/apps/commonServices/getDocumento.ashx?idLegislatura=17&amp;sezione=lavori&amp;tipoDoc=pdl&amp;idDocumento=3540" TargetMode="External"/><Relationship Id="rId395" Type="http://schemas.openxmlformats.org/officeDocument/2006/relationships/hyperlink" Target="http://documenti.camera.it/apps/commonServices/getDocumento.ashx?idLegislatura=17&amp;sezione=lavori&amp;tipoDoc=pdl&amp;idDocumento=3672" TargetMode="External"/><Relationship Id="rId409" Type="http://schemas.openxmlformats.org/officeDocument/2006/relationships/hyperlink" Target="http://www.camera.it/leg17/126?tab=&amp;leg=17&amp;idDocumento=3594&amp;sede=&amp;tipo=" TargetMode="External"/><Relationship Id="rId71" Type="http://schemas.openxmlformats.org/officeDocument/2006/relationships/hyperlink" Target="file:///\\Ncs01_pool01_server\vol01\DATI\camera01\STUDI-COMITATO\XVII\RAPPORTO_PINI\Rapporto_PINI_COMPLETO.docx" TargetMode="External"/><Relationship Id="rId92" Type="http://schemas.openxmlformats.org/officeDocument/2006/relationships/hyperlink" Target="file:///\\Ncs01_pool01_server\vol01\DATI\camera01\STUDI-COMITATO\XVII\RAPPORTO_PINI\0007_TU_3317_fondo_editoria.docx" TargetMode="External"/><Relationship Id="rId213" Type="http://schemas.openxmlformats.org/officeDocument/2006/relationships/footer" Target="footer15.xml"/><Relationship Id="rId234" Type="http://schemas.openxmlformats.org/officeDocument/2006/relationships/hyperlink" Target="file:///\\Ncs01_pool01_server\vol01\DATI\camera01\STUDI-COMITATO\XVII\RAPPORTO_PINI\0012_AC_2212_acque_pubbliche.docx" TargetMode="External"/><Relationship Id="rId420" Type="http://schemas.openxmlformats.org/officeDocument/2006/relationships/hyperlink" Target="http://documenti.camera.it/apps/commonServices/getDocumento.ashx?sezione=bollettini&amp;tipoDoc=comunicato&amp;idlegislatura=17&amp;anno=2016&amp;mese=06&amp;giorno=29&amp;view=filtered_48&amp;idCommissione=48&amp;ancora=data.20160629.com48.bollettino.sede00010.tit00010" TargetMode="External"/><Relationship Id="rId2" Type="http://schemas.openxmlformats.org/officeDocument/2006/relationships/numbering" Target="numbering.xml"/><Relationship Id="rId29" Type="http://schemas.openxmlformats.org/officeDocument/2006/relationships/hyperlink" Target="file:///\\Ncs01_pool01_server\vol01\DATI\camera01\STUDI-COMITATO\XVII\RAPPORTO_PINI\Rapporto_PINI_COMPLETO.docx" TargetMode="External"/><Relationship Id="rId255" Type="http://schemas.openxmlformats.org/officeDocument/2006/relationships/hyperlink" Target="http://documenti.camera.it/apps/commonServices/getDocumento.ashx?sezione=bollettini&amp;tipoDoc=comunicato&amp;idlegislatura=17&amp;anno=2016&amp;mese=07&amp;giorno=06&amp;view=filtered_48&amp;idCommissione=48&amp;ancora=data.20160706.com48.bollettino.sede00010.tit00020" TargetMode="External"/><Relationship Id="rId276"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20" TargetMode="External"/><Relationship Id="rId297" Type="http://schemas.openxmlformats.org/officeDocument/2006/relationships/hyperlink" Target="file:///\\Ncs01_pool01_server\vol01\DATI\camera01\STUDI-COMITATO\XVII\RAPPORTO_PINI\0012_AC_2212_acque_pubbliche.docx" TargetMode="External"/><Relationship Id="rId40" Type="http://schemas.openxmlformats.org/officeDocument/2006/relationships/hyperlink" Target="file:///\\Ncs01_pool01_server\vol01\DATI\camera01\STUDI-COMITATO\XVII\RAPPORTO_PINI\Rapporto_PINI_COMPLETO.docx" TargetMode="External"/><Relationship Id="rId115" Type="http://schemas.openxmlformats.org/officeDocument/2006/relationships/hyperlink" Target="file:///\\Ncs01_pool01_server\vol01\DATI\camera01\STUDI-COMITATO\XVII\RAPPORTO_PINI\0019_AC_3209_delega_riforma_confidi.docx" TargetMode="External"/><Relationship Id="rId136" Type="http://schemas.openxmlformats.org/officeDocument/2006/relationships/hyperlink" Target="http://documenti.camera.it/apps/commonServices/getDocumento.ashx?sezione=bollettini&amp;tipoDoc=comunicato&amp;idlegislatura=17&amp;anno=2015&amp;mese=11&amp;giorno=11&amp;view=filtered_48&amp;idCommissione=48&amp;ancora=data.20151111.com48.bollettino.sede00010.tit00010" TargetMode="External"/><Relationship Id="rId157"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20" TargetMode="External"/><Relationship Id="rId178" Type="http://schemas.openxmlformats.org/officeDocument/2006/relationships/header" Target="header11.xml"/><Relationship Id="rId301" Type="http://schemas.openxmlformats.org/officeDocument/2006/relationships/hyperlink" Target="file:///\\Ncs01_pool01_server\vol01\DATI\camera01\STUDI-COMITATO\XVII\RAPPORTO_PINI\0014_AC_3672_magistratura_onoraria.docx" TargetMode="External"/><Relationship Id="rId322" Type="http://schemas.openxmlformats.org/officeDocument/2006/relationships/footer" Target="footer28.xml"/><Relationship Id="rId343" Type="http://schemas.openxmlformats.org/officeDocument/2006/relationships/footer" Target="footer34.xml"/><Relationship Id="rId364" Type="http://schemas.openxmlformats.org/officeDocument/2006/relationships/footer" Target="footer42.xml"/><Relationship Id="rId61" Type="http://schemas.openxmlformats.org/officeDocument/2006/relationships/hyperlink" Target="file:///\\Ncs01_pool01_server\vol01\DATI\camera01\STUDI-COMITATO\XVII\RAPPORTO_PINI\Rapporto_PINI_COMPLETO.docx" TargetMode="External"/><Relationship Id="rId82" Type="http://schemas.openxmlformats.org/officeDocument/2006/relationships/hyperlink" Target="http://documenti.camera.it/apps/commonServices/getDocumento.ashx?sezione=bollettini&amp;tipoDoc=comunicato&amp;idlegislatura=17&amp;anno=2015&amp;mese=12&amp;giorno=01&amp;view=filtered_48&amp;idCommissione=48&amp;ancora=data.20151201.com48.bollettino.sede00010.tit00010" TargetMode="External"/><Relationship Id="rId199" Type="http://schemas.openxmlformats.org/officeDocument/2006/relationships/hyperlink" Target="http://documenti.camera.it/apps/commonServices/getDocumento.ashx?sezione=bollettini&amp;tipoDoc=comunicato&amp;idlegislatura=17&amp;anno=2016&amp;mese=05&amp;giorno=25&amp;view=filtered_48&amp;idCommissione=48&amp;ancora=data.20160525.com48.bollettino.sede00010.tit00010" TargetMode="External"/><Relationship Id="rId203"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10" TargetMode="External"/><Relationship Id="rId385" Type="http://schemas.openxmlformats.org/officeDocument/2006/relationships/header" Target="header44.xml"/><Relationship Id="rId19" Type="http://schemas.openxmlformats.org/officeDocument/2006/relationships/hyperlink" Target="file:///\\Ncs01_pool01_server\vol01\DATI\camera01\STUDI-COMITATO\XVII\RAPPORTO_PINI\Rapporto_PINI_COMPLETO.docx" TargetMode="External"/><Relationship Id="rId224" Type="http://schemas.openxmlformats.org/officeDocument/2006/relationships/hyperlink" Target="file:///\\Ncs01_pool01_server\vol01\DATI\camera01\STUDI-COMITATO\XVII\RAPPORTO_PINI\0006_AC_3513_milleproroghe.docx" TargetMode="External"/><Relationship Id="rId245" Type="http://schemas.openxmlformats.org/officeDocument/2006/relationships/hyperlink" Target="http://documenti.camera.it/apps/commonServices/getDocumento.ashx?sezione=bollettini&amp;tipoDoc=comunicato&amp;idlegislatura=17&amp;anno=2016&amp;mese=06&amp;giorno=21&amp;view=filtered_48&amp;idCommissione=48&amp;ancora=data.20160621.com48.bollettino.sede00010.tit00010" TargetMode="External"/><Relationship Id="rId266" Type="http://schemas.openxmlformats.org/officeDocument/2006/relationships/hyperlink" Target="file:///\\Ncs01_pool01_server\vol01\DATI\camera01\STUDI-COMITATO\XVII\RAPPORTO_PINI\0004_AC_3495_territorio_deleghe_bilancio.docx" TargetMode="External"/><Relationship Id="rId287" Type="http://schemas.openxmlformats.org/officeDocument/2006/relationships/hyperlink" Target="file:///\\Ncs01_pool01_server\vol01\DATI\camera01\STUDI-COMITATO\XVII\RAPPORTO_PINI\0004_AC_3495_territorio_deleghe_bilancio.docx" TargetMode="External"/><Relationship Id="rId410" Type="http://schemas.openxmlformats.org/officeDocument/2006/relationships/hyperlink" Target="http://documenti.camera.it/apps/commonServices/getDocumento.ashx?sezione=bollettini&amp;tipoDoc=comunicato&amp;idlegislatura=17&amp;anno=2016&amp;mese=06&amp;giorno=08&amp;view=filtered_48&amp;idCommissione=48&amp;ancora=data.20160608.com48.bollettino.sede00010.tit00010" TargetMode="External"/><Relationship Id="rId30" Type="http://schemas.openxmlformats.org/officeDocument/2006/relationships/hyperlink" Target="file:///\\Ncs01_pool01_server\vol01\DATI\camera01\STUDI-COMITATO\XVII\RAPPORTO_PINI\Rapporto_PINI_COMPLETO.docx" TargetMode="External"/><Relationship Id="rId105" Type="http://schemas.openxmlformats.org/officeDocument/2006/relationships/hyperlink" Target="file:///\\Ncs01_pool01_server\vol01\DATI\camera01\STUDI-COMITATO\XVII\RAPPORTO_PINI\0014_AC_3672_magistratura_onoraria.docx" TargetMode="External"/><Relationship Id="rId126" Type="http://schemas.openxmlformats.org/officeDocument/2006/relationships/hyperlink" Target="http://documenti.camera.it/apps/commonServices/getDocumento.ashx?sezione=bollettini&amp;tipoDoc=comunicato&amp;idlegislatura=17&amp;anno=2016&amp;mese=07&amp;giorno=06&amp;view=filtered_48&amp;idCommissione=48&amp;ancora=data.20160706.com48.bollettino.sede00010.tit00010" TargetMode="External"/><Relationship Id="rId147"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10.tit00010" TargetMode="External"/><Relationship Id="rId168" Type="http://schemas.openxmlformats.org/officeDocument/2006/relationships/hyperlink" Target="file:///\\Ncs01_pool01_server\vol01\DATI\camera01\STUDI-COMITATO\XVII\RAPPORTO_PINI\0021_AC_3892_banche_in_liquidazione.docx" TargetMode="External"/><Relationship Id="rId312" Type="http://schemas.openxmlformats.org/officeDocument/2006/relationships/header" Target="header22.xml"/><Relationship Id="rId333" Type="http://schemas.openxmlformats.org/officeDocument/2006/relationships/hyperlink" Target="http://documenti.camera.it/apps/commonServices/getDocumento.ashx?sezione=bollettini&amp;tipoDoc=comunicato&amp;idlegislatura=17&amp;anno=2015&amp;mese=12&amp;giorno=22&amp;view=filtered_48&amp;idCommissione=48&amp;ancora=data.20151222.com48.bollettino.sede00010.tit00010" TargetMode="External"/><Relationship Id="rId354" Type="http://schemas.openxmlformats.org/officeDocument/2006/relationships/hyperlink" Target="http://documenti.camera.it/apps/commonServices/getDocumento.ashx?sezione=bollettini&amp;tipoDoc=comunicato&amp;idlegislatura=17&amp;anno=2016&amp;mese=02&amp;giorno=16&amp;view=filtered_48&amp;idCommissione=48&amp;ancora=data.20160216.com48.bollettino.sede00010.tit00010" TargetMode="External"/><Relationship Id="rId51" Type="http://schemas.openxmlformats.org/officeDocument/2006/relationships/hyperlink" Target="file:///\\Ncs01_pool01_server\vol01\DATI\camera01\STUDI-COMITATO\XVII\RAPPORTO_PINI\Rapporto_PINI_COMPLETO.docx" TargetMode="External"/><Relationship Id="rId72" Type="http://schemas.openxmlformats.org/officeDocument/2006/relationships/hyperlink" Target="file:///\\Ncs01_pool01_server\vol01\DATI\camera01\STUDI-COMITATO\XVII\RAPPORTO_PINI\Rapporto_PINI_COMPLETO.docx" TargetMode="External"/><Relationship Id="rId93" Type="http://schemas.openxmlformats.org/officeDocument/2006/relationships/hyperlink" Target="file:///\\Ncs01_pool01_server\vol01\DATI\camera01\STUDI-COMITATO\XVII\RAPPORTO_PINI\0008_AC_3119_delega_agricoltura.docx" TargetMode="External"/><Relationship Id="rId189" Type="http://schemas.openxmlformats.org/officeDocument/2006/relationships/hyperlink" Target="http://documenti.camera.it/apps/commonServices/getDocumento.ashx?sezione=bollettini&amp;tipoDoc=comunicato&amp;idlegislatura=17&amp;anno=2016&amp;mese=01&amp;giorno=14&amp;view=filtered&amp;idCommissione=48&amp;ancora=data.20160114.com48.bollettino.sede00010.tit00010" TargetMode="External"/><Relationship Id="rId375" Type="http://schemas.openxmlformats.org/officeDocument/2006/relationships/hyperlink" Target="http://documenti.camera.it/apps/commonServices/getDocumento.ashx?sezione=bollettini&amp;tipoDoc=comunicato&amp;idlegislatura=17&amp;anno=2016&amp;mese=03&amp;giorno=03&amp;view=filtered_48&amp;idCommissione=48&amp;ancora=data.20160303.com48.bollettino.sede00010.tit00010" TargetMode="External"/><Relationship Id="rId396"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20" TargetMode="External"/><Relationship Id="rId3" Type="http://schemas.openxmlformats.org/officeDocument/2006/relationships/styles" Target="styles.xml"/><Relationship Id="rId214" Type="http://schemas.openxmlformats.org/officeDocument/2006/relationships/footer" Target="footer16.xml"/><Relationship Id="rId235"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10" TargetMode="External"/><Relationship Id="rId256" Type="http://schemas.openxmlformats.org/officeDocument/2006/relationships/hyperlink" Target="file:///\\Ncs01_pool01_server\vol01\DATI\camera01\STUDI-COMITATO\XVII\RAPPORTO_PINI\0026_AC_3954_processo_telematico.docx" TargetMode="External"/><Relationship Id="rId277" Type="http://schemas.openxmlformats.org/officeDocument/2006/relationships/hyperlink" Target="file:///\\Ncs01_pool01_server\vol01\DATI\camera01\STUDI-COMITATO\XVII\RAPPORTO_PINI\0022_AC_3886_ILVA.docx" TargetMode="External"/><Relationship Id="rId298" Type="http://schemas.openxmlformats.org/officeDocument/2006/relationships/hyperlink" Target="http://documenti.camera.it/apps/commonServices/getDocumento.ashx?sezione=bollettini&amp;tipoDoc=comunicato&amp;idlegislatura=17&amp;anno=2016&amp;mese=04&amp;giorno=12&amp;view=filtered_48&amp;idCommissione=48&amp;ancora=data.20160412.com48.bollettino.sede00010.tit00010" TargetMode="External"/><Relationship Id="rId400" Type="http://schemas.openxmlformats.org/officeDocument/2006/relationships/footer" Target="footer56.xml"/><Relationship Id="rId421" Type="http://schemas.openxmlformats.org/officeDocument/2006/relationships/hyperlink" Target="http://www.camera.it/leg17/126?tab=&amp;leg=17&amp;idDocumento=3953&amp;sede=&amp;tipo=" TargetMode="External"/><Relationship Id="rId116" Type="http://schemas.openxmlformats.org/officeDocument/2006/relationships/hyperlink" Target="http://documenti.camera.it/apps/commonServices/getDocumento.ashx?sezione=bollettini&amp;tipoDoc=comunicato&amp;idlegislatura=17&amp;anno=2016&amp;mese=06&amp;giorno=21&amp;view=filtered_48&amp;idCommissione=48&amp;ancora=data.20160621.com48.bollettino.sede00010.tit00010" TargetMode="External"/><Relationship Id="rId137" Type="http://schemas.openxmlformats.org/officeDocument/2006/relationships/hyperlink" Target="file:///\\Ncs01_pool01_server\vol01\DATI\camera01\STUDI-COMITATO\XVII\RAPPORTO_PINI\0001_AC_3393_missioni_internazionali.docx" TargetMode="External"/><Relationship Id="rId158" Type="http://schemas.openxmlformats.org/officeDocument/2006/relationships/hyperlink" Target="file:///\\Ncs01_pool01_server\vol01\DATI\camera01\STUDI-COMITATO\XVII\RAPPORTO_PINI\0014_AC_3672_magistratura_onoraria.docx" TargetMode="External"/><Relationship Id="rId302" Type="http://schemas.openxmlformats.org/officeDocument/2006/relationships/hyperlink" Target="http://documenti.camera.it/apps/commonServices/getDocumento.ashx?sezione=bollettini&amp;tipoDoc=comunicato&amp;idlegislatura=17&amp;anno=2016&amp;mese=05&amp;giorno=12&amp;view=filtered_48&amp;idCommissione=48&amp;ancora=data.20160512.com48.bollettino.sede00010.tit00010" TargetMode="External"/><Relationship Id="rId323" Type="http://schemas.openxmlformats.org/officeDocument/2006/relationships/hyperlink" Target="http://documenti.camera.it/apps/commonServices/getDocumento.ashx?idLegislatura=17&amp;sezione=lavori&amp;tipoDoc=pdl&amp;idDocumento=3446" TargetMode="External"/><Relationship Id="rId344" Type="http://schemas.openxmlformats.org/officeDocument/2006/relationships/footer" Target="footer35.xml"/><Relationship Id="rId20" Type="http://schemas.openxmlformats.org/officeDocument/2006/relationships/hyperlink" Target="file:///\\Ncs01_pool01_server\vol01\DATI\camera01\STUDI-COMITATO\XVII\RAPPORTO_PINI\Rapporto_PINI_COMPLETO.docx" TargetMode="External"/><Relationship Id="rId41" Type="http://schemas.openxmlformats.org/officeDocument/2006/relationships/hyperlink" Target="file:///\\Ncs01_pool01_server\vol01\DATI\camera01\STUDI-COMITATO\XVII\RAPPORTO_PINI\Rapporto_PINI_COMPLETO.docx" TargetMode="External"/><Relationship Id="rId62" Type="http://schemas.openxmlformats.org/officeDocument/2006/relationships/hyperlink" Target="file:///\\Ncs01_pool01_server\vol01\DATI\camera01\STUDI-COMITATO\XVII\RAPPORTO_PINI\Rapporto_PINI_COMPLETO.docx" TargetMode="External"/><Relationship Id="rId83" Type="http://schemas.openxmlformats.org/officeDocument/2006/relationships/hyperlink" Target="file:///\\Ncs01_pool01_server\vol01\DATI\camera01\STUDI-COMITATO\XVII\RAPPORTO_PINI\0002_AC_3446_settore_creditizio.docx" TargetMode="External"/><Relationship Id="rId179" Type="http://schemas.openxmlformats.org/officeDocument/2006/relationships/footer" Target="footer12.xml"/><Relationship Id="rId365" Type="http://schemas.openxmlformats.org/officeDocument/2006/relationships/footer" Target="footer43.xml"/><Relationship Id="rId386" Type="http://schemas.openxmlformats.org/officeDocument/2006/relationships/footer" Target="footer51.xml"/><Relationship Id="rId190" Type="http://schemas.openxmlformats.org/officeDocument/2006/relationships/hyperlink" Target="file:///\\Ncs01_pool01_server\vol01\DATI\camera01\STUDI-COMITATO\XVII\RAPPORTO_PINI\0006_AC_3513_milleproroghe.docx" TargetMode="External"/><Relationship Id="rId204" Type="http://schemas.openxmlformats.org/officeDocument/2006/relationships/hyperlink" Target="file:///\\Ncs01_pool01_server\vol01\DATI\camera01\STUDI-COMITATO\XVII\RAPPORTO_PINI\0021_AC_3892_banche_in_liquidazione.docx" TargetMode="External"/><Relationship Id="rId225" Type="http://schemas.openxmlformats.org/officeDocument/2006/relationships/hyperlink" Target="file:///\\Ncs01_pool01_server\vol01\DATI\camera01\STUDI-COMITATO\XVII\RAPPORTO_PINI\0007_TU_3317_fondo_editoria.docx" TargetMode="External"/><Relationship Id="rId246" Type="http://schemas.openxmlformats.org/officeDocument/2006/relationships/hyperlink" Target="file:///\\Ncs01_pool01_server\vol01\DATI\camera01\STUDI-COMITATO\XVII\RAPPORTO_PINI\0020_AC_3821_delega_legge_europea.docx" TargetMode="External"/><Relationship Id="rId267" Type="http://schemas.openxmlformats.org/officeDocument/2006/relationships/hyperlink" Target="file:///\\Ncs01_pool01_server\vol01\DATI\camera01\STUDI-COMITATO\XVII\RAPPORTO_PINI\0008_AC_3119_delega_agricoltura.docx" TargetMode="External"/><Relationship Id="rId288" Type="http://schemas.openxmlformats.org/officeDocument/2006/relationships/hyperlink" Target="http://documenti.camera.it/apps/commonServices/getDocumento.ashx?sezione=bollettini&amp;tipoDoc=comunicato&amp;idlegislatura=17&amp;anno=2015&amp;mese=12&amp;giorno=22&amp;view=filtered_48&amp;idCommissione=48&amp;ancora=data.20151222.com48.bollettino.sede00010.tit00010" TargetMode="External"/><Relationship Id="rId411" Type="http://schemas.openxmlformats.org/officeDocument/2006/relationships/hyperlink" Target="http://www.camera.it/leg17/126?tab=&amp;leg=17&amp;idDocumento=3209&amp;sede=&amp;tipo=" TargetMode="External"/><Relationship Id="rId106" Type="http://schemas.openxmlformats.org/officeDocument/2006/relationships/hyperlink" Target="http://documenti.camera.it/apps/commonServices/getDocumento.ashx?sezione=bollettini&amp;tipoDoc=comunicato&amp;idlegislatura=17&amp;anno=2016&amp;mese=05&amp;giorno=12&amp;view=filtered_48&amp;idCommissione=48&amp;ancora=data.20160512.com48.bollettino.sede00010.tit00010" TargetMode="External"/><Relationship Id="rId127" Type="http://schemas.openxmlformats.org/officeDocument/2006/relationships/hyperlink" Target="file:///\\Ncs01_pool01_server\vol01\DATI\camera01\STUDI-COMITATO\XVII\RAPPORTO_PINI\0025_AC_3926_enti_territoriali.docx" TargetMode="External"/><Relationship Id="rId313" Type="http://schemas.openxmlformats.org/officeDocument/2006/relationships/header" Target="header23.xml"/><Relationship Id="rId10" Type="http://schemas.openxmlformats.org/officeDocument/2006/relationships/footer" Target="footer1.xml"/><Relationship Id="rId31" Type="http://schemas.openxmlformats.org/officeDocument/2006/relationships/hyperlink" Target="file:///\\Ncs01_pool01_server\vol01\DATI\camera01\STUDI-COMITATO\XVII\RAPPORTO_PINI\Rapporto_PINI_COMPLETO.docx" TargetMode="External"/><Relationship Id="rId52" Type="http://schemas.openxmlformats.org/officeDocument/2006/relationships/hyperlink" Target="file:///\\Ncs01_pool01_server\vol01\DATI\camera01\STUDI-COMITATO\XVII\RAPPORTO_PINI\Rapporto_PINI_COMPLETO.docx" TargetMode="External"/><Relationship Id="rId73" Type="http://schemas.openxmlformats.org/officeDocument/2006/relationships/hyperlink" Target="file:///\\Ncs01_pool01_server\vol01\DATI\camera01\STUDI-COMITATO\XVII\RAPPORTO_PINI\Rapporto_PINI_COMPLETO.docx" TargetMode="External"/><Relationship Id="rId94"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10.tit00010" TargetMode="External"/><Relationship Id="rId148" Type="http://schemas.openxmlformats.org/officeDocument/2006/relationships/hyperlink" Target="file:///\\Ncs01_pool01_server\vol01\DATI\camera01\STUDI-COMITATO\XVII\RAPPORTO_PINI\0009_AC_3606_banche_credito_cooperativo.docx" TargetMode="External"/><Relationship Id="rId169"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20" TargetMode="External"/><Relationship Id="rId334" Type="http://schemas.openxmlformats.org/officeDocument/2006/relationships/header" Target="header27.xml"/><Relationship Id="rId355" Type="http://schemas.openxmlformats.org/officeDocument/2006/relationships/header" Target="header34.xml"/><Relationship Id="rId376" Type="http://schemas.openxmlformats.org/officeDocument/2006/relationships/header" Target="header41.xml"/><Relationship Id="rId397" Type="http://schemas.openxmlformats.org/officeDocument/2006/relationships/header" Target="header48.xml"/><Relationship Id="rId4" Type="http://schemas.microsoft.com/office/2007/relationships/stylesWithEffects" Target="stylesWithEffects.xml"/><Relationship Id="rId180" Type="http://schemas.openxmlformats.org/officeDocument/2006/relationships/footer" Target="footer13.xml"/><Relationship Id="rId215" Type="http://schemas.openxmlformats.org/officeDocument/2006/relationships/header" Target="header15.xml"/><Relationship Id="rId236" Type="http://schemas.openxmlformats.org/officeDocument/2006/relationships/hyperlink" Target="file:///\\Ncs01_pool01_server\vol01\DATI\camera01\STUDI-COMITATO\XVII\RAPPORTO_PINI\0013_AC_3634_delega_unioni_civili.docx" TargetMode="External"/><Relationship Id="rId257" Type="http://schemas.openxmlformats.org/officeDocument/2006/relationships/header" Target="header16.xml"/><Relationship Id="rId278" Type="http://schemas.openxmlformats.org/officeDocument/2006/relationships/hyperlink" Target="http://documenti.camera.it/apps/commonServices/getDocumento.ashx?sezione=bollettini&amp;tipoDoc=comunicato&amp;idlegislatura=17&amp;anno=2016&amp;mese=07&amp;giorno=05&amp;view=filtered_48&amp;idCommissione=48&amp;ancora=data.20160705.com48.bollettino.sede00010.tit00010" TargetMode="External"/><Relationship Id="rId401" Type="http://schemas.openxmlformats.org/officeDocument/2006/relationships/header" Target="header50.xml"/><Relationship Id="rId422" Type="http://schemas.openxmlformats.org/officeDocument/2006/relationships/hyperlink" Target="http://documenti.camera.it/apps/commonServices/getDocumento.ashx?sezione=bollettini&amp;tipoDoc=comunicato&amp;idlegislatura=17&amp;anno=2016&amp;mese=07&amp;giorno=05&amp;view=filtered_48&amp;idCommissione=48&amp;ancora=data.20160705.com48.bollettino.sede00010.tit00010" TargetMode="External"/><Relationship Id="rId303" Type="http://schemas.openxmlformats.org/officeDocument/2006/relationships/hyperlink" Target="file:///\\Ncs01_pool01_server\vol01\DATI\camera01\STUDI-COMITATO\XVII\RAPPORTO_PINI\0015_AC_2617-B_delega_terzo_settore.docx" TargetMode="External"/><Relationship Id="rId42" Type="http://schemas.openxmlformats.org/officeDocument/2006/relationships/hyperlink" Target="file:///\\Ncs01_pool01_server\vol01\DATI\camera01\STUDI-COMITATO\XVII\RAPPORTO_PINI\Rapporto_PINI_COMPLETO.docx" TargetMode="External"/><Relationship Id="rId84" Type="http://schemas.openxmlformats.org/officeDocument/2006/relationships/hyperlink" Target="http://documenti.camera.it/apps/commonServices/getDocumento.ashx?sezione=bollettini&amp;tipoDoc=comunicato&amp;idlegislatura=17&amp;anno=2015&amp;mese=12&amp;giorno=18&amp;view=filtered_48&amp;idCommissione=48&amp;ancora=data.20151218.com48.bollettino.sede00010.tit00010" TargetMode="External"/><Relationship Id="rId138" Type="http://schemas.openxmlformats.org/officeDocument/2006/relationships/hyperlink" Target="http://documenti.camera.it/apps/commonServices/getDocumento.ashx?sezione=bollettini&amp;tipoDoc=comunicato&amp;idlegislatura=17&amp;anno=2015&amp;mese=12&amp;giorno=01&amp;view=filtered_48&amp;idCommissione=48&amp;ancora=data.20151201.com48.bollettino.sede00010.tit00010" TargetMode="External"/><Relationship Id="rId345" Type="http://schemas.openxmlformats.org/officeDocument/2006/relationships/hyperlink" Target="http://documenti.camera.it/apps/commonServices/getDocumento.ashx?idLegislatura=17&amp;sezione=lavori&amp;tipoDoc=pdl&amp;idDocumento=3317" TargetMode="External"/><Relationship Id="rId387" Type="http://schemas.openxmlformats.org/officeDocument/2006/relationships/hyperlink" Target="http://documenti.camera.it/apps/commonServices/getDocumento.ashx?idLegislatura=17&amp;sezione=lavori&amp;tipoDoc=pdl&amp;idDocumento=3634" TargetMode="External"/><Relationship Id="rId191" Type="http://schemas.openxmlformats.org/officeDocument/2006/relationships/hyperlink" Target="file:///\\Ncs01_pool01_server\vol01\DATI\camera01\STUDI-COMITATO\XVII\RAPPORTO_PINI\0007_TU_3317_fondo_editoria.docx" TargetMode="External"/><Relationship Id="rId205"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20" TargetMode="External"/><Relationship Id="rId247"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10" TargetMode="External"/><Relationship Id="rId412" Type="http://schemas.openxmlformats.org/officeDocument/2006/relationships/hyperlink" Target="http://documenti.camera.it/apps/commonServices/getDocumento.ashx?sezione=bollettini&amp;tipoDoc=comunicato&amp;idlegislatura=17&amp;anno=2016&amp;mese=06&amp;giorno=08&amp;view=filtered_48&amp;idCommissione=48&amp;ancora=data.20160608.com48.bollettino.sede00010.tit00020" TargetMode="External"/><Relationship Id="rId107" Type="http://schemas.openxmlformats.org/officeDocument/2006/relationships/hyperlink" Target="file:///\\Ncs01_pool01_server\vol01\DATI\camera01\STUDI-COMITATO\XVII\RAPPORTO_PINI\0015_AC_2617-B_delega_terzo_settore.docx" TargetMode="External"/><Relationship Id="rId289" Type="http://schemas.openxmlformats.org/officeDocument/2006/relationships/hyperlink" Target="file:///\\Ncs01_pool01_server\vol01\DATI\camera01\STUDI-COMITATO\XVII\RAPPORTO_PINI\0005_AC_2953_delega_processo_civile.docx" TargetMode="External"/><Relationship Id="rId11" Type="http://schemas.openxmlformats.org/officeDocument/2006/relationships/footer" Target="footer2.xml"/><Relationship Id="rId53" Type="http://schemas.openxmlformats.org/officeDocument/2006/relationships/hyperlink" Target="file:///\\Ncs01_pool01_server\vol01\DATI\camera01\STUDI-COMITATO\XVII\RAPPORTO_PINI\Rapporto_PINI_COMPLETO.docx" TargetMode="External"/><Relationship Id="rId149"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20.tit00010" TargetMode="External"/><Relationship Id="rId314" Type="http://schemas.openxmlformats.org/officeDocument/2006/relationships/footer" Target="footer24.xml"/><Relationship Id="rId356" Type="http://schemas.openxmlformats.org/officeDocument/2006/relationships/header" Target="header35.xml"/><Relationship Id="rId398" Type="http://schemas.openxmlformats.org/officeDocument/2006/relationships/header" Target="header49.xml"/><Relationship Id="rId95" Type="http://schemas.openxmlformats.org/officeDocument/2006/relationships/hyperlink" Target="file:///\\Ncs01_pool01_server\vol01\DATI\camera01\STUDI-COMITATO\XVII\RAPPORTO_PINI\0009_AC_3606_banche_credito_cooperativo.docx" TargetMode="External"/><Relationship Id="rId160" Type="http://schemas.openxmlformats.org/officeDocument/2006/relationships/hyperlink" Target="file:///\\Ncs01_pool01_server\vol01\DATI\camera01\STUDI-COMITATO\XVII\RAPPORTO_PINI\0015_AC_2617-B_delega_terzo_settore.docx" TargetMode="External"/><Relationship Id="rId216" Type="http://schemas.openxmlformats.org/officeDocument/2006/relationships/footer" Target="footer17.xml"/><Relationship Id="rId423" Type="http://schemas.openxmlformats.org/officeDocument/2006/relationships/hyperlink" Target="http://www.camera.it/leg17/126?tab=&amp;leg=17&amp;idDocumento=3926&amp;sede=&amp;tipo=" TargetMode="External"/><Relationship Id="rId258" Type="http://schemas.openxmlformats.org/officeDocument/2006/relationships/header" Target="header17.xml"/><Relationship Id="rId22" Type="http://schemas.openxmlformats.org/officeDocument/2006/relationships/hyperlink" Target="file:///\\Ncs01_pool01_server\vol01\DATI\camera01\STUDI-COMITATO\XVII\RAPPORTO_PINI\Rapporto_PINI_COMPLETO.docx" TargetMode="External"/><Relationship Id="rId64" Type="http://schemas.openxmlformats.org/officeDocument/2006/relationships/hyperlink" Target="file:///\\Ncs01_pool01_server\vol01\DATI\camera01\STUDI-COMITATO\XVII\RAPPORTO_PINI\Rapporto_PINI_COMPLETO.docx" TargetMode="External"/><Relationship Id="rId118" Type="http://schemas.openxmlformats.org/officeDocument/2006/relationships/hyperlink" Target="http://documenti.camera.it/apps/commonServices/getDocumento.ashx?sezione=bollettini&amp;tipoDoc=comunicato&amp;idlegislatura=17&amp;anno=2016&amp;mese=06&amp;giorno=22&amp;view=filtered_48&amp;idCommissione=48&amp;ancora=data.20160622.com48.bollettino.sede00010.tit00010" TargetMode="External"/><Relationship Id="rId325" Type="http://schemas.openxmlformats.org/officeDocument/2006/relationships/hyperlink" Target="http://documenti.camera.it/apps/commonServices/getDocumento.ashx?idLegislatura=17&amp;sezione=lavori&amp;tipoDoc=pdl&amp;idDocumento=3481" TargetMode="External"/><Relationship Id="rId367" Type="http://schemas.openxmlformats.org/officeDocument/2006/relationships/hyperlink" Target="http://documenti.camera.it/apps/commonServices/getDocumento.ashx?sezione=bollettini&amp;tipoDoc=comunicato&amp;idlegislatura=17&amp;anno=2016&amp;mese=02&amp;giorno=24&amp;view=filtered_48&amp;idCommissione=48&amp;ancora=data.20160224.com48.bollettino.sede00020.tit0001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FBA27-47E4-456F-BEFB-1D9DF850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176</Pages>
  <Words>59099</Words>
  <Characters>336865</Characters>
  <Application>Microsoft Office Word</Application>
  <DocSecurity>0</DocSecurity>
  <Lines>2807</Lines>
  <Paragraphs>790</Paragraphs>
  <ScaleCrop>false</ScaleCrop>
  <HeadingPairs>
    <vt:vector size="2" baseType="variant">
      <vt:variant>
        <vt:lpstr>Titolo</vt:lpstr>
      </vt:variant>
      <vt:variant>
        <vt:i4>1</vt:i4>
      </vt:variant>
    </vt:vector>
  </HeadingPairs>
  <TitlesOfParts>
    <vt:vector size="1" baseType="lpstr">
      <vt:lpstr>NormalSegreteria</vt:lpstr>
    </vt:vector>
  </TitlesOfParts>
  <Company>Camera dei Deputati</Company>
  <LinksUpToDate>false</LinksUpToDate>
  <CharactersWithSpaces>395174</CharactersWithSpaces>
  <SharedDoc>false</SharedDoc>
  <HLinks>
    <vt:vector size="1434" baseType="variant">
      <vt:variant>
        <vt:i4>7143494</vt:i4>
      </vt:variant>
      <vt:variant>
        <vt:i4>813</vt:i4>
      </vt:variant>
      <vt:variant>
        <vt:i4>0</vt:i4>
      </vt:variant>
      <vt:variant>
        <vt:i4>5</vt:i4>
      </vt:variant>
      <vt:variant>
        <vt:lpwstr>\\Ncs01_pool01_server\vol01\DATI\camera01\STUDI-COMITATO\XVII\RAPPORTO_FORMISANO\0027_TU_1138_modifiche_cod_antimafia.docx</vt:lpwstr>
      </vt:variant>
      <vt:variant>
        <vt:lpwstr/>
      </vt:variant>
      <vt:variant>
        <vt:i4>4522097</vt:i4>
      </vt:variant>
      <vt:variant>
        <vt:i4>810</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http://documenti.camera.it/apps/commonServices/getDocumento.ashx?sezione=bollettini&amp;tipoDoc=comunicato&amp;idlegislatura=17&amp;anno=2015&amp;mese=11&amp;giorno=04&amp;view=filtered_48&amp;idCommissione=48&amp;ancora=data.20151104.com48.bollettino.sede00030.tit00010</vt:lpwstr>
      </vt:variant>
      <vt:variant>
        <vt:lpwstr>data.20151104.com</vt:lpwstr>
      </vt:variant>
      <vt:variant>
        <vt:i4>5832812</vt:i4>
      </vt:variant>
      <vt:variant>
        <vt:i4>807</vt:i4>
      </vt:variant>
      <vt:variant>
        <vt:i4>0</vt:i4>
      </vt:variant>
      <vt:variant>
        <vt:i4>5</vt:i4>
      </vt:variant>
      <vt:variant>
        <vt:lpwstr>\\Ncs01_pool01_server\vol01\DATI\camera01\STUDI-COMITATO\XVII\RAPPORTO_FORMISANO\0023_AC_3272_delega_riforma_RAI.docx</vt:lpwstr>
      </vt:variant>
      <vt:variant>
        <vt:lpwstr/>
      </vt:variant>
      <vt:variant>
        <vt:i4>4718707</vt:i4>
      </vt:variant>
      <vt:variant>
        <vt:i4>804</vt:i4>
      </vt:variant>
      <vt:variant>
        <vt:i4>0</vt:i4>
      </vt:variant>
      <vt:variant>
        <vt:i4>5</vt:i4>
      </vt:variant>
      <vt:variant>
        <vt:lpwstr>http://documenti.camera.it/apps/commonServices/getDocumento.ashx?sezione=bollettini&amp;tipoDoc=comunicato&amp;idlegislatura=17&amp;anno=2015&amp;mese=09&amp;giorno=30&amp;view=filtered_48&amp;idCommissione=48&amp;ancora=data.20150930.com48.bollettino.sede00020.tit00010</vt:lpwstr>
      </vt:variant>
      <vt:variant>
        <vt:lpwstr>data.20150930.com</vt:lpwstr>
      </vt:variant>
      <vt:variant>
        <vt:i4>6226011</vt:i4>
      </vt:variant>
      <vt:variant>
        <vt:i4>801</vt:i4>
      </vt:variant>
      <vt:variant>
        <vt:i4>0</vt:i4>
      </vt:variant>
      <vt:variant>
        <vt:i4>5</vt:i4>
      </vt:variant>
      <vt:variant>
        <vt:lpwstr>\\Ncs01_pool01_server\vol01\DATI\camera01\STUDI-COMITATO\XVII\RAPPORTO_FORMISANO\0021_AC_3194_delega_appalti.docx</vt:lpwstr>
      </vt:variant>
      <vt:variant>
        <vt:lpwstr/>
      </vt:variant>
      <vt:variant>
        <vt:i4>4587635</vt:i4>
      </vt:variant>
      <vt:variant>
        <vt:i4>798</vt:i4>
      </vt:variant>
      <vt:variant>
        <vt:i4>0</vt:i4>
      </vt:variant>
      <vt:variant>
        <vt:i4>5</vt:i4>
      </vt:variant>
      <vt:variant>
        <vt:lpwstr>http://documenti.camera.it/apps/commonServices/getDocumento.ashx?sezione=bollettini&amp;tipoDoc=comunicato&amp;idlegislatura=17&amp;anno=2015&amp;mese=07&amp;giorno=30&amp;view=filtered_48&amp;idCommissione=48&amp;ancora=data.20150730.com48.bollettino.sede00020.tit00010</vt:lpwstr>
      </vt:variant>
      <vt:variant>
        <vt:lpwstr>data.20150730.com</vt:lpwstr>
      </vt:variant>
      <vt:variant>
        <vt:i4>458812</vt:i4>
      </vt:variant>
      <vt:variant>
        <vt:i4>795</vt:i4>
      </vt:variant>
      <vt:variant>
        <vt:i4>0</vt:i4>
      </vt:variant>
      <vt:variant>
        <vt:i4>5</vt:i4>
      </vt:variant>
      <vt:variant>
        <vt:lpwstr>\\Ncs01_pool01_server\vol01\DATI\camera01\STUDI-COMITATO\XVII\RAPPORTO_FORMISANO\0018_AC_2607_delega_protezione_civile.docx</vt:lpwstr>
      </vt:variant>
      <vt:variant>
        <vt:lpwstr/>
      </vt:variant>
      <vt:variant>
        <vt:i4>4391025</vt:i4>
      </vt:variant>
      <vt:variant>
        <vt:i4>792</vt:i4>
      </vt:variant>
      <vt:variant>
        <vt:i4>0</vt:i4>
      </vt:variant>
      <vt:variant>
        <vt:i4>5</vt:i4>
      </vt:variant>
      <vt:variant>
        <vt:lpwstr>http://documenti.camera.it/apps/commonServices/getDocumento.ashx?sezione=bollettini&amp;tipoDoc=comunicato&amp;idlegislatura=17&amp;anno=2015&amp;mese=07&amp;giorno=15&amp;view=filtered_48&amp;idCommissione=48&amp;ancora=data.20150715.com48.bollettino.sede00020.tit00010</vt:lpwstr>
      </vt:variant>
      <vt:variant>
        <vt:lpwstr>data.20150715.com</vt:lpwstr>
      </vt:variant>
      <vt:variant>
        <vt:i4>3932217</vt:i4>
      </vt:variant>
      <vt:variant>
        <vt:i4>789</vt:i4>
      </vt:variant>
      <vt:variant>
        <vt:i4>0</vt:i4>
      </vt:variant>
      <vt:variant>
        <vt:i4>5</vt:i4>
      </vt:variant>
      <vt:variant>
        <vt:lpwstr>\\Ncs01_pool01_server\vol01\DATI\camera01\STUDI-COMITATO\XVII\RAPPORTO_FORMISANO\0015_AC_2994_B_buona_scuola_B.docx</vt:lpwstr>
      </vt:variant>
      <vt:variant>
        <vt:lpwstr/>
      </vt:variant>
      <vt:variant>
        <vt:i4>1245220</vt:i4>
      </vt:variant>
      <vt:variant>
        <vt:i4>786</vt:i4>
      </vt:variant>
      <vt:variant>
        <vt:i4>0</vt:i4>
      </vt:variant>
      <vt:variant>
        <vt:i4>5</vt:i4>
      </vt:variant>
      <vt:variant>
        <vt:lpwstr>\\Ncs01_pool01_server\vol01\DATI\camera01\STUDI-COMITATO\XVII\RAPPORTO_FORMISANO\0014_AC_2798_Modifiche_CP_CPP.docx</vt:lpwstr>
      </vt:variant>
      <vt:variant>
        <vt:lpwstr/>
      </vt:variant>
      <vt:variant>
        <vt:i4>4653168</vt:i4>
      </vt:variant>
      <vt:variant>
        <vt:i4>783</vt:i4>
      </vt:variant>
      <vt:variant>
        <vt:i4>0</vt:i4>
      </vt:variant>
      <vt:variant>
        <vt:i4>5</vt:i4>
      </vt:variant>
      <vt:variant>
        <vt:lpwstr>http://documenti.camera.it/apps/commonServices/getDocumento.ashx?sezione=bollettini&amp;tipoDoc=comunicato&amp;idlegislatura=17&amp;anno=2015&amp;mese=07&amp;giorno=02&amp;view=filtered_48&amp;idCommissione=48&amp;ancora=data.20150702.com48.bollettino.sede00010.tit00010</vt:lpwstr>
      </vt:variant>
      <vt:variant>
        <vt:lpwstr>data.20150702.com</vt:lpwstr>
      </vt:variant>
      <vt:variant>
        <vt:i4>1769498</vt:i4>
      </vt:variant>
      <vt:variant>
        <vt:i4>780</vt:i4>
      </vt:variant>
      <vt:variant>
        <vt:i4>0</vt:i4>
      </vt:variant>
      <vt:variant>
        <vt:i4>5</vt:i4>
      </vt:variant>
      <vt:variant>
        <vt:lpwstr>\\Ncs01_pool01_server\vol01\DATI\camera01\STUDI-COMITATO\XVII\RAPPORTO_FORMISANO\0013_AC_3123_L_delegaz_UE_2014.docx</vt:lpwstr>
      </vt:variant>
      <vt:variant>
        <vt:lpwstr/>
      </vt:variant>
      <vt:variant>
        <vt:i4>4522098</vt:i4>
      </vt:variant>
      <vt:variant>
        <vt:i4>777</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http://documenti.camera.it/apps/commonServices/getDocumento.ashx?sezione=bollettini&amp;tipoDoc=comunicato&amp;idlegislatura=17&amp;anno=2015&amp;mese=06&amp;giorno=11&amp;view=filtered_48&amp;idCommissione=48&amp;ancora=data.20150611.com48.bollettino.sede00010.tit00020</vt:lpwstr>
      </vt:variant>
      <vt:variant>
        <vt:lpwstr>data.20150611.com</vt:lpwstr>
      </vt:variant>
      <vt:variant>
        <vt:i4>393239</vt:i4>
      </vt:variant>
      <vt:variant>
        <vt:i4>774</vt:i4>
      </vt:variant>
      <vt:variant>
        <vt:i4>0</vt:i4>
      </vt:variant>
      <vt:variant>
        <vt:i4>5</vt:i4>
      </vt:variant>
      <vt:variant>
        <vt:lpwstr>\\Ncs01_pool01_server\vol01\DATI\camera01\STUDI-COMITATO\XVII\RAPPORTO_FORMISANO\0012_AC_3098_delega_PA.docx</vt:lpwstr>
      </vt:variant>
      <vt:variant>
        <vt:lpwstr/>
      </vt:variant>
      <vt:variant>
        <vt:i4>4522097</vt:i4>
      </vt:variant>
      <vt:variant>
        <vt:i4>771</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http://documenti.camera.it/apps/commonServices/getDocumento.ashx?sezione=bollettini&amp;tipoDoc=comunicato&amp;idlegislatura=17&amp;anno=2015&amp;mese=06&amp;giorno=11&amp;view=filtered_48&amp;idCommissione=48&amp;ancora=data.20150611.com48.bollettino.sede00010.tit00010</vt:lpwstr>
      </vt:variant>
      <vt:variant>
        <vt:lpwstr>data.20150611.com</vt:lpwstr>
      </vt:variant>
      <vt:variant>
        <vt:i4>8</vt:i4>
      </vt:variant>
      <vt:variant>
        <vt:i4>768</vt:i4>
      </vt:variant>
      <vt:variant>
        <vt:i4>0</vt:i4>
      </vt:variant>
      <vt:variant>
        <vt:i4>5</vt:i4>
      </vt:variant>
      <vt:variant>
        <vt:lpwstr>\\Ncs01_pool01_server\vol01\DATI\camera01\STUDI-COMITATO\XVII\RAPPORTO_FORMISANO\0009_AC_2994_buona_scuola.docx</vt:lpwstr>
      </vt:variant>
      <vt:variant>
        <vt:lpwstr/>
      </vt:variant>
      <vt:variant>
        <vt:i4>4980849</vt:i4>
      </vt:variant>
      <vt:variant>
        <vt:i4>765</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http://documenti.camera.it/apps/commonServices/getDocumento.ashx?sezione=bollettini&amp;tipoDoc=comunicato&amp;idlegislatura=17&amp;anno=2015&amp;mese=04&amp;giorno=28&amp;view=filtered_48&amp;idCommissione=48&amp;ancora=data.20150428.com48.bollettino.sede00030.tit00020</vt:lpwstr>
      </vt:variant>
      <vt:variant>
        <vt:lpwstr>data.20150428.com</vt:lpwstr>
      </vt:variant>
      <vt:variant>
        <vt:i4>6619223</vt:i4>
      </vt:variant>
      <vt:variant>
        <vt:i4>762</vt:i4>
      </vt:variant>
      <vt:variant>
        <vt:i4>0</vt:i4>
      </vt:variant>
      <vt:variant>
        <vt:i4>5</vt:i4>
      </vt:variant>
      <vt:variant>
        <vt:lpwstr>\\Ncs01_pool01_server\vol01\DATI\camera01\STUDI-COMITATO\XVII\RAPPORTO_FORMISANO\0008_delega_nautica_diporto.docx</vt:lpwstr>
      </vt:variant>
      <vt:variant>
        <vt:lpwstr/>
      </vt:variant>
      <vt:variant>
        <vt:i4>4980850</vt:i4>
      </vt:variant>
      <vt:variant>
        <vt:i4>759</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http://documenti.camera.it/apps/commonServices/getDocumento.ashx?sezione=bollettini&amp;tipoDoc=comunicato&amp;idlegislatura=17&amp;anno=2015&amp;mese=04&amp;giorno=28&amp;view=filtered_48&amp;idCommissione=48&amp;ancora=data.20150428.com48.bollettino.sede00030.tit00010</vt:lpwstr>
      </vt:variant>
      <vt:variant>
        <vt:lpwstr>data.20150428.com</vt:lpwstr>
      </vt:variant>
      <vt:variant>
        <vt:i4>6619158</vt:i4>
      </vt:variant>
      <vt:variant>
        <vt:i4>756</vt:i4>
      </vt:variant>
      <vt:variant>
        <vt:i4>0</vt:i4>
      </vt:variant>
      <vt:variant>
        <vt:i4>5</vt:i4>
      </vt:variant>
      <vt:variant>
        <vt:lpwstr>\\Ncs01_pool01_server\vol01\DATI\camera01\STUDI-COMITATO\XVII\RAPPORTO_FORMISANO\0006_TU_3bis_B_elez_Camera.docx</vt:lpwstr>
      </vt:variant>
      <vt:variant>
        <vt:lpwstr/>
      </vt:variant>
      <vt:variant>
        <vt:i4>4456562</vt:i4>
      </vt:variant>
      <vt:variant>
        <vt:i4>753</vt:i4>
      </vt:variant>
      <vt:variant>
        <vt:i4>0</vt:i4>
      </vt:variant>
      <vt:variant>
        <vt:i4>5</vt:i4>
      </vt:variant>
      <vt:variant>
        <vt:lpwstr>http://documenti.camera.it/apps/commonServices/getDocumento.ashx?sezione=bollettini&amp;tipoDoc=comunicato&amp;idlegislatura=17&amp;anno=2015&amp;mese=04&amp;giorno=22&amp;view=filtered_48&amp;idCommissione=48&amp;ancora=data.20150422.com48.bollettino.sede00010.tit00010</vt:lpwstr>
      </vt:variant>
      <vt:variant>
        <vt:lpwstr>data.20150422.com</vt:lpwstr>
      </vt:variant>
      <vt:variant>
        <vt:i4>3604521</vt:i4>
      </vt:variant>
      <vt:variant>
        <vt:i4>750</vt:i4>
      </vt:variant>
      <vt:variant>
        <vt:i4>0</vt:i4>
      </vt:variant>
      <vt:variant>
        <vt:i4>5</vt:i4>
      </vt:variant>
      <vt:variant>
        <vt:lpwstr>\\Ncs01_pool01_server\vol01\DATI\camera01\STUDI-COMITATO\XVII\RAPPORTO_FORMISANO\0005_AC_2915_esenzione_IMU.docx</vt:lpwstr>
      </vt:variant>
      <vt:variant>
        <vt:lpwstr/>
      </vt:variant>
      <vt:variant>
        <vt:i4>4522096</vt:i4>
      </vt:variant>
      <vt:variant>
        <vt:i4>747</vt:i4>
      </vt:variant>
      <vt:variant>
        <vt:i4>0</vt:i4>
      </vt:variant>
      <vt:variant>
        <vt:i4>5</vt:i4>
      </vt:variant>
      <vt:variant>
        <vt:lpwstr>http://documenti.camera.it/apps/commonServices/getDocumento.ashx?sezione=bollettini&amp;tipoDoc=comunicato&amp;idlegislatura=17&amp;anno=2015&amp;mese=03&amp;giorno=04&amp;view=filtered_48&amp;idCommissione=48&amp;ancora=data.20150304.com48.bollettino.sede00010.tit00010</vt:lpwstr>
      </vt:variant>
      <vt:variant>
        <vt:lpwstr>data.20150304.com</vt:lpwstr>
      </vt:variant>
      <vt:variant>
        <vt:i4>1638427</vt:i4>
      </vt:variant>
      <vt:variant>
        <vt:i4>744</vt:i4>
      </vt:variant>
      <vt:variant>
        <vt:i4>0</vt:i4>
      </vt:variant>
      <vt:variant>
        <vt:i4>5</vt:i4>
      </vt:variant>
      <vt:variant>
        <vt:lpwstr>\\Ncs01_pool01_server\vol01\DATI\camera01\STUDI-COMITATO\XVII\RAPPORTO_FORMISANO\0020_AC_3262_enti_territoriali.docx</vt:lpwstr>
      </vt:variant>
      <vt:variant>
        <vt:lpwstr/>
      </vt:variant>
      <vt:variant>
        <vt:i4>4522099</vt:i4>
      </vt:variant>
      <vt:variant>
        <vt:i4>741</vt:i4>
      </vt:variant>
      <vt:variant>
        <vt:i4>0</vt:i4>
      </vt:variant>
      <vt:variant>
        <vt:i4>5</vt:i4>
      </vt:variant>
      <vt:variant>
        <vt:lpwstr>http://documenti.camera.it/apps/commonServices/getDocumento.ashx?sezione=bollettini&amp;tipoDoc=comunicato&amp;idlegislatura=17&amp;anno=2015&amp;mese=07&amp;giorno=30&amp;view=filtered_48&amp;idCommissione=48&amp;ancora=data.20150730.com48.bollettino.sede00010.tit00010</vt:lpwstr>
      </vt:variant>
      <vt:variant>
        <vt:lpwstr>data.20150730.com</vt:lpwstr>
      </vt:variant>
      <vt:variant>
        <vt:i4>393239</vt:i4>
      </vt:variant>
      <vt:variant>
        <vt:i4>738</vt:i4>
      </vt:variant>
      <vt:variant>
        <vt:i4>0</vt:i4>
      </vt:variant>
      <vt:variant>
        <vt:i4>5</vt:i4>
      </vt:variant>
      <vt:variant>
        <vt:lpwstr>\\Ncs01_pool01_server\vol01\DATI\camera01\STUDI-COMITATO\XVII\RAPPORTO_FORMISANO\0012_AC_3098_delega_PA.docx</vt:lpwstr>
      </vt:variant>
      <vt:variant>
        <vt:lpwstr/>
      </vt:variant>
      <vt:variant>
        <vt:i4>4522097</vt:i4>
      </vt:variant>
      <vt:variant>
        <vt:i4>735</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http://documenti.camera.it/apps/commonServices/getDocumento.ashx?sezione=bollettini&amp;tipoDoc=comunicato&amp;idlegislatura=17&amp;anno=2015&amp;mese=06&amp;giorno=11&amp;view=filtered_48&amp;idCommissione=48&amp;ancora=data.20150611.com48.bollettino.sede00010.tit00010</vt:lpwstr>
      </vt:variant>
      <vt:variant>
        <vt:lpwstr>data.20150611.com</vt:lpwstr>
      </vt:variant>
      <vt:variant>
        <vt:i4>7929921</vt:i4>
      </vt:variant>
      <vt:variant>
        <vt:i4>732</vt:i4>
      </vt:variant>
      <vt:variant>
        <vt:i4>0</vt:i4>
      </vt:variant>
      <vt:variant>
        <vt:i4>5</vt:i4>
      </vt:variant>
      <vt:variant>
        <vt:lpwstr>\\Ncs01_pool01_server\vol01\DATI\camera01\STUDI-COMITATO\XVII\RAPPORTO_FORMISANO\0010_AC_3104_agricoltura.docx</vt:lpwstr>
      </vt:variant>
      <vt:variant>
        <vt:lpwstr/>
      </vt:variant>
      <vt:variant>
        <vt:i4>4456561</vt:i4>
      </vt:variant>
      <vt:variant>
        <vt:i4>729</vt:i4>
      </vt:variant>
      <vt:variant>
        <vt:i4>0</vt:i4>
      </vt:variant>
      <vt:variant>
        <vt:i4>5</vt:i4>
      </vt:variant>
      <vt:variant>
        <vt:lpwstr>http://documenti.camera.it/apps/commonServices/getDocumento.ashx?sezione=bollettini&amp;tipoDoc=comunicato&amp;idlegislatura=17&amp;anno=2015&amp;mese=05&amp;giorno=13&amp;view=filtered_48&amp;idCommissione=48&amp;ancora=data.20150513.com48.bollettino.sede00010.tit00010</vt:lpwstr>
      </vt:variant>
      <vt:variant>
        <vt:lpwstr>data.20150513.com</vt:lpwstr>
      </vt:variant>
      <vt:variant>
        <vt:i4>8</vt:i4>
      </vt:variant>
      <vt:variant>
        <vt:i4>726</vt:i4>
      </vt:variant>
      <vt:variant>
        <vt:i4>0</vt:i4>
      </vt:variant>
      <vt:variant>
        <vt:i4>5</vt:i4>
      </vt:variant>
      <vt:variant>
        <vt:lpwstr>\\Ncs01_pool01_server\vol01\DATI\camera01\STUDI-COMITATO\XVII\RAPPORTO_FORMISANO\0009_AC_2994_buona_scuola.docx</vt:lpwstr>
      </vt:variant>
      <vt:variant>
        <vt:lpwstr/>
      </vt:variant>
      <vt:variant>
        <vt:i4>4980849</vt:i4>
      </vt:variant>
      <vt:variant>
        <vt:i4>723</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http://documenti.camera.it/apps/commonServices/getDocumento.ashx?sezione=bollettini&amp;tipoDoc=comunicato&amp;idlegislatura=17&amp;anno=2015&amp;mese=04&amp;giorno=28&amp;view=filtered_48&amp;idCommissione=48&amp;ancora=data.20150428.com48.bollettino.sede00030.tit00020</vt:lpwstr>
      </vt:variant>
      <vt:variant>
        <vt:lpwstr>data.20150428.com</vt:lpwstr>
      </vt:variant>
      <vt:variant>
        <vt:i4>4522085</vt:i4>
      </vt:variant>
      <vt:variant>
        <vt:i4>720</vt:i4>
      </vt:variant>
      <vt:variant>
        <vt:i4>0</vt:i4>
      </vt:variant>
      <vt:variant>
        <vt:i4>5</vt:i4>
      </vt:variant>
      <vt:variant>
        <vt:lpwstr>\\Ncs01_pool01_server\vol01\DATI\camera01\STUDI-COMITATO\XVII\RAPPORTO_FORMISANO\0007_AC_3059_elez_reg_ammin.docx</vt:lpwstr>
      </vt:variant>
      <vt:variant>
        <vt:lpwstr/>
      </vt:variant>
      <vt:variant>
        <vt:i4>5046386</vt:i4>
      </vt:variant>
      <vt:variant>
        <vt:i4>717</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http://documenti.camera.it/apps/commonServices/getDocumento.ashx?sezione=bollettini&amp;tipoDoc=comunicato&amp;idlegislatura=17&amp;anno=2015&amp;mese=04&amp;giorno=28&amp;view=filtered_48&amp;idCommissione=48&amp;ancora=data.20150428.com48.bollettino.sede00020.tit00010</vt:lpwstr>
      </vt:variant>
      <vt:variant>
        <vt:lpwstr>data.20150428.com</vt:lpwstr>
      </vt:variant>
      <vt:variant>
        <vt:i4>3604521</vt:i4>
      </vt:variant>
      <vt:variant>
        <vt:i4>714</vt:i4>
      </vt:variant>
      <vt:variant>
        <vt:i4>0</vt:i4>
      </vt:variant>
      <vt:variant>
        <vt:i4>5</vt:i4>
      </vt:variant>
      <vt:variant>
        <vt:lpwstr>\\Ncs01_pool01_server\vol01\DATI\camera01\STUDI-COMITATO\XVII\RAPPORTO_FORMISANO\0005_AC_2915_esenzione_IMU.docx</vt:lpwstr>
      </vt:variant>
      <vt:variant>
        <vt:lpwstr/>
      </vt:variant>
      <vt:variant>
        <vt:i4>4522096</vt:i4>
      </vt:variant>
      <vt:variant>
        <vt:i4>711</vt:i4>
      </vt:variant>
      <vt:variant>
        <vt:i4>0</vt:i4>
      </vt:variant>
      <vt:variant>
        <vt:i4>5</vt:i4>
      </vt:variant>
      <vt:variant>
        <vt:lpwstr>http://documenti.camera.it/apps/commonServices/getDocumento.ashx?sezione=bollettini&amp;tipoDoc=comunicato&amp;idlegislatura=17&amp;anno=2015&amp;mese=03&amp;giorno=04&amp;view=filtered_48&amp;idCommissione=48&amp;ancora=data.20150304.com48.bollettino.sede00010.tit00010</vt:lpwstr>
      </vt:variant>
      <vt:variant>
        <vt:lpwstr>data.20150304.com</vt:lpwstr>
      </vt:variant>
      <vt:variant>
        <vt:i4>7798893</vt:i4>
      </vt:variant>
      <vt:variant>
        <vt:i4>708</vt:i4>
      </vt:variant>
      <vt:variant>
        <vt:i4>0</vt:i4>
      </vt:variant>
      <vt:variant>
        <vt:i4>5</vt:i4>
      </vt:variant>
      <vt:variant>
        <vt:lpwstr>\\Ncs01_pool01_server\vol01\DATI\camera01\STUDI-COMITATO\XVII\RAPPORTO_FORMISANO\0004_AC_2893_terrorismo_missioni.docx</vt:lpwstr>
      </vt:variant>
      <vt:variant>
        <vt:lpwstr/>
      </vt:variant>
      <vt:variant>
        <vt:i4>4653170</vt:i4>
      </vt:variant>
      <vt:variant>
        <vt:i4>705</vt:i4>
      </vt:variant>
      <vt:variant>
        <vt:i4>0</vt:i4>
      </vt:variant>
      <vt:variant>
        <vt:i4>5</vt:i4>
      </vt:variant>
      <vt:variant>
        <vt:lpwstr>http://documenti.camera.it/apps/commonServices/getDocumento.ashx?sezione=bollettini&amp;tipoDoc=comunicato&amp;idlegislatura=17&amp;anno=2015&amp;mese=02&amp;giorno=27&amp;view=filtered_48&amp;idCommissione=48&amp;ancora=data.20150227.com48.bollettino.sede00010.tit00010</vt:lpwstr>
      </vt:variant>
      <vt:variant>
        <vt:lpwstr>data.20150227.com</vt:lpwstr>
      </vt:variant>
      <vt:variant>
        <vt:i4>1310724</vt:i4>
      </vt:variant>
      <vt:variant>
        <vt:i4>702</vt:i4>
      </vt:variant>
      <vt:variant>
        <vt:i4>0</vt:i4>
      </vt:variant>
      <vt:variant>
        <vt:i4>5</vt:i4>
      </vt:variant>
      <vt:variant>
        <vt:lpwstr>\\Ncs01_pool01_server\vol01\DATI\camera01\STUDI-COMITATO\XVII\RAPPORTO_FORMISANO\0002_AC_2844_sistema_bancario.docx</vt:lpwstr>
      </vt:variant>
      <vt:variant>
        <vt:lpwstr/>
      </vt:variant>
      <vt:variant>
        <vt:i4>4194417</vt:i4>
      </vt:variant>
      <vt:variant>
        <vt:i4>699</vt:i4>
      </vt:variant>
      <vt:variant>
        <vt:i4>0</vt:i4>
      </vt:variant>
      <vt:variant>
        <vt:i4>5</vt:i4>
      </vt:variant>
      <vt:variant>
        <vt:lpwstr>http://documenti.camera.it/apps/commonServices/getDocumento.ashx?sezione=bollettini&amp;tipoDoc=comunicato&amp;idlegislatura=17&amp;anno=2015&amp;mese=02&amp;giorno=10&amp;view=filtered_48&amp;idCommissione=48&amp;ancora=data.20150210.com48.bollettino.sede00010.tit00010</vt:lpwstr>
      </vt:variant>
      <vt:variant>
        <vt:lpwstr>data.20150210.com</vt:lpwstr>
      </vt:variant>
      <vt:variant>
        <vt:i4>7864444</vt:i4>
      </vt:variant>
      <vt:variant>
        <vt:i4>696</vt:i4>
      </vt:variant>
      <vt:variant>
        <vt:i4>0</vt:i4>
      </vt:variant>
      <vt:variant>
        <vt:i4>5</vt:i4>
      </vt:variant>
      <vt:variant>
        <vt:lpwstr>\\Ncs01_pool01_server\vol01\DATI\camera01\STUDI-COMITATO\XVII\RAPPORTO_FORMISANO\0001_AC_2803_mille_proroghe.docx</vt:lpwstr>
      </vt:variant>
      <vt:variant>
        <vt:lpwstr/>
      </vt:variant>
      <vt:variant>
        <vt:i4>4587633</vt:i4>
      </vt:variant>
      <vt:variant>
        <vt:i4>693</vt:i4>
      </vt:variant>
      <vt:variant>
        <vt:i4>0</vt:i4>
      </vt:variant>
      <vt:variant>
        <vt:i4>5</vt:i4>
      </vt:variant>
      <vt:variant>
        <vt:lpwstr>http://documenti.camera.it/apps/commonServices/getDocumento.ashx?sezione=bollettini&amp;tipoDoc=comunicato&amp;idlegislatura=17&amp;anno=2015&amp;mese=01&amp;giorno=15&amp;view=filtered_48&amp;idCommissione=48&amp;ancora=data.20150115.com48.bollettino.sede00010.tit00010</vt:lpwstr>
      </vt:variant>
      <vt:variant>
        <vt:lpwstr>data.20150115.com</vt:lpwstr>
      </vt:variant>
      <vt:variant>
        <vt:i4>7143494</vt:i4>
      </vt:variant>
      <vt:variant>
        <vt:i4>690</vt:i4>
      </vt:variant>
      <vt:variant>
        <vt:i4>0</vt:i4>
      </vt:variant>
      <vt:variant>
        <vt:i4>5</vt:i4>
      </vt:variant>
      <vt:variant>
        <vt:lpwstr>\\Ncs01_pool01_server\vol01\DATI\camera01\STUDI-COMITATO\XVII\RAPPORTO_FORMISANO\0027_TU_1138_modifiche_cod_antimafia.docx</vt:lpwstr>
      </vt:variant>
      <vt:variant>
        <vt:lpwstr/>
      </vt:variant>
      <vt:variant>
        <vt:i4>4522097</vt:i4>
      </vt:variant>
      <vt:variant>
        <vt:i4>687</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http://documenti.camera.it/apps/commonServices/getDocumento.ashx?sezione=bollettini&amp;tipoDoc=comunicato&amp;idlegislatura=17&amp;anno=2015&amp;mese=11&amp;giorno=04&amp;view=filtered_48&amp;idCommissione=48&amp;ancora=data.20151104.com48.bollettino.sede00030.tit00010</vt:lpwstr>
      </vt:variant>
      <vt:variant>
        <vt:lpwstr>data.20151104.com</vt:lpwstr>
      </vt:variant>
      <vt:variant>
        <vt:i4>1638419</vt:i4>
      </vt:variant>
      <vt:variant>
        <vt:i4>684</vt:i4>
      </vt:variant>
      <vt:variant>
        <vt:i4>0</vt:i4>
      </vt:variant>
      <vt:variant>
        <vt:i4>5</vt:i4>
      </vt:variant>
      <vt:variant>
        <vt:lpwstr>\\Ncs01_pool01_server\vol01\DATI\camera01\STUDI-COMITATO\XVII\RAPPORTO_FORMISANO\0026_AC_3386_finanza_pubblica.docx</vt:lpwstr>
      </vt:variant>
      <vt:variant>
        <vt:lpwstr/>
      </vt:variant>
      <vt:variant>
        <vt:i4>4456561</vt:i4>
      </vt:variant>
      <vt:variant>
        <vt:i4>681</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http://documenti.camera.it/apps/commonServices/getDocumento.ashx?sezione=bollettini&amp;tipoDoc=comunicato&amp;idlegislatura=17&amp;anno=2015&amp;mese=11&amp;giorno=04&amp;view=filtered_48&amp;idCommissione=48&amp;ancora=data.20151104.com48.bollettino.sede00020.tit00010</vt:lpwstr>
      </vt:variant>
      <vt:variant>
        <vt:lpwstr>data.20151104.com</vt:lpwstr>
      </vt:variant>
      <vt:variant>
        <vt:i4>4456533</vt:i4>
      </vt:variant>
      <vt:variant>
        <vt:i4>678</vt:i4>
      </vt:variant>
      <vt:variant>
        <vt:i4>0</vt:i4>
      </vt:variant>
      <vt:variant>
        <vt:i4>5</vt:i4>
      </vt:variant>
      <vt:variant>
        <vt:lpwstr>\\Ncs01_pool01_server\vol01\DATI\camera01\STUDI-COMITATO\XVII\RAPPORTO_FORMISANO\0025_AC_2613B_riforme_costituzionali.docx</vt:lpwstr>
      </vt:variant>
      <vt:variant>
        <vt:lpwstr/>
      </vt:variant>
      <vt:variant>
        <vt:i4>4653169</vt:i4>
      </vt:variant>
      <vt:variant>
        <vt:i4>675</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http://documenti.camera.it/apps/commonServices/getDocumento.ashx?sezione=bollettini&amp;tipoDoc=comunicato&amp;idlegislatura=17&amp;anno=2015&amp;mese=11&amp;giorno=04&amp;view=filtered_48&amp;idCommissione=48&amp;ancora=data.20151104.com48.bollettino.sede00010.tit00010</vt:lpwstr>
      </vt:variant>
      <vt:variant>
        <vt:lpwstr>data.20151104.com</vt:lpwstr>
      </vt:variant>
      <vt:variant>
        <vt:i4>1638427</vt:i4>
      </vt:variant>
      <vt:variant>
        <vt:i4>672</vt:i4>
      </vt:variant>
      <vt:variant>
        <vt:i4>0</vt:i4>
      </vt:variant>
      <vt:variant>
        <vt:i4>5</vt:i4>
      </vt:variant>
      <vt:variant>
        <vt:lpwstr>\\Ncs01_pool01_server\vol01\DATI\camera01\STUDI-COMITATO\XVII\RAPPORTO_FORMISANO\0020_AC_3262_enti_territoriali.docx</vt:lpwstr>
      </vt:variant>
      <vt:variant>
        <vt:lpwstr/>
      </vt:variant>
      <vt:variant>
        <vt:i4>4522099</vt:i4>
      </vt:variant>
      <vt:variant>
        <vt:i4>669</vt:i4>
      </vt:variant>
      <vt:variant>
        <vt:i4>0</vt:i4>
      </vt:variant>
      <vt:variant>
        <vt:i4>5</vt:i4>
      </vt:variant>
      <vt:variant>
        <vt:lpwstr>http://documenti.camera.it/apps/commonServices/getDocumento.ashx?sezione=bollettini&amp;tipoDoc=comunicato&amp;idlegislatura=17&amp;anno=2015&amp;mese=07&amp;giorno=30&amp;view=filtered_48&amp;idCommissione=48&amp;ancora=data.20150730.com48.bollettino.sede00010.tit00010</vt:lpwstr>
      </vt:variant>
      <vt:variant>
        <vt:lpwstr>data.20150730.com</vt:lpwstr>
      </vt:variant>
      <vt:variant>
        <vt:i4>2228225</vt:i4>
      </vt:variant>
      <vt:variant>
        <vt:i4>666</vt:i4>
      </vt:variant>
      <vt:variant>
        <vt:i4>0</vt:i4>
      </vt:variant>
      <vt:variant>
        <vt:i4>5</vt:i4>
      </vt:variant>
      <vt:variant>
        <vt:lpwstr>\\Ncs01_pool01_server\vol01\DATI\camera01\STUDI-COMITATO\XVII\RAPPORTO_FORMISANO\0019_AC_3249_missione_EUNAVFOR_MED.docx</vt:lpwstr>
      </vt:variant>
      <vt:variant>
        <vt:lpwstr/>
      </vt:variant>
      <vt:variant>
        <vt:i4>4980850</vt:i4>
      </vt:variant>
      <vt:variant>
        <vt:i4>663</vt:i4>
      </vt:variant>
      <vt:variant>
        <vt:i4>0</vt:i4>
      </vt:variant>
      <vt:variant>
        <vt:i4>5</vt:i4>
      </vt:variant>
      <vt:variant>
        <vt:lpwstr>http://documenti.camera.it/apps/commonServices/getDocumento.ashx?sezione=bollettini&amp;tipoDoc=comunicato&amp;idlegislatura=17&amp;anno=2015&amp;mese=07&amp;giorno=29&amp;view=filtered_48&amp;idCommissione=48&amp;ancora=data.20150729.com48.bollettino.sede00010.tit00010</vt:lpwstr>
      </vt:variant>
      <vt:variant>
        <vt:lpwstr>data.20150729.com</vt:lpwstr>
      </vt:variant>
      <vt:variant>
        <vt:i4>458812</vt:i4>
      </vt:variant>
      <vt:variant>
        <vt:i4>660</vt:i4>
      </vt:variant>
      <vt:variant>
        <vt:i4>0</vt:i4>
      </vt:variant>
      <vt:variant>
        <vt:i4>5</vt:i4>
      </vt:variant>
      <vt:variant>
        <vt:lpwstr>\\Ncs01_pool01_server\vol01\DATI\camera01\STUDI-COMITATO\XVII\RAPPORTO_FORMISANO\0018_AC_2607_delega_protezione_civile.docx</vt:lpwstr>
      </vt:variant>
      <vt:variant>
        <vt:lpwstr/>
      </vt:variant>
      <vt:variant>
        <vt:i4>4391025</vt:i4>
      </vt:variant>
      <vt:variant>
        <vt:i4>657</vt:i4>
      </vt:variant>
      <vt:variant>
        <vt:i4>0</vt:i4>
      </vt:variant>
      <vt:variant>
        <vt:i4>5</vt:i4>
      </vt:variant>
      <vt:variant>
        <vt:lpwstr>http://documenti.camera.it/apps/commonServices/getDocumento.ashx?sezione=bollettini&amp;tipoDoc=comunicato&amp;idlegislatura=17&amp;anno=2015&amp;mese=07&amp;giorno=15&amp;view=filtered_48&amp;idCommissione=48&amp;ancora=data.20150715.com48.bollettino.sede00020.tit00010</vt:lpwstr>
      </vt:variant>
      <vt:variant>
        <vt:lpwstr>data.20150715.com</vt:lpwstr>
      </vt:variant>
      <vt:variant>
        <vt:i4>458776</vt:i4>
      </vt:variant>
      <vt:variant>
        <vt:i4>654</vt:i4>
      </vt:variant>
      <vt:variant>
        <vt:i4>0</vt:i4>
      </vt:variant>
      <vt:variant>
        <vt:i4>5</vt:i4>
      </vt:variant>
      <vt:variant>
        <vt:lpwstr>\\Ncs01_pool01_server\vol01\DATI\camera01\STUDI-COMITATO\XVII\RAPPORTO_FORMISANO\0017_AC_3210_rifiuti_ILVA.docx</vt:lpwstr>
      </vt:variant>
      <vt:variant>
        <vt:lpwstr/>
      </vt:variant>
      <vt:variant>
        <vt:i4>5046384</vt:i4>
      </vt:variant>
      <vt:variant>
        <vt:i4>651</vt:i4>
      </vt:variant>
      <vt:variant>
        <vt:i4>0</vt:i4>
      </vt:variant>
      <vt:variant>
        <vt:i4>5</vt:i4>
      </vt:variant>
      <vt:variant>
        <vt:lpwstr>http://documenti.camera.it/apps/commonServices/getDocumento.ashx?sezione=bollettini&amp;tipoDoc=comunicato&amp;idlegislatura=17&amp;anno=2015&amp;mese=07&amp;giorno=08&amp;view=filtered_48&amp;idCommissione=48&amp;ancora=data.20150708.com48.bollettino.sede00010.tit00010</vt:lpwstr>
      </vt:variant>
      <vt:variant>
        <vt:lpwstr>data.20150708.com</vt:lpwstr>
      </vt:variant>
      <vt:variant>
        <vt:i4>3473415</vt:i4>
      </vt:variant>
      <vt:variant>
        <vt:i4>648</vt:i4>
      </vt:variant>
      <vt:variant>
        <vt:i4>0</vt:i4>
      </vt:variant>
      <vt:variant>
        <vt:i4>5</vt:i4>
      </vt:variant>
      <vt:variant>
        <vt:lpwstr>\\Ncs01_pool01_server\vol01\DATI\camera01\STUDI-COMITATO\XVII\RAPPORTO_FORMISANO\0016_AC_3201_fallimenti_CC_CPC.docx</vt:lpwstr>
      </vt:variant>
      <vt:variant>
        <vt:lpwstr/>
      </vt:variant>
      <vt:variant>
        <vt:i4>5046384</vt:i4>
      </vt:variant>
      <vt:variant>
        <vt:i4>645</vt:i4>
      </vt:variant>
      <vt:variant>
        <vt:i4>0</vt:i4>
      </vt:variant>
      <vt:variant>
        <vt:i4>5</vt:i4>
      </vt:variant>
      <vt:variant>
        <vt:lpwstr>http://documenti.camera.it/apps/commonServices/getDocumento.ashx?sezione=bollettini&amp;tipoDoc=comunicato&amp;idlegislatura=17&amp;anno=2015&amp;mese=07&amp;giorno=08&amp;view=filtered_48&amp;idCommissione=48&amp;ancora=data.20150708.com48.bollettino.sede00010.tit00010</vt:lpwstr>
      </vt:variant>
      <vt:variant>
        <vt:lpwstr>data.20150708.com</vt:lpwstr>
      </vt:variant>
      <vt:variant>
        <vt:i4>3932217</vt:i4>
      </vt:variant>
      <vt:variant>
        <vt:i4>642</vt:i4>
      </vt:variant>
      <vt:variant>
        <vt:i4>0</vt:i4>
      </vt:variant>
      <vt:variant>
        <vt:i4>5</vt:i4>
      </vt:variant>
      <vt:variant>
        <vt:lpwstr>\\Ncs01_pool01_server\vol01\DATI\camera01\STUDI-COMITATO\XVII\RAPPORTO_FORMISANO\0015_AC_2994_B_buona_scuola_B.docx</vt:lpwstr>
      </vt:variant>
      <vt:variant>
        <vt:lpwstr/>
      </vt:variant>
      <vt:variant>
        <vt:i4>4653171</vt:i4>
      </vt:variant>
      <vt:variant>
        <vt:i4>639</vt:i4>
      </vt:variant>
      <vt:variant>
        <vt:i4>0</vt:i4>
      </vt:variant>
      <vt:variant>
        <vt:i4>5</vt:i4>
      </vt:variant>
      <vt:variant>
        <vt:lpwstr>http://documenti.camera.it/apps/commonServices/getDocumento.ashx?sezione=bollettini&amp;tipoDoc=comunicato&amp;idlegislatura=17&amp;anno=2015&amp;mese=07&amp;giorno=02&amp;view=filtered_48&amp;idCommissione=48&amp;ancora=data.20150702.com48.bollettino.sede00010.tit00020</vt:lpwstr>
      </vt:variant>
      <vt:variant>
        <vt:lpwstr>data.20150702.com</vt:lpwstr>
      </vt:variant>
      <vt:variant>
        <vt:i4>1245220</vt:i4>
      </vt:variant>
      <vt:variant>
        <vt:i4>636</vt:i4>
      </vt:variant>
      <vt:variant>
        <vt:i4>0</vt:i4>
      </vt:variant>
      <vt:variant>
        <vt:i4>5</vt:i4>
      </vt:variant>
      <vt:variant>
        <vt:lpwstr>\\Ncs01_pool01_server\vol01\DATI\camera01\STUDI-COMITATO\XVII\RAPPORTO_FORMISANO\0014_AC_2798_Modifiche_CP_CPP.docx</vt:lpwstr>
      </vt:variant>
      <vt:variant>
        <vt:lpwstr/>
      </vt:variant>
      <vt:variant>
        <vt:i4>4653168</vt:i4>
      </vt:variant>
      <vt:variant>
        <vt:i4>633</vt:i4>
      </vt:variant>
      <vt:variant>
        <vt:i4>0</vt:i4>
      </vt:variant>
      <vt:variant>
        <vt:i4>5</vt:i4>
      </vt:variant>
      <vt:variant>
        <vt:lpwstr>http://documenti.camera.it/apps/commonServices/getDocumento.ashx?sezione=bollettini&amp;tipoDoc=comunicato&amp;idlegislatura=17&amp;anno=2015&amp;mese=07&amp;giorno=02&amp;view=filtered_48&amp;idCommissione=48&amp;ancora=data.20150702.com48.bollettino.sede00010.tit00010</vt:lpwstr>
      </vt:variant>
      <vt:variant>
        <vt:lpwstr>data.20150702.com</vt:lpwstr>
      </vt:variant>
      <vt:variant>
        <vt:i4>393239</vt:i4>
      </vt:variant>
      <vt:variant>
        <vt:i4>630</vt:i4>
      </vt:variant>
      <vt:variant>
        <vt:i4>0</vt:i4>
      </vt:variant>
      <vt:variant>
        <vt:i4>5</vt:i4>
      </vt:variant>
      <vt:variant>
        <vt:lpwstr>\\Ncs01_pool01_server\vol01\DATI\camera01\STUDI-COMITATO\XVII\RAPPORTO_FORMISANO\0012_AC_3098_delega_PA.docx</vt:lpwstr>
      </vt:variant>
      <vt:variant>
        <vt:lpwstr/>
      </vt:variant>
      <vt:variant>
        <vt:i4>4522097</vt:i4>
      </vt:variant>
      <vt:variant>
        <vt:i4>627</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http://documenti.camera.it/apps/commonServices/getDocumento.ashx?sezione=bollettini&amp;tipoDoc=comunicato&amp;idlegislatura=17&amp;anno=2015&amp;mese=06&amp;giorno=11&amp;view=filtered_48&amp;idCommissione=48&amp;ancora=data.20150611.com48.bollettino.sede00010.tit00010</vt:lpwstr>
      </vt:variant>
      <vt:variant>
        <vt:lpwstr>data.20150611.com</vt:lpwstr>
      </vt:variant>
      <vt:variant>
        <vt:i4>3342359</vt:i4>
      </vt:variant>
      <vt:variant>
        <vt:i4>624</vt:i4>
      </vt:variant>
      <vt:variant>
        <vt:i4>0</vt:i4>
      </vt:variant>
      <vt:variant>
        <vt:i4>5</vt:i4>
      </vt:variant>
      <vt:variant>
        <vt:lpwstr>\\Ncs01_pool01_server\vol01\DATI\camera01\STUDI-COMITATO\XVII\RAPPORTO_FORMISANO\0011_AC_3134_pensioni.docx</vt:lpwstr>
      </vt:variant>
      <vt:variant>
        <vt:lpwstr/>
      </vt:variant>
      <vt:variant>
        <vt:i4>4194416</vt:i4>
      </vt:variant>
      <vt:variant>
        <vt:i4>621</vt:i4>
      </vt:variant>
      <vt:variant>
        <vt:i4>0</vt:i4>
      </vt:variant>
      <vt:variant>
        <vt:i4>5</vt:i4>
      </vt:variant>
      <vt:variant>
        <vt:lpwstr>http://documenti.camera.it/apps/commonServices/getDocumento.ashx?sezione=bollettini&amp;tipoDoc=comunicato&amp;idlegislatura=17&amp;anno=2015&amp;mese=06&amp;giorno=04&amp;view=filtered_48&amp;idCommissione=48&amp;ancora=data.20150604.com48.bollettino.sede00010.tit00010</vt:lpwstr>
      </vt:variant>
      <vt:variant>
        <vt:lpwstr>data.20150604.com</vt:lpwstr>
      </vt:variant>
      <vt:variant>
        <vt:i4>7929921</vt:i4>
      </vt:variant>
      <vt:variant>
        <vt:i4>618</vt:i4>
      </vt:variant>
      <vt:variant>
        <vt:i4>0</vt:i4>
      </vt:variant>
      <vt:variant>
        <vt:i4>5</vt:i4>
      </vt:variant>
      <vt:variant>
        <vt:lpwstr>\\Ncs01_pool01_server\vol01\DATI\camera01\STUDI-COMITATO\XVII\RAPPORTO_FORMISANO\0010_AC_3104_agricoltura.docx</vt:lpwstr>
      </vt:variant>
      <vt:variant>
        <vt:lpwstr/>
      </vt:variant>
      <vt:variant>
        <vt:i4>4456561</vt:i4>
      </vt:variant>
      <vt:variant>
        <vt:i4>615</vt:i4>
      </vt:variant>
      <vt:variant>
        <vt:i4>0</vt:i4>
      </vt:variant>
      <vt:variant>
        <vt:i4>5</vt:i4>
      </vt:variant>
      <vt:variant>
        <vt:lpwstr>http://documenti.camera.it/apps/commonServices/getDocumento.ashx?sezione=bollettini&amp;tipoDoc=comunicato&amp;idlegislatura=17&amp;anno=2015&amp;mese=05&amp;giorno=13&amp;view=filtered_48&amp;idCommissione=48&amp;ancora=data.20150513.com48.bollettino.sede00010.tit00010</vt:lpwstr>
      </vt:variant>
      <vt:variant>
        <vt:lpwstr>data.20150513.com</vt:lpwstr>
      </vt:variant>
      <vt:variant>
        <vt:i4>8</vt:i4>
      </vt:variant>
      <vt:variant>
        <vt:i4>612</vt:i4>
      </vt:variant>
      <vt:variant>
        <vt:i4>0</vt:i4>
      </vt:variant>
      <vt:variant>
        <vt:i4>5</vt:i4>
      </vt:variant>
      <vt:variant>
        <vt:lpwstr>\\Ncs01_pool01_server\vol01\DATI\camera01\STUDI-COMITATO\XVII\RAPPORTO_FORMISANO\0009_AC_2994_buona_scuola.docx</vt:lpwstr>
      </vt:variant>
      <vt:variant>
        <vt:lpwstr/>
      </vt:variant>
      <vt:variant>
        <vt:i4>4980849</vt:i4>
      </vt:variant>
      <vt:variant>
        <vt:i4>609</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http://documenti.camera.it/apps/commonServices/getDocumento.ashx?sezione=bollettini&amp;tipoDoc=comunicato&amp;idlegislatura=17&amp;anno=2015&amp;mese=04&amp;giorno=28&amp;view=filtered_48&amp;idCommissione=48&amp;ancora=data.20150428.com48.bollettino.sede00030.tit00020</vt:lpwstr>
      </vt:variant>
      <vt:variant>
        <vt:lpwstr>data.20150428.com</vt:lpwstr>
      </vt:variant>
      <vt:variant>
        <vt:i4>6619158</vt:i4>
      </vt:variant>
      <vt:variant>
        <vt:i4>606</vt:i4>
      </vt:variant>
      <vt:variant>
        <vt:i4>0</vt:i4>
      </vt:variant>
      <vt:variant>
        <vt:i4>5</vt:i4>
      </vt:variant>
      <vt:variant>
        <vt:lpwstr>\\Ncs01_pool01_server\vol01\DATI\camera01\STUDI-COMITATO\XVII\RAPPORTO_FORMISANO\0006_TU_3bis_B_elez_Camera.docx</vt:lpwstr>
      </vt:variant>
      <vt:variant>
        <vt:lpwstr/>
      </vt:variant>
      <vt:variant>
        <vt:i4>4456562</vt:i4>
      </vt:variant>
      <vt:variant>
        <vt:i4>603</vt:i4>
      </vt:variant>
      <vt:variant>
        <vt:i4>0</vt:i4>
      </vt:variant>
      <vt:variant>
        <vt:i4>5</vt:i4>
      </vt:variant>
      <vt:variant>
        <vt:lpwstr>http://documenti.camera.it/apps/commonServices/getDocumento.ashx?sezione=bollettini&amp;tipoDoc=comunicato&amp;idlegislatura=17&amp;anno=2015&amp;mese=04&amp;giorno=22&amp;view=filtered_48&amp;idCommissione=48&amp;ancora=data.20150422.com48.bollettino.sede00010.tit00010</vt:lpwstr>
      </vt:variant>
      <vt:variant>
        <vt:lpwstr>data.20150422.com</vt:lpwstr>
      </vt:variant>
      <vt:variant>
        <vt:i4>3604521</vt:i4>
      </vt:variant>
      <vt:variant>
        <vt:i4>600</vt:i4>
      </vt:variant>
      <vt:variant>
        <vt:i4>0</vt:i4>
      </vt:variant>
      <vt:variant>
        <vt:i4>5</vt:i4>
      </vt:variant>
      <vt:variant>
        <vt:lpwstr>\\Ncs01_pool01_server\vol01\DATI\camera01\STUDI-COMITATO\XVII\RAPPORTO_FORMISANO\0005_AC_2915_esenzione_IMU.docx</vt:lpwstr>
      </vt:variant>
      <vt:variant>
        <vt:lpwstr/>
      </vt:variant>
      <vt:variant>
        <vt:i4>4522096</vt:i4>
      </vt:variant>
      <vt:variant>
        <vt:i4>597</vt:i4>
      </vt:variant>
      <vt:variant>
        <vt:i4>0</vt:i4>
      </vt:variant>
      <vt:variant>
        <vt:i4>5</vt:i4>
      </vt:variant>
      <vt:variant>
        <vt:lpwstr>http://documenti.camera.it/apps/commonServices/getDocumento.ashx?sezione=bollettini&amp;tipoDoc=comunicato&amp;idlegislatura=17&amp;anno=2015&amp;mese=03&amp;giorno=04&amp;view=filtered_48&amp;idCommissione=48&amp;ancora=data.20150304.com48.bollettino.sede00010.tit00010</vt:lpwstr>
      </vt:variant>
      <vt:variant>
        <vt:lpwstr>data.20150304.com</vt:lpwstr>
      </vt:variant>
      <vt:variant>
        <vt:i4>7798893</vt:i4>
      </vt:variant>
      <vt:variant>
        <vt:i4>594</vt:i4>
      </vt:variant>
      <vt:variant>
        <vt:i4>0</vt:i4>
      </vt:variant>
      <vt:variant>
        <vt:i4>5</vt:i4>
      </vt:variant>
      <vt:variant>
        <vt:lpwstr>\\Ncs01_pool01_server\vol01\DATI\camera01\STUDI-COMITATO\XVII\RAPPORTO_FORMISANO\0004_AC_2893_terrorismo_missioni.docx</vt:lpwstr>
      </vt:variant>
      <vt:variant>
        <vt:lpwstr/>
      </vt:variant>
      <vt:variant>
        <vt:i4>4653170</vt:i4>
      </vt:variant>
      <vt:variant>
        <vt:i4>591</vt:i4>
      </vt:variant>
      <vt:variant>
        <vt:i4>0</vt:i4>
      </vt:variant>
      <vt:variant>
        <vt:i4>5</vt:i4>
      </vt:variant>
      <vt:variant>
        <vt:lpwstr>http://documenti.camera.it/apps/commonServices/getDocumento.ashx?sezione=bollettini&amp;tipoDoc=comunicato&amp;idlegislatura=17&amp;anno=2015&amp;mese=02&amp;giorno=27&amp;view=filtered_48&amp;idCommissione=48&amp;ancora=data.20150227.com48.bollettino.sede00010.tit00010</vt:lpwstr>
      </vt:variant>
      <vt:variant>
        <vt:lpwstr>data.20150227.com</vt:lpwstr>
      </vt:variant>
      <vt:variant>
        <vt:i4>2293809</vt:i4>
      </vt:variant>
      <vt:variant>
        <vt:i4>588</vt:i4>
      </vt:variant>
      <vt:variant>
        <vt:i4>0</vt:i4>
      </vt:variant>
      <vt:variant>
        <vt:i4>5</vt:i4>
      </vt:variant>
      <vt:variant>
        <vt:lpwstr>\\Ncs01_pool01_server\vol01\DATI\camera01\STUDI-COMITATO\XVII\RAPPORTO_FORMISANO\0003_AC_2894_ILVA_Taranto.docx</vt:lpwstr>
      </vt:variant>
      <vt:variant>
        <vt:lpwstr/>
      </vt:variant>
      <vt:variant>
        <vt:i4>4456562</vt:i4>
      </vt:variant>
      <vt:variant>
        <vt:i4>585</vt:i4>
      </vt:variant>
      <vt:variant>
        <vt:i4>0</vt:i4>
      </vt:variant>
      <vt:variant>
        <vt:i4>5</vt:i4>
      </vt:variant>
      <vt:variant>
        <vt:lpwstr>http://documenti.camera.it/apps/commonServices/getDocumento.ashx?sezione=bollettini&amp;tipoDoc=comunicato&amp;idlegislatura=17&amp;anno=2015&amp;mese=02&amp;giorno=24&amp;view=filtered_48&amp;idCommissione=48&amp;ancora=data.20150224.com48.bollettino.sede00010.tit00010</vt:lpwstr>
      </vt:variant>
      <vt:variant>
        <vt:lpwstr>data.20150224.com</vt:lpwstr>
      </vt:variant>
      <vt:variant>
        <vt:i4>1310724</vt:i4>
      </vt:variant>
      <vt:variant>
        <vt:i4>582</vt:i4>
      </vt:variant>
      <vt:variant>
        <vt:i4>0</vt:i4>
      </vt:variant>
      <vt:variant>
        <vt:i4>5</vt:i4>
      </vt:variant>
      <vt:variant>
        <vt:lpwstr>\\Ncs01_pool01_server\vol01\DATI\camera01\STUDI-COMITATO\XVII\RAPPORTO_FORMISANO\0002_AC_2844_sistema_bancario.docx</vt:lpwstr>
      </vt:variant>
      <vt:variant>
        <vt:lpwstr/>
      </vt:variant>
      <vt:variant>
        <vt:i4>4194417</vt:i4>
      </vt:variant>
      <vt:variant>
        <vt:i4>579</vt:i4>
      </vt:variant>
      <vt:variant>
        <vt:i4>0</vt:i4>
      </vt:variant>
      <vt:variant>
        <vt:i4>5</vt:i4>
      </vt:variant>
      <vt:variant>
        <vt:lpwstr>http://documenti.camera.it/apps/commonServices/getDocumento.ashx?sezione=bollettini&amp;tipoDoc=comunicato&amp;idlegislatura=17&amp;anno=2015&amp;mese=02&amp;giorno=10&amp;view=filtered_48&amp;idCommissione=48&amp;ancora=data.20150210.com48.bollettino.sede00010.tit00010</vt:lpwstr>
      </vt:variant>
      <vt:variant>
        <vt:lpwstr>data.20150210.com</vt:lpwstr>
      </vt:variant>
      <vt:variant>
        <vt:i4>7864444</vt:i4>
      </vt:variant>
      <vt:variant>
        <vt:i4>576</vt:i4>
      </vt:variant>
      <vt:variant>
        <vt:i4>0</vt:i4>
      </vt:variant>
      <vt:variant>
        <vt:i4>5</vt:i4>
      </vt:variant>
      <vt:variant>
        <vt:lpwstr>\\Ncs01_pool01_server\vol01\DATI\camera01\STUDI-COMITATO\XVII\RAPPORTO_FORMISANO\0001_AC_2803_mille_proroghe.docx</vt:lpwstr>
      </vt:variant>
      <vt:variant>
        <vt:lpwstr/>
      </vt:variant>
      <vt:variant>
        <vt:i4>4587633</vt:i4>
      </vt:variant>
      <vt:variant>
        <vt:i4>573</vt:i4>
      </vt:variant>
      <vt:variant>
        <vt:i4>0</vt:i4>
      </vt:variant>
      <vt:variant>
        <vt:i4>5</vt:i4>
      </vt:variant>
      <vt:variant>
        <vt:lpwstr>http://documenti.camera.it/apps/commonServices/getDocumento.ashx?sezione=bollettini&amp;tipoDoc=comunicato&amp;idlegislatura=17&amp;anno=2015&amp;mese=01&amp;giorno=15&amp;view=filtered_48&amp;idCommissione=48&amp;ancora=data.20150115.com48.bollettino.sede00010.tit00010</vt:lpwstr>
      </vt:variant>
      <vt:variant>
        <vt:lpwstr>data.20150115.com</vt:lpwstr>
      </vt:variant>
      <vt:variant>
        <vt:i4>7143494</vt:i4>
      </vt:variant>
      <vt:variant>
        <vt:i4>570</vt:i4>
      </vt:variant>
      <vt:variant>
        <vt:i4>0</vt:i4>
      </vt:variant>
      <vt:variant>
        <vt:i4>5</vt:i4>
      </vt:variant>
      <vt:variant>
        <vt:lpwstr>\\Ncs01_pool01_server\vol01\DATI\camera01\STUDI-COMITATO\XVII\RAPPORTO_FORMISANO\0027_TU_1138_modifiche_cod_antimafia.docx</vt:lpwstr>
      </vt:variant>
      <vt:variant>
        <vt:lpwstr/>
      </vt:variant>
      <vt:variant>
        <vt:i4>4522097</vt:i4>
      </vt:variant>
      <vt:variant>
        <vt:i4>567</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http://documenti.camera.it/apps/commonServices/getDocumento.ashx?sezione=bollettini&amp;tipoDoc=comunicato&amp;idlegislatura=17&amp;anno=2015&amp;mese=11&amp;giorno=04&amp;view=filtered_48&amp;idCommissione=48&amp;ancora=data.20151104.com48.bollettino.sede00030.tit00010</vt:lpwstr>
      </vt:variant>
      <vt:variant>
        <vt:lpwstr>data.20151104.com</vt:lpwstr>
      </vt:variant>
      <vt:variant>
        <vt:i4>1638419</vt:i4>
      </vt:variant>
      <vt:variant>
        <vt:i4>564</vt:i4>
      </vt:variant>
      <vt:variant>
        <vt:i4>0</vt:i4>
      </vt:variant>
      <vt:variant>
        <vt:i4>5</vt:i4>
      </vt:variant>
      <vt:variant>
        <vt:lpwstr>\\Ncs01_pool01_server\vol01\DATI\camera01\STUDI-COMITATO\XVII\RAPPORTO_FORMISANO\0026_AC_3386_finanza_pubblica.docx</vt:lpwstr>
      </vt:variant>
      <vt:variant>
        <vt:lpwstr/>
      </vt:variant>
      <vt:variant>
        <vt:i4>4456561</vt:i4>
      </vt:variant>
      <vt:variant>
        <vt:i4>561</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http://documenti.camera.it/apps/commonServices/getDocumento.ashx?sezione=bollettini&amp;tipoDoc=comunicato&amp;idlegislatura=17&amp;anno=2015&amp;mese=11&amp;giorno=04&amp;view=filtered_48&amp;idCommissione=48&amp;ancora=data.20151104.com48.bollettino.sede00020.tit00010</vt:lpwstr>
      </vt:variant>
      <vt:variant>
        <vt:lpwstr>data.20151104.com</vt:lpwstr>
      </vt:variant>
      <vt:variant>
        <vt:i4>5832812</vt:i4>
      </vt:variant>
      <vt:variant>
        <vt:i4>558</vt:i4>
      </vt:variant>
      <vt:variant>
        <vt:i4>0</vt:i4>
      </vt:variant>
      <vt:variant>
        <vt:i4>5</vt:i4>
      </vt:variant>
      <vt:variant>
        <vt:lpwstr>\\Ncs01_pool01_server\vol01\DATI\camera01\STUDI-COMITATO\XVII\RAPPORTO_FORMISANO\0023_AC_3272_delega_riforma_RAI.docx</vt:lpwstr>
      </vt:variant>
      <vt:variant>
        <vt:lpwstr/>
      </vt:variant>
      <vt:variant>
        <vt:i4>4718707</vt:i4>
      </vt:variant>
      <vt:variant>
        <vt:i4>555</vt:i4>
      </vt:variant>
      <vt:variant>
        <vt:i4>0</vt:i4>
      </vt:variant>
      <vt:variant>
        <vt:i4>5</vt:i4>
      </vt:variant>
      <vt:variant>
        <vt:lpwstr>http://documenti.camera.it/apps/commonServices/getDocumento.ashx?sezione=bollettini&amp;tipoDoc=comunicato&amp;idlegislatura=17&amp;anno=2015&amp;mese=09&amp;giorno=30&amp;view=filtered_48&amp;idCommissione=48&amp;ancora=data.20150930.com48.bollettino.sede00020.tit00010</vt:lpwstr>
      </vt:variant>
      <vt:variant>
        <vt:lpwstr>data.20150930.com</vt:lpwstr>
      </vt:variant>
      <vt:variant>
        <vt:i4>5570649</vt:i4>
      </vt:variant>
      <vt:variant>
        <vt:i4>552</vt:i4>
      </vt:variant>
      <vt:variant>
        <vt:i4>0</vt:i4>
      </vt:variant>
      <vt:variant>
        <vt:i4>5</vt:i4>
      </vt:variant>
      <vt:variant>
        <vt:lpwstr>\\Ncs01_pool01_server\vol01\DATI\camera01\STUDI-COMITATO\XVII\RAPPORTO_FORMISANO\0022_AC_3315_scioperi_musei.docx</vt:lpwstr>
      </vt:variant>
      <vt:variant>
        <vt:lpwstr/>
      </vt:variant>
      <vt:variant>
        <vt:i4>4915315</vt:i4>
      </vt:variant>
      <vt:variant>
        <vt:i4>549</vt:i4>
      </vt:variant>
      <vt:variant>
        <vt:i4>0</vt:i4>
      </vt:variant>
      <vt:variant>
        <vt:i4>5</vt:i4>
      </vt:variant>
      <vt:variant>
        <vt:lpwstr>http://documenti.camera.it/apps/commonServices/getDocumento.ashx?sezione=bollettini&amp;tipoDoc=comunicato&amp;idlegislatura=17&amp;anno=2015&amp;mese=09&amp;giorno=30&amp;view=filtered_48&amp;idCommissione=48&amp;ancora=data.20150930.com48.bollettino.sede00010.tit00010</vt:lpwstr>
      </vt:variant>
      <vt:variant>
        <vt:lpwstr>data.20150930.com</vt:lpwstr>
      </vt:variant>
      <vt:variant>
        <vt:i4>1638427</vt:i4>
      </vt:variant>
      <vt:variant>
        <vt:i4>546</vt:i4>
      </vt:variant>
      <vt:variant>
        <vt:i4>0</vt:i4>
      </vt:variant>
      <vt:variant>
        <vt:i4>5</vt:i4>
      </vt:variant>
      <vt:variant>
        <vt:lpwstr>\\Ncs01_pool01_server\vol01\DATI\camera01\STUDI-COMITATO\XVII\RAPPORTO_FORMISANO\0020_AC_3262_enti_territoriali.docx</vt:lpwstr>
      </vt:variant>
      <vt:variant>
        <vt:lpwstr/>
      </vt:variant>
      <vt:variant>
        <vt:i4>4522099</vt:i4>
      </vt:variant>
      <vt:variant>
        <vt:i4>543</vt:i4>
      </vt:variant>
      <vt:variant>
        <vt:i4>0</vt:i4>
      </vt:variant>
      <vt:variant>
        <vt:i4>5</vt:i4>
      </vt:variant>
      <vt:variant>
        <vt:lpwstr>http://documenti.camera.it/apps/commonServices/getDocumento.ashx?sezione=bollettini&amp;tipoDoc=comunicato&amp;idlegislatura=17&amp;anno=2015&amp;mese=07&amp;giorno=30&amp;view=filtered_48&amp;idCommissione=48&amp;ancora=data.20150730.com48.bollettino.sede00010.tit00010</vt:lpwstr>
      </vt:variant>
      <vt:variant>
        <vt:lpwstr>data.20150730.com</vt:lpwstr>
      </vt:variant>
      <vt:variant>
        <vt:i4>2228225</vt:i4>
      </vt:variant>
      <vt:variant>
        <vt:i4>540</vt:i4>
      </vt:variant>
      <vt:variant>
        <vt:i4>0</vt:i4>
      </vt:variant>
      <vt:variant>
        <vt:i4>5</vt:i4>
      </vt:variant>
      <vt:variant>
        <vt:lpwstr>\\Ncs01_pool01_server\vol01\DATI\camera01\STUDI-COMITATO\XVII\RAPPORTO_FORMISANO\0019_AC_3249_missione_EUNAVFOR_MED.docx</vt:lpwstr>
      </vt:variant>
      <vt:variant>
        <vt:lpwstr/>
      </vt:variant>
      <vt:variant>
        <vt:i4>4980850</vt:i4>
      </vt:variant>
      <vt:variant>
        <vt:i4>537</vt:i4>
      </vt:variant>
      <vt:variant>
        <vt:i4>0</vt:i4>
      </vt:variant>
      <vt:variant>
        <vt:i4>5</vt:i4>
      </vt:variant>
      <vt:variant>
        <vt:lpwstr>http://documenti.camera.it/apps/commonServices/getDocumento.ashx?sezione=bollettini&amp;tipoDoc=comunicato&amp;idlegislatura=17&amp;anno=2015&amp;mese=07&amp;giorno=29&amp;view=filtered_48&amp;idCommissione=48&amp;ancora=data.20150729.com48.bollettino.sede00010.tit00010</vt:lpwstr>
      </vt:variant>
      <vt:variant>
        <vt:lpwstr>data.20150729.com</vt:lpwstr>
      </vt:variant>
      <vt:variant>
        <vt:i4>458776</vt:i4>
      </vt:variant>
      <vt:variant>
        <vt:i4>534</vt:i4>
      </vt:variant>
      <vt:variant>
        <vt:i4>0</vt:i4>
      </vt:variant>
      <vt:variant>
        <vt:i4>5</vt:i4>
      </vt:variant>
      <vt:variant>
        <vt:lpwstr>\\Ncs01_pool01_server\vol01\DATI\camera01\STUDI-COMITATO\XVII\RAPPORTO_FORMISANO\0017_AC_3210_rifiuti_ILVA.docx</vt:lpwstr>
      </vt:variant>
      <vt:variant>
        <vt:lpwstr/>
      </vt:variant>
      <vt:variant>
        <vt:i4>4194417</vt:i4>
      </vt:variant>
      <vt:variant>
        <vt:i4>531</vt:i4>
      </vt:variant>
      <vt:variant>
        <vt:i4>0</vt:i4>
      </vt:variant>
      <vt:variant>
        <vt:i4>5</vt:i4>
      </vt:variant>
      <vt:variant>
        <vt:lpwstr>http://documenti.camera.it/apps/commonServices/getDocumento.ashx?sezione=bollettini&amp;tipoDoc=comunicato&amp;idlegislatura=17&amp;anno=2015&amp;mese=07&amp;giorno=15&amp;view=filtered_48&amp;idCommissione=48&amp;ancora=data.20150715.com48.bollettino.sede00010.tit00010</vt:lpwstr>
      </vt:variant>
      <vt:variant>
        <vt:lpwstr>data.20150715.com</vt:lpwstr>
      </vt:variant>
      <vt:variant>
        <vt:i4>3473415</vt:i4>
      </vt:variant>
      <vt:variant>
        <vt:i4>528</vt:i4>
      </vt:variant>
      <vt:variant>
        <vt:i4>0</vt:i4>
      </vt:variant>
      <vt:variant>
        <vt:i4>5</vt:i4>
      </vt:variant>
      <vt:variant>
        <vt:lpwstr>\\Ncs01_pool01_server\vol01\DATI\camera01\STUDI-COMITATO\XVII\RAPPORTO_FORMISANO\0016_AC_3201_fallimenti_CC_CPC.docx</vt:lpwstr>
      </vt:variant>
      <vt:variant>
        <vt:lpwstr/>
      </vt:variant>
      <vt:variant>
        <vt:i4>5046384</vt:i4>
      </vt:variant>
      <vt:variant>
        <vt:i4>525</vt:i4>
      </vt:variant>
      <vt:variant>
        <vt:i4>0</vt:i4>
      </vt:variant>
      <vt:variant>
        <vt:i4>5</vt:i4>
      </vt:variant>
      <vt:variant>
        <vt:lpwstr>http://documenti.camera.it/apps/commonServices/getDocumento.ashx?sezione=bollettini&amp;tipoDoc=comunicato&amp;idlegislatura=17&amp;anno=2015&amp;mese=07&amp;giorno=08&amp;view=filtered_48&amp;idCommissione=48&amp;ancora=data.20150708.com48.bollettino.sede00010.tit00010</vt:lpwstr>
      </vt:variant>
      <vt:variant>
        <vt:lpwstr>data.20150708.com</vt:lpwstr>
      </vt:variant>
      <vt:variant>
        <vt:i4>3932217</vt:i4>
      </vt:variant>
      <vt:variant>
        <vt:i4>522</vt:i4>
      </vt:variant>
      <vt:variant>
        <vt:i4>0</vt:i4>
      </vt:variant>
      <vt:variant>
        <vt:i4>5</vt:i4>
      </vt:variant>
      <vt:variant>
        <vt:lpwstr>\\Ncs01_pool01_server\vol01\DATI\camera01\STUDI-COMITATO\XVII\RAPPORTO_FORMISANO\0015_AC_2994_B_buona_scuola_B.docx</vt:lpwstr>
      </vt:variant>
      <vt:variant>
        <vt:lpwstr/>
      </vt:variant>
      <vt:variant>
        <vt:i4>4653171</vt:i4>
      </vt:variant>
      <vt:variant>
        <vt:i4>519</vt:i4>
      </vt:variant>
      <vt:variant>
        <vt:i4>0</vt:i4>
      </vt:variant>
      <vt:variant>
        <vt:i4>5</vt:i4>
      </vt:variant>
      <vt:variant>
        <vt:lpwstr>http://documenti.camera.it/apps/commonServices/getDocumento.ashx?sezione=bollettini&amp;tipoDoc=comunicato&amp;idlegislatura=17&amp;anno=2015&amp;mese=07&amp;giorno=02&amp;view=filtered_48&amp;idCommissione=48&amp;ancora=data.20150702.com48.bollettino.sede00010.tit00020</vt:lpwstr>
      </vt:variant>
      <vt:variant>
        <vt:lpwstr>data.20150702.com</vt:lpwstr>
      </vt:variant>
      <vt:variant>
        <vt:i4>1245220</vt:i4>
      </vt:variant>
      <vt:variant>
        <vt:i4>516</vt:i4>
      </vt:variant>
      <vt:variant>
        <vt:i4>0</vt:i4>
      </vt:variant>
      <vt:variant>
        <vt:i4>5</vt:i4>
      </vt:variant>
      <vt:variant>
        <vt:lpwstr>\\Ncs01_pool01_server\vol01\DATI\camera01\STUDI-COMITATO\XVII\RAPPORTO_FORMISANO\0014_AC_2798_Modifiche_CP_CPP.docx</vt:lpwstr>
      </vt:variant>
      <vt:variant>
        <vt:lpwstr/>
      </vt:variant>
      <vt:variant>
        <vt:i4>4653168</vt:i4>
      </vt:variant>
      <vt:variant>
        <vt:i4>513</vt:i4>
      </vt:variant>
      <vt:variant>
        <vt:i4>0</vt:i4>
      </vt:variant>
      <vt:variant>
        <vt:i4>5</vt:i4>
      </vt:variant>
      <vt:variant>
        <vt:lpwstr>http://documenti.camera.it/apps/commonServices/getDocumento.ashx?sezione=bollettini&amp;tipoDoc=comunicato&amp;idlegislatura=17&amp;anno=2015&amp;mese=07&amp;giorno=02&amp;view=filtered_48&amp;idCommissione=48&amp;ancora=data.20150702.com48.bollettino.sede00010.tit00010</vt:lpwstr>
      </vt:variant>
      <vt:variant>
        <vt:lpwstr>data.20150702.com</vt:lpwstr>
      </vt:variant>
      <vt:variant>
        <vt:i4>1769498</vt:i4>
      </vt:variant>
      <vt:variant>
        <vt:i4>510</vt:i4>
      </vt:variant>
      <vt:variant>
        <vt:i4>0</vt:i4>
      </vt:variant>
      <vt:variant>
        <vt:i4>5</vt:i4>
      </vt:variant>
      <vt:variant>
        <vt:lpwstr>\\Ncs01_pool01_server\vol01\DATI\camera01\STUDI-COMITATO\XVII\RAPPORTO_FORMISANO\0013_AC_3123_L_delegaz_UE_2014.docx</vt:lpwstr>
      </vt:variant>
      <vt:variant>
        <vt:lpwstr/>
      </vt:variant>
      <vt:variant>
        <vt:i4>4522098</vt:i4>
      </vt:variant>
      <vt:variant>
        <vt:i4>507</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http://documenti.camera.it/apps/commonServices/getDocumento.ashx?sezione=bollettini&amp;tipoDoc=comunicato&amp;idlegislatura=17&amp;anno=2015&amp;mese=06&amp;giorno=11&amp;view=filtered_48&amp;idCommissione=48&amp;ancora=data.20150611.com48.bollettino.sede00010.tit00020</vt:lpwstr>
      </vt:variant>
      <vt:variant>
        <vt:lpwstr>data.20150611.com</vt:lpwstr>
      </vt:variant>
      <vt:variant>
        <vt:i4>393239</vt:i4>
      </vt:variant>
      <vt:variant>
        <vt:i4>504</vt:i4>
      </vt:variant>
      <vt:variant>
        <vt:i4>0</vt:i4>
      </vt:variant>
      <vt:variant>
        <vt:i4>5</vt:i4>
      </vt:variant>
      <vt:variant>
        <vt:lpwstr>\\Ncs01_pool01_server\vol01\DATI\camera01\STUDI-COMITATO\XVII\RAPPORTO_FORMISANO\0012_AC_3098_delega_PA.docx</vt:lpwstr>
      </vt:variant>
      <vt:variant>
        <vt:lpwstr/>
      </vt:variant>
      <vt:variant>
        <vt:i4>4522097</vt:i4>
      </vt:variant>
      <vt:variant>
        <vt:i4>501</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http://documenti.camera.it/apps/commonServices/getDocumento.ashx?sezione=bollettini&amp;tipoDoc=comunicato&amp;idlegislatura=17&amp;anno=2015&amp;mese=06&amp;giorno=11&amp;view=filtered_48&amp;idCommissione=48&amp;ancora=data.20150611.com48.bollettino.sede00010.tit00010</vt:lpwstr>
      </vt:variant>
      <vt:variant>
        <vt:lpwstr>data.20150611.com</vt:lpwstr>
      </vt:variant>
      <vt:variant>
        <vt:i4>3342359</vt:i4>
      </vt:variant>
      <vt:variant>
        <vt:i4>498</vt:i4>
      </vt:variant>
      <vt:variant>
        <vt:i4>0</vt:i4>
      </vt:variant>
      <vt:variant>
        <vt:i4>5</vt:i4>
      </vt:variant>
      <vt:variant>
        <vt:lpwstr>\\Ncs01_pool01_server\vol01\DATI\camera01\STUDI-COMITATO\XVII\RAPPORTO_FORMISANO\0011_AC_3134_pensioni.docx</vt:lpwstr>
      </vt:variant>
      <vt:variant>
        <vt:lpwstr/>
      </vt:variant>
      <vt:variant>
        <vt:i4>4194416</vt:i4>
      </vt:variant>
      <vt:variant>
        <vt:i4>495</vt:i4>
      </vt:variant>
      <vt:variant>
        <vt:i4>0</vt:i4>
      </vt:variant>
      <vt:variant>
        <vt:i4>5</vt:i4>
      </vt:variant>
      <vt:variant>
        <vt:lpwstr>http://documenti.camera.it/apps/commonServices/getDocumento.ashx?sezione=bollettini&amp;tipoDoc=comunicato&amp;idlegislatura=17&amp;anno=2015&amp;mese=06&amp;giorno=04&amp;view=filtered_48&amp;idCommissione=48&amp;ancora=data.20150604.com48.bollettino.sede00010.tit00010</vt:lpwstr>
      </vt:variant>
      <vt:variant>
        <vt:lpwstr>data.20150604.com</vt:lpwstr>
      </vt:variant>
      <vt:variant>
        <vt:i4>7929921</vt:i4>
      </vt:variant>
      <vt:variant>
        <vt:i4>492</vt:i4>
      </vt:variant>
      <vt:variant>
        <vt:i4>0</vt:i4>
      </vt:variant>
      <vt:variant>
        <vt:i4>5</vt:i4>
      </vt:variant>
      <vt:variant>
        <vt:lpwstr>\\Ncs01_pool01_server\vol01\DATI\camera01\STUDI-COMITATO\XVII\RAPPORTO_FORMISANO\0010_AC_3104_agricoltura.docx</vt:lpwstr>
      </vt:variant>
      <vt:variant>
        <vt:lpwstr/>
      </vt:variant>
      <vt:variant>
        <vt:i4>4456561</vt:i4>
      </vt:variant>
      <vt:variant>
        <vt:i4>489</vt:i4>
      </vt:variant>
      <vt:variant>
        <vt:i4>0</vt:i4>
      </vt:variant>
      <vt:variant>
        <vt:i4>5</vt:i4>
      </vt:variant>
      <vt:variant>
        <vt:lpwstr>http://documenti.camera.it/apps/commonServices/getDocumento.ashx?sezione=bollettini&amp;tipoDoc=comunicato&amp;idlegislatura=17&amp;anno=2015&amp;mese=05&amp;giorno=13&amp;view=filtered_48&amp;idCommissione=48&amp;ancora=data.20150513.com48.bollettino.sede00010.tit00010</vt:lpwstr>
      </vt:variant>
      <vt:variant>
        <vt:lpwstr>data.20150513.com</vt:lpwstr>
      </vt:variant>
      <vt:variant>
        <vt:i4>8</vt:i4>
      </vt:variant>
      <vt:variant>
        <vt:i4>486</vt:i4>
      </vt:variant>
      <vt:variant>
        <vt:i4>0</vt:i4>
      </vt:variant>
      <vt:variant>
        <vt:i4>5</vt:i4>
      </vt:variant>
      <vt:variant>
        <vt:lpwstr>\\Ncs01_pool01_server\vol01\DATI\camera01\STUDI-COMITATO\XVII\RAPPORTO_FORMISANO\0009_AC_2994_buona_scuola.docx</vt:lpwstr>
      </vt:variant>
      <vt:variant>
        <vt:lpwstr/>
      </vt:variant>
      <vt:variant>
        <vt:i4>4980849</vt:i4>
      </vt:variant>
      <vt:variant>
        <vt:i4>483</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http://documenti.camera.it/apps/commonServices/getDocumento.ashx?sezione=bollettini&amp;tipoDoc=comunicato&amp;idlegislatura=17&amp;anno=2015&amp;mese=04&amp;giorno=28&amp;view=filtered_48&amp;idCommissione=48&amp;ancora=data.20150428.com48.bollettino.sede00030.tit00020</vt:lpwstr>
      </vt:variant>
      <vt:variant>
        <vt:lpwstr>data.20150428.com</vt:lpwstr>
      </vt:variant>
      <vt:variant>
        <vt:i4>6619158</vt:i4>
      </vt:variant>
      <vt:variant>
        <vt:i4>480</vt:i4>
      </vt:variant>
      <vt:variant>
        <vt:i4>0</vt:i4>
      </vt:variant>
      <vt:variant>
        <vt:i4>5</vt:i4>
      </vt:variant>
      <vt:variant>
        <vt:lpwstr>\\Ncs01_pool01_server\vol01\DATI\camera01\STUDI-COMITATO\XVII\RAPPORTO_FORMISANO\0006_TU_3bis_B_elez_Camera.docx</vt:lpwstr>
      </vt:variant>
      <vt:variant>
        <vt:lpwstr/>
      </vt:variant>
      <vt:variant>
        <vt:i4>4456562</vt:i4>
      </vt:variant>
      <vt:variant>
        <vt:i4>477</vt:i4>
      </vt:variant>
      <vt:variant>
        <vt:i4>0</vt:i4>
      </vt:variant>
      <vt:variant>
        <vt:i4>5</vt:i4>
      </vt:variant>
      <vt:variant>
        <vt:lpwstr>http://documenti.camera.it/apps/commonServices/getDocumento.ashx?sezione=bollettini&amp;tipoDoc=comunicato&amp;idlegislatura=17&amp;anno=2015&amp;mese=04&amp;giorno=22&amp;view=filtered_48&amp;idCommissione=48&amp;ancora=data.20150422.com48.bollettino.sede00010.tit00010</vt:lpwstr>
      </vt:variant>
      <vt:variant>
        <vt:lpwstr>data.20150422.com</vt:lpwstr>
      </vt:variant>
      <vt:variant>
        <vt:i4>7798893</vt:i4>
      </vt:variant>
      <vt:variant>
        <vt:i4>474</vt:i4>
      </vt:variant>
      <vt:variant>
        <vt:i4>0</vt:i4>
      </vt:variant>
      <vt:variant>
        <vt:i4>5</vt:i4>
      </vt:variant>
      <vt:variant>
        <vt:lpwstr>\\Ncs01_pool01_server\vol01\DATI\camera01\STUDI-COMITATO\XVII\RAPPORTO_FORMISANO\0004_AC_2893_terrorismo_missioni.docx</vt:lpwstr>
      </vt:variant>
      <vt:variant>
        <vt:lpwstr/>
      </vt:variant>
      <vt:variant>
        <vt:i4>4653170</vt:i4>
      </vt:variant>
      <vt:variant>
        <vt:i4>471</vt:i4>
      </vt:variant>
      <vt:variant>
        <vt:i4>0</vt:i4>
      </vt:variant>
      <vt:variant>
        <vt:i4>5</vt:i4>
      </vt:variant>
      <vt:variant>
        <vt:lpwstr>http://documenti.camera.it/apps/commonServices/getDocumento.ashx?sezione=bollettini&amp;tipoDoc=comunicato&amp;idlegislatura=17&amp;anno=2015&amp;mese=02&amp;giorno=27&amp;view=filtered_48&amp;idCommissione=48&amp;ancora=data.20150227.com48.bollettino.sede00010.tit00010</vt:lpwstr>
      </vt:variant>
      <vt:variant>
        <vt:lpwstr>data.20150227.com</vt:lpwstr>
      </vt:variant>
      <vt:variant>
        <vt:i4>2293809</vt:i4>
      </vt:variant>
      <vt:variant>
        <vt:i4>468</vt:i4>
      </vt:variant>
      <vt:variant>
        <vt:i4>0</vt:i4>
      </vt:variant>
      <vt:variant>
        <vt:i4>5</vt:i4>
      </vt:variant>
      <vt:variant>
        <vt:lpwstr>\\Ncs01_pool01_server\vol01\DATI\camera01\STUDI-COMITATO\XVII\RAPPORTO_FORMISANO\0003_AC_2894_ILVA_Taranto.docx</vt:lpwstr>
      </vt:variant>
      <vt:variant>
        <vt:lpwstr/>
      </vt:variant>
      <vt:variant>
        <vt:i4>4456562</vt:i4>
      </vt:variant>
      <vt:variant>
        <vt:i4>465</vt:i4>
      </vt:variant>
      <vt:variant>
        <vt:i4>0</vt:i4>
      </vt:variant>
      <vt:variant>
        <vt:i4>5</vt:i4>
      </vt:variant>
      <vt:variant>
        <vt:lpwstr>http://documenti.camera.it/apps/commonServices/getDocumento.ashx?sezione=bollettini&amp;tipoDoc=comunicato&amp;idlegislatura=17&amp;anno=2015&amp;mese=02&amp;giorno=24&amp;view=filtered_48&amp;idCommissione=48&amp;ancora=data.20150224.com48.bollettino.sede00010.tit00010</vt:lpwstr>
      </vt:variant>
      <vt:variant>
        <vt:lpwstr>data.20150224.com</vt:lpwstr>
      </vt:variant>
      <vt:variant>
        <vt:i4>1310724</vt:i4>
      </vt:variant>
      <vt:variant>
        <vt:i4>462</vt:i4>
      </vt:variant>
      <vt:variant>
        <vt:i4>0</vt:i4>
      </vt:variant>
      <vt:variant>
        <vt:i4>5</vt:i4>
      </vt:variant>
      <vt:variant>
        <vt:lpwstr>\\Ncs01_pool01_server\vol01\DATI\camera01\STUDI-COMITATO\XVII\RAPPORTO_FORMISANO\0002_AC_2844_sistema_bancario.docx</vt:lpwstr>
      </vt:variant>
      <vt:variant>
        <vt:lpwstr/>
      </vt:variant>
      <vt:variant>
        <vt:i4>4194417</vt:i4>
      </vt:variant>
      <vt:variant>
        <vt:i4>459</vt:i4>
      </vt:variant>
      <vt:variant>
        <vt:i4>0</vt:i4>
      </vt:variant>
      <vt:variant>
        <vt:i4>5</vt:i4>
      </vt:variant>
      <vt:variant>
        <vt:lpwstr>http://documenti.camera.it/apps/commonServices/getDocumento.ashx?sezione=bollettini&amp;tipoDoc=comunicato&amp;idlegislatura=17&amp;anno=2015&amp;mese=02&amp;giorno=10&amp;view=filtered_48&amp;idCommissione=48&amp;ancora=data.20150210.com48.bollettino.sede00010.tit00010</vt:lpwstr>
      </vt:variant>
      <vt:variant>
        <vt:lpwstr>data.20150210.com</vt:lpwstr>
      </vt:variant>
      <vt:variant>
        <vt:i4>7864444</vt:i4>
      </vt:variant>
      <vt:variant>
        <vt:i4>456</vt:i4>
      </vt:variant>
      <vt:variant>
        <vt:i4>0</vt:i4>
      </vt:variant>
      <vt:variant>
        <vt:i4>5</vt:i4>
      </vt:variant>
      <vt:variant>
        <vt:lpwstr>\\Ncs01_pool01_server\vol01\DATI\camera01\STUDI-COMITATO\XVII\RAPPORTO_FORMISANO\0001_AC_2803_mille_proroghe.docx</vt:lpwstr>
      </vt:variant>
      <vt:variant>
        <vt:lpwstr/>
      </vt:variant>
      <vt:variant>
        <vt:i4>4587633</vt:i4>
      </vt:variant>
      <vt:variant>
        <vt:i4>453</vt:i4>
      </vt:variant>
      <vt:variant>
        <vt:i4>0</vt:i4>
      </vt:variant>
      <vt:variant>
        <vt:i4>5</vt:i4>
      </vt:variant>
      <vt:variant>
        <vt:lpwstr>http://documenti.camera.it/apps/commonServices/getDocumento.ashx?sezione=bollettini&amp;tipoDoc=comunicato&amp;idlegislatura=17&amp;anno=2015&amp;mese=01&amp;giorno=15&amp;view=filtered_48&amp;idCommissione=48&amp;ancora=data.20150115.com48.bollettino.sede00010.tit00010</vt:lpwstr>
      </vt:variant>
      <vt:variant>
        <vt:lpwstr>data.20150115.com</vt:lpwstr>
      </vt:variant>
      <vt:variant>
        <vt:i4>1638419</vt:i4>
      </vt:variant>
      <vt:variant>
        <vt:i4>450</vt:i4>
      </vt:variant>
      <vt:variant>
        <vt:i4>0</vt:i4>
      </vt:variant>
      <vt:variant>
        <vt:i4>5</vt:i4>
      </vt:variant>
      <vt:variant>
        <vt:lpwstr>\\Ncs01_pool01_server\vol01\DATI\camera01\STUDI-COMITATO\XVII\RAPPORTO_FORMISANO\0026_AC_3386_finanza_pubblica.docx</vt:lpwstr>
      </vt:variant>
      <vt:variant>
        <vt:lpwstr/>
      </vt:variant>
      <vt:variant>
        <vt:i4>4456561</vt:i4>
      </vt:variant>
      <vt:variant>
        <vt:i4>447</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http://documenti.camera.it/apps/commonServices/getDocumento.ashx?sezione=bollettini&amp;tipoDoc=comunicato&amp;idlegislatura=17&amp;anno=2015&amp;mese=11&amp;giorno=04&amp;view=filtered_48&amp;idCommissione=48&amp;ancora=data.20151104.com48.bollettino.sede00020.tit00010</vt:lpwstr>
      </vt:variant>
      <vt:variant>
        <vt:lpwstr>data.20151104.com</vt:lpwstr>
      </vt:variant>
      <vt:variant>
        <vt:i4>4456533</vt:i4>
      </vt:variant>
      <vt:variant>
        <vt:i4>444</vt:i4>
      </vt:variant>
      <vt:variant>
        <vt:i4>0</vt:i4>
      </vt:variant>
      <vt:variant>
        <vt:i4>5</vt:i4>
      </vt:variant>
      <vt:variant>
        <vt:lpwstr>\\Ncs01_pool01_server\vol01\DATI\camera01\STUDI-COMITATO\XVII\RAPPORTO_FORMISANO\0025_AC_2613B_riforme_costituzionali.docx</vt:lpwstr>
      </vt:variant>
      <vt:variant>
        <vt:lpwstr/>
      </vt:variant>
      <vt:variant>
        <vt:i4>4653169</vt:i4>
      </vt:variant>
      <vt:variant>
        <vt:i4>441</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http://documenti.camera.it/apps/commonServices/getDocumento.ashx?sezione=bollettini&amp;tipoDoc=comunicato&amp;idlegislatura=17&amp;anno=2015&amp;mese=11&amp;giorno=04&amp;view=filtered_48&amp;idCommissione=48&amp;ancora=data.20151104.com48.bollettino.sede00010.tit00010</vt:lpwstr>
      </vt:variant>
      <vt:variant>
        <vt:lpwstr>data.20151104.com</vt:lpwstr>
      </vt:variant>
      <vt:variant>
        <vt:i4>5832812</vt:i4>
      </vt:variant>
      <vt:variant>
        <vt:i4>438</vt:i4>
      </vt:variant>
      <vt:variant>
        <vt:i4>0</vt:i4>
      </vt:variant>
      <vt:variant>
        <vt:i4>5</vt:i4>
      </vt:variant>
      <vt:variant>
        <vt:lpwstr>\\Ncs01_pool01_server\vol01\DATI\camera01\STUDI-COMITATO\XVII\RAPPORTO_FORMISANO\0023_AC_3272_delega_riforma_RAI.docx</vt:lpwstr>
      </vt:variant>
      <vt:variant>
        <vt:lpwstr/>
      </vt:variant>
      <vt:variant>
        <vt:i4>4718707</vt:i4>
      </vt:variant>
      <vt:variant>
        <vt:i4>435</vt:i4>
      </vt:variant>
      <vt:variant>
        <vt:i4>0</vt:i4>
      </vt:variant>
      <vt:variant>
        <vt:i4>5</vt:i4>
      </vt:variant>
      <vt:variant>
        <vt:lpwstr>http://documenti.camera.it/apps/commonServices/getDocumento.ashx?sezione=bollettini&amp;tipoDoc=comunicato&amp;idlegislatura=17&amp;anno=2015&amp;mese=09&amp;giorno=30&amp;view=filtered_48&amp;idCommissione=48&amp;ancora=data.20150930.com48.bollettino.sede00020.tit00010</vt:lpwstr>
      </vt:variant>
      <vt:variant>
        <vt:lpwstr>data.20150930.com</vt:lpwstr>
      </vt:variant>
      <vt:variant>
        <vt:i4>6226011</vt:i4>
      </vt:variant>
      <vt:variant>
        <vt:i4>432</vt:i4>
      </vt:variant>
      <vt:variant>
        <vt:i4>0</vt:i4>
      </vt:variant>
      <vt:variant>
        <vt:i4>5</vt:i4>
      </vt:variant>
      <vt:variant>
        <vt:lpwstr>\\Ncs01_pool01_server\vol01\DATI\camera01\STUDI-COMITATO\XVII\RAPPORTO_FORMISANO\0021_AC_3194_delega_appalti.docx</vt:lpwstr>
      </vt:variant>
      <vt:variant>
        <vt:lpwstr/>
      </vt:variant>
      <vt:variant>
        <vt:i4>4587635</vt:i4>
      </vt:variant>
      <vt:variant>
        <vt:i4>429</vt:i4>
      </vt:variant>
      <vt:variant>
        <vt:i4>0</vt:i4>
      </vt:variant>
      <vt:variant>
        <vt:i4>5</vt:i4>
      </vt:variant>
      <vt:variant>
        <vt:lpwstr>http://documenti.camera.it/apps/commonServices/getDocumento.ashx?sezione=bollettini&amp;tipoDoc=comunicato&amp;idlegislatura=17&amp;anno=2015&amp;mese=07&amp;giorno=30&amp;view=filtered_48&amp;idCommissione=48&amp;ancora=data.20150730.com48.bollettino.sede00020.tit00010</vt:lpwstr>
      </vt:variant>
      <vt:variant>
        <vt:lpwstr>data.20150730.com</vt:lpwstr>
      </vt:variant>
      <vt:variant>
        <vt:i4>1638427</vt:i4>
      </vt:variant>
      <vt:variant>
        <vt:i4>426</vt:i4>
      </vt:variant>
      <vt:variant>
        <vt:i4>0</vt:i4>
      </vt:variant>
      <vt:variant>
        <vt:i4>5</vt:i4>
      </vt:variant>
      <vt:variant>
        <vt:lpwstr>\\Ncs01_pool01_server\vol01\DATI\camera01\STUDI-COMITATO\XVII\RAPPORTO_FORMISANO\0020_AC_3262_enti_territoriali.docx</vt:lpwstr>
      </vt:variant>
      <vt:variant>
        <vt:lpwstr/>
      </vt:variant>
      <vt:variant>
        <vt:i4>4522099</vt:i4>
      </vt:variant>
      <vt:variant>
        <vt:i4>423</vt:i4>
      </vt:variant>
      <vt:variant>
        <vt:i4>0</vt:i4>
      </vt:variant>
      <vt:variant>
        <vt:i4>5</vt:i4>
      </vt:variant>
      <vt:variant>
        <vt:lpwstr>http://documenti.camera.it/apps/commonServices/getDocumento.ashx?sezione=bollettini&amp;tipoDoc=comunicato&amp;idlegislatura=17&amp;anno=2015&amp;mese=07&amp;giorno=30&amp;view=filtered_48&amp;idCommissione=48&amp;ancora=data.20150730.com48.bollettino.sede00010.tit00010</vt:lpwstr>
      </vt:variant>
      <vt:variant>
        <vt:lpwstr>data.20150730.com</vt:lpwstr>
      </vt:variant>
      <vt:variant>
        <vt:i4>458776</vt:i4>
      </vt:variant>
      <vt:variant>
        <vt:i4>420</vt:i4>
      </vt:variant>
      <vt:variant>
        <vt:i4>0</vt:i4>
      </vt:variant>
      <vt:variant>
        <vt:i4>5</vt:i4>
      </vt:variant>
      <vt:variant>
        <vt:lpwstr>\\Ncs01_pool01_server\vol01\DATI\camera01\STUDI-COMITATO\XVII\RAPPORTO_FORMISANO\0017_AC_3210_rifiuti_ILVA.docx</vt:lpwstr>
      </vt:variant>
      <vt:variant>
        <vt:lpwstr/>
      </vt:variant>
      <vt:variant>
        <vt:i4>4194417</vt:i4>
      </vt:variant>
      <vt:variant>
        <vt:i4>417</vt:i4>
      </vt:variant>
      <vt:variant>
        <vt:i4>0</vt:i4>
      </vt:variant>
      <vt:variant>
        <vt:i4>5</vt:i4>
      </vt:variant>
      <vt:variant>
        <vt:lpwstr>http://documenti.camera.it/apps/commonServices/getDocumento.ashx?sezione=bollettini&amp;tipoDoc=comunicato&amp;idlegislatura=17&amp;anno=2015&amp;mese=07&amp;giorno=15&amp;view=filtered_48&amp;idCommissione=48&amp;ancora=data.20150715.com48.bollettino.sede00010.tit00010</vt:lpwstr>
      </vt:variant>
      <vt:variant>
        <vt:lpwstr>data.20150715.com</vt:lpwstr>
      </vt:variant>
      <vt:variant>
        <vt:i4>3473415</vt:i4>
      </vt:variant>
      <vt:variant>
        <vt:i4>414</vt:i4>
      </vt:variant>
      <vt:variant>
        <vt:i4>0</vt:i4>
      </vt:variant>
      <vt:variant>
        <vt:i4>5</vt:i4>
      </vt:variant>
      <vt:variant>
        <vt:lpwstr>\\Ncs01_pool01_server\vol01\DATI\camera01\STUDI-COMITATO\XVII\RAPPORTO_FORMISANO\0016_AC_3201_fallimenti_CC_CPC.docx</vt:lpwstr>
      </vt:variant>
      <vt:variant>
        <vt:lpwstr/>
      </vt:variant>
      <vt:variant>
        <vt:i4>5046384</vt:i4>
      </vt:variant>
      <vt:variant>
        <vt:i4>411</vt:i4>
      </vt:variant>
      <vt:variant>
        <vt:i4>0</vt:i4>
      </vt:variant>
      <vt:variant>
        <vt:i4>5</vt:i4>
      </vt:variant>
      <vt:variant>
        <vt:lpwstr>http://documenti.camera.it/apps/commonServices/getDocumento.ashx?sezione=bollettini&amp;tipoDoc=comunicato&amp;idlegislatura=17&amp;anno=2015&amp;mese=07&amp;giorno=08&amp;view=filtered_48&amp;idCommissione=48&amp;ancora=data.20150708.com48.bollettino.sede00010.tit00010</vt:lpwstr>
      </vt:variant>
      <vt:variant>
        <vt:lpwstr>data.20150708.com</vt:lpwstr>
      </vt:variant>
      <vt:variant>
        <vt:i4>1245220</vt:i4>
      </vt:variant>
      <vt:variant>
        <vt:i4>408</vt:i4>
      </vt:variant>
      <vt:variant>
        <vt:i4>0</vt:i4>
      </vt:variant>
      <vt:variant>
        <vt:i4>5</vt:i4>
      </vt:variant>
      <vt:variant>
        <vt:lpwstr>\\Ncs01_pool01_server\vol01\DATI\camera01\STUDI-COMITATO\XVII\RAPPORTO_FORMISANO\0014_AC_2798_Modifiche_CP_CPP.docx</vt:lpwstr>
      </vt:variant>
      <vt:variant>
        <vt:lpwstr/>
      </vt:variant>
      <vt:variant>
        <vt:i4>4653168</vt:i4>
      </vt:variant>
      <vt:variant>
        <vt:i4>405</vt:i4>
      </vt:variant>
      <vt:variant>
        <vt:i4>0</vt:i4>
      </vt:variant>
      <vt:variant>
        <vt:i4>5</vt:i4>
      </vt:variant>
      <vt:variant>
        <vt:lpwstr>http://documenti.camera.it/apps/commonServices/getDocumento.ashx?sezione=bollettini&amp;tipoDoc=comunicato&amp;idlegislatura=17&amp;anno=2015&amp;mese=07&amp;giorno=02&amp;view=filtered_48&amp;idCommissione=48&amp;ancora=data.20150702.com48.bollettino.sede00010.tit00010</vt:lpwstr>
      </vt:variant>
      <vt:variant>
        <vt:lpwstr>data.20150702.com</vt:lpwstr>
      </vt:variant>
      <vt:variant>
        <vt:i4>1769498</vt:i4>
      </vt:variant>
      <vt:variant>
        <vt:i4>402</vt:i4>
      </vt:variant>
      <vt:variant>
        <vt:i4>0</vt:i4>
      </vt:variant>
      <vt:variant>
        <vt:i4>5</vt:i4>
      </vt:variant>
      <vt:variant>
        <vt:lpwstr>\\Ncs01_pool01_server\vol01\DATI\camera01\STUDI-COMITATO\XVII\RAPPORTO_FORMISANO\0013_AC_3123_L_delegaz_UE_2014.docx</vt:lpwstr>
      </vt:variant>
      <vt:variant>
        <vt:lpwstr/>
      </vt:variant>
      <vt:variant>
        <vt:i4>4522098</vt:i4>
      </vt:variant>
      <vt:variant>
        <vt:i4>399</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http://documenti.camera.it/apps/commonServices/getDocumento.ashx?sezione=bollettini&amp;tipoDoc=comunicato&amp;idlegislatura=17&amp;anno=2015&amp;mese=06&amp;giorno=11&amp;view=filtered_48&amp;idCommissione=48&amp;ancora=data.20150611.com48.bollettino.sede00010.tit00020</vt:lpwstr>
      </vt:variant>
      <vt:variant>
        <vt:lpwstr>data.20150611.com</vt:lpwstr>
      </vt:variant>
      <vt:variant>
        <vt:i4>393239</vt:i4>
      </vt:variant>
      <vt:variant>
        <vt:i4>396</vt:i4>
      </vt:variant>
      <vt:variant>
        <vt:i4>0</vt:i4>
      </vt:variant>
      <vt:variant>
        <vt:i4>5</vt:i4>
      </vt:variant>
      <vt:variant>
        <vt:lpwstr>\\Ncs01_pool01_server\vol01\DATI\camera01\STUDI-COMITATO\XVII\RAPPORTO_FORMISANO\0012_AC_3098_delega_PA.docx</vt:lpwstr>
      </vt:variant>
      <vt:variant>
        <vt:lpwstr/>
      </vt:variant>
      <vt:variant>
        <vt:i4>4522097</vt:i4>
      </vt:variant>
      <vt:variant>
        <vt:i4>393</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http://documenti.camera.it/apps/commonServices/getDocumento.ashx?sezione=bollettini&amp;tipoDoc=comunicato&amp;idlegislatura=17&amp;anno=2015&amp;mese=06&amp;giorno=11&amp;view=filtered_48&amp;idCommissione=48&amp;ancora=data.20150611.com48.bollettino.sede00010.tit00010</vt:lpwstr>
      </vt:variant>
      <vt:variant>
        <vt:lpwstr>data.20150611.com</vt:lpwstr>
      </vt:variant>
      <vt:variant>
        <vt:i4>3342359</vt:i4>
      </vt:variant>
      <vt:variant>
        <vt:i4>390</vt:i4>
      </vt:variant>
      <vt:variant>
        <vt:i4>0</vt:i4>
      </vt:variant>
      <vt:variant>
        <vt:i4>5</vt:i4>
      </vt:variant>
      <vt:variant>
        <vt:lpwstr>\\Ncs01_pool01_server\vol01\DATI\camera01\STUDI-COMITATO\XVII\RAPPORTO_FORMISANO\0011_AC_3134_pensioni.docx</vt:lpwstr>
      </vt:variant>
      <vt:variant>
        <vt:lpwstr/>
      </vt:variant>
      <vt:variant>
        <vt:i4>4194416</vt:i4>
      </vt:variant>
      <vt:variant>
        <vt:i4>387</vt:i4>
      </vt:variant>
      <vt:variant>
        <vt:i4>0</vt:i4>
      </vt:variant>
      <vt:variant>
        <vt:i4>5</vt:i4>
      </vt:variant>
      <vt:variant>
        <vt:lpwstr>http://documenti.camera.it/apps/commonServices/getDocumento.ashx?sezione=bollettini&amp;tipoDoc=comunicato&amp;idlegislatura=17&amp;anno=2015&amp;mese=06&amp;giorno=04&amp;view=filtered_48&amp;idCommissione=48&amp;ancora=data.20150604.com48.bollettino.sede00010.tit00010</vt:lpwstr>
      </vt:variant>
      <vt:variant>
        <vt:lpwstr>data.20150604.com</vt:lpwstr>
      </vt:variant>
      <vt:variant>
        <vt:i4>7929921</vt:i4>
      </vt:variant>
      <vt:variant>
        <vt:i4>384</vt:i4>
      </vt:variant>
      <vt:variant>
        <vt:i4>0</vt:i4>
      </vt:variant>
      <vt:variant>
        <vt:i4>5</vt:i4>
      </vt:variant>
      <vt:variant>
        <vt:lpwstr>\\Ncs01_pool01_server\vol01\DATI\camera01\STUDI-COMITATO\XVII\RAPPORTO_FORMISANO\0010_AC_3104_agricoltura.docx</vt:lpwstr>
      </vt:variant>
      <vt:variant>
        <vt:lpwstr/>
      </vt:variant>
      <vt:variant>
        <vt:i4>4456561</vt:i4>
      </vt:variant>
      <vt:variant>
        <vt:i4>381</vt:i4>
      </vt:variant>
      <vt:variant>
        <vt:i4>0</vt:i4>
      </vt:variant>
      <vt:variant>
        <vt:i4>5</vt:i4>
      </vt:variant>
      <vt:variant>
        <vt:lpwstr>http://documenti.camera.it/apps/commonServices/getDocumento.ashx?sezione=bollettini&amp;tipoDoc=comunicato&amp;idlegislatura=17&amp;anno=2015&amp;mese=05&amp;giorno=13&amp;view=filtered_48&amp;idCommissione=48&amp;ancora=data.20150513.com48.bollettino.sede00010.tit00010</vt:lpwstr>
      </vt:variant>
      <vt:variant>
        <vt:lpwstr>data.20150513.com</vt:lpwstr>
      </vt:variant>
      <vt:variant>
        <vt:i4>8</vt:i4>
      </vt:variant>
      <vt:variant>
        <vt:i4>378</vt:i4>
      </vt:variant>
      <vt:variant>
        <vt:i4>0</vt:i4>
      </vt:variant>
      <vt:variant>
        <vt:i4>5</vt:i4>
      </vt:variant>
      <vt:variant>
        <vt:lpwstr>\\Ncs01_pool01_server\vol01\DATI\camera01\STUDI-COMITATO\XVII\RAPPORTO_FORMISANO\0009_AC_2994_buona_scuola.docx</vt:lpwstr>
      </vt:variant>
      <vt:variant>
        <vt:lpwstr/>
      </vt:variant>
      <vt:variant>
        <vt:i4>4980849</vt:i4>
      </vt:variant>
      <vt:variant>
        <vt:i4>375</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http://documenti.camera.it/apps/commonServices/getDocumento.ashx?sezione=bollettini&amp;tipoDoc=comunicato&amp;idlegislatura=17&amp;anno=2015&amp;mese=04&amp;giorno=28&amp;view=filtered_48&amp;idCommissione=48&amp;ancora=data.20150428.com48.bollettino.sede00030.tit00020</vt:lpwstr>
      </vt:variant>
      <vt:variant>
        <vt:lpwstr>data.20150428.com</vt:lpwstr>
      </vt:variant>
      <vt:variant>
        <vt:i4>6619223</vt:i4>
      </vt:variant>
      <vt:variant>
        <vt:i4>372</vt:i4>
      </vt:variant>
      <vt:variant>
        <vt:i4>0</vt:i4>
      </vt:variant>
      <vt:variant>
        <vt:i4>5</vt:i4>
      </vt:variant>
      <vt:variant>
        <vt:lpwstr>\\Ncs01_pool01_server\vol01\DATI\camera01\STUDI-COMITATO\XVII\RAPPORTO_FORMISANO\0008_delega_nautica_diporto.docx</vt:lpwstr>
      </vt:variant>
      <vt:variant>
        <vt:lpwstr/>
      </vt:variant>
      <vt:variant>
        <vt:i4>4980850</vt:i4>
      </vt:variant>
      <vt:variant>
        <vt:i4>369</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http://documenti.camera.it/apps/commonServices/getDocumento.ashx?sezione=bollettini&amp;tipoDoc=comunicato&amp;idlegislatura=17&amp;anno=2015&amp;mese=04&amp;giorno=28&amp;view=filtered_48&amp;idCommissione=48&amp;ancora=data.20150428.com48.bollettino.sede00030.tit00010</vt:lpwstr>
      </vt:variant>
      <vt:variant>
        <vt:lpwstr>data.20150428.com</vt:lpwstr>
      </vt:variant>
      <vt:variant>
        <vt:i4>6619158</vt:i4>
      </vt:variant>
      <vt:variant>
        <vt:i4>366</vt:i4>
      </vt:variant>
      <vt:variant>
        <vt:i4>0</vt:i4>
      </vt:variant>
      <vt:variant>
        <vt:i4>5</vt:i4>
      </vt:variant>
      <vt:variant>
        <vt:lpwstr>\\Ncs01_pool01_server\vol01\DATI\camera01\STUDI-COMITATO\XVII\RAPPORTO_FORMISANO\0006_TU_3bis_B_elez_Camera.docx</vt:lpwstr>
      </vt:variant>
      <vt:variant>
        <vt:lpwstr/>
      </vt:variant>
      <vt:variant>
        <vt:i4>4456562</vt:i4>
      </vt:variant>
      <vt:variant>
        <vt:i4>363</vt:i4>
      </vt:variant>
      <vt:variant>
        <vt:i4>0</vt:i4>
      </vt:variant>
      <vt:variant>
        <vt:i4>5</vt:i4>
      </vt:variant>
      <vt:variant>
        <vt:lpwstr>http://documenti.camera.it/apps/commonServices/getDocumento.ashx?sezione=bollettini&amp;tipoDoc=comunicato&amp;idlegislatura=17&amp;anno=2015&amp;mese=04&amp;giorno=22&amp;view=filtered_48&amp;idCommissione=48&amp;ancora=data.20150422.com48.bollettino.sede00010.tit00010</vt:lpwstr>
      </vt:variant>
      <vt:variant>
        <vt:lpwstr>data.20150422.com</vt:lpwstr>
      </vt:variant>
      <vt:variant>
        <vt:i4>3604521</vt:i4>
      </vt:variant>
      <vt:variant>
        <vt:i4>360</vt:i4>
      </vt:variant>
      <vt:variant>
        <vt:i4>0</vt:i4>
      </vt:variant>
      <vt:variant>
        <vt:i4>5</vt:i4>
      </vt:variant>
      <vt:variant>
        <vt:lpwstr>\\Ncs01_pool01_server\vol01\DATI\camera01\STUDI-COMITATO\XVII\RAPPORTO_FORMISANO\0005_AC_2915_esenzione_IMU.docx</vt:lpwstr>
      </vt:variant>
      <vt:variant>
        <vt:lpwstr/>
      </vt:variant>
      <vt:variant>
        <vt:i4>4522096</vt:i4>
      </vt:variant>
      <vt:variant>
        <vt:i4>357</vt:i4>
      </vt:variant>
      <vt:variant>
        <vt:i4>0</vt:i4>
      </vt:variant>
      <vt:variant>
        <vt:i4>5</vt:i4>
      </vt:variant>
      <vt:variant>
        <vt:lpwstr>http://documenti.camera.it/apps/commonServices/getDocumento.ashx?sezione=bollettini&amp;tipoDoc=comunicato&amp;idlegislatura=17&amp;anno=2015&amp;mese=03&amp;giorno=04&amp;view=filtered_48&amp;idCommissione=48&amp;ancora=data.20150304.com48.bollettino.sede00010.tit00010</vt:lpwstr>
      </vt:variant>
      <vt:variant>
        <vt:lpwstr>data.20150304.com</vt:lpwstr>
      </vt:variant>
      <vt:variant>
        <vt:i4>7798893</vt:i4>
      </vt:variant>
      <vt:variant>
        <vt:i4>354</vt:i4>
      </vt:variant>
      <vt:variant>
        <vt:i4>0</vt:i4>
      </vt:variant>
      <vt:variant>
        <vt:i4>5</vt:i4>
      </vt:variant>
      <vt:variant>
        <vt:lpwstr>\\Ncs01_pool01_server\vol01\DATI\camera01\STUDI-COMITATO\XVII\RAPPORTO_FORMISANO\0004_AC_2893_terrorismo_missioni.docx</vt:lpwstr>
      </vt:variant>
      <vt:variant>
        <vt:lpwstr/>
      </vt:variant>
      <vt:variant>
        <vt:i4>4653170</vt:i4>
      </vt:variant>
      <vt:variant>
        <vt:i4>351</vt:i4>
      </vt:variant>
      <vt:variant>
        <vt:i4>0</vt:i4>
      </vt:variant>
      <vt:variant>
        <vt:i4>5</vt:i4>
      </vt:variant>
      <vt:variant>
        <vt:lpwstr>http://documenti.camera.it/apps/commonServices/getDocumento.ashx?sezione=bollettini&amp;tipoDoc=comunicato&amp;idlegislatura=17&amp;anno=2015&amp;mese=02&amp;giorno=27&amp;view=filtered_48&amp;idCommissione=48&amp;ancora=data.20150227.com48.bollettino.sede00010.tit00010</vt:lpwstr>
      </vt:variant>
      <vt:variant>
        <vt:lpwstr>data.20150227.com</vt:lpwstr>
      </vt:variant>
      <vt:variant>
        <vt:i4>2293809</vt:i4>
      </vt:variant>
      <vt:variant>
        <vt:i4>348</vt:i4>
      </vt:variant>
      <vt:variant>
        <vt:i4>0</vt:i4>
      </vt:variant>
      <vt:variant>
        <vt:i4>5</vt:i4>
      </vt:variant>
      <vt:variant>
        <vt:lpwstr>\\Ncs01_pool01_server\vol01\DATI\camera01\STUDI-COMITATO\XVII\RAPPORTO_FORMISANO\0003_AC_2894_ILVA_Taranto.docx</vt:lpwstr>
      </vt:variant>
      <vt:variant>
        <vt:lpwstr/>
      </vt:variant>
      <vt:variant>
        <vt:i4>4456562</vt:i4>
      </vt:variant>
      <vt:variant>
        <vt:i4>345</vt:i4>
      </vt:variant>
      <vt:variant>
        <vt:i4>0</vt:i4>
      </vt:variant>
      <vt:variant>
        <vt:i4>5</vt:i4>
      </vt:variant>
      <vt:variant>
        <vt:lpwstr>http://documenti.camera.it/apps/commonServices/getDocumento.ashx?sezione=bollettini&amp;tipoDoc=comunicato&amp;idlegislatura=17&amp;anno=2015&amp;mese=02&amp;giorno=24&amp;view=filtered_48&amp;idCommissione=48&amp;ancora=data.20150224.com48.bollettino.sede00010.tit00010</vt:lpwstr>
      </vt:variant>
      <vt:variant>
        <vt:lpwstr>data.20150224.com</vt:lpwstr>
      </vt:variant>
      <vt:variant>
        <vt:i4>1310724</vt:i4>
      </vt:variant>
      <vt:variant>
        <vt:i4>342</vt:i4>
      </vt:variant>
      <vt:variant>
        <vt:i4>0</vt:i4>
      </vt:variant>
      <vt:variant>
        <vt:i4>5</vt:i4>
      </vt:variant>
      <vt:variant>
        <vt:lpwstr>\\Ncs01_pool01_server\vol01\DATI\camera01\STUDI-COMITATO\XVII\RAPPORTO_FORMISANO\0002_AC_2844_sistema_bancario.docx</vt:lpwstr>
      </vt:variant>
      <vt:variant>
        <vt:lpwstr/>
      </vt:variant>
      <vt:variant>
        <vt:i4>4194417</vt:i4>
      </vt:variant>
      <vt:variant>
        <vt:i4>339</vt:i4>
      </vt:variant>
      <vt:variant>
        <vt:i4>0</vt:i4>
      </vt:variant>
      <vt:variant>
        <vt:i4>5</vt:i4>
      </vt:variant>
      <vt:variant>
        <vt:lpwstr>http://documenti.camera.it/apps/commonServices/getDocumento.ashx?sezione=bollettini&amp;tipoDoc=comunicato&amp;idlegislatura=17&amp;anno=2015&amp;mese=02&amp;giorno=10&amp;view=filtered_48&amp;idCommissione=48&amp;ancora=data.20150210.com48.bollettino.sede00010.tit00010</vt:lpwstr>
      </vt:variant>
      <vt:variant>
        <vt:lpwstr>data.20150210.com</vt:lpwstr>
      </vt:variant>
      <vt:variant>
        <vt:i4>7864444</vt:i4>
      </vt:variant>
      <vt:variant>
        <vt:i4>336</vt:i4>
      </vt:variant>
      <vt:variant>
        <vt:i4>0</vt:i4>
      </vt:variant>
      <vt:variant>
        <vt:i4>5</vt:i4>
      </vt:variant>
      <vt:variant>
        <vt:lpwstr>\\Ncs01_pool01_server\vol01\DATI\camera01\STUDI-COMITATO\XVII\RAPPORTO_FORMISANO\0001_AC_2803_mille_proroghe.docx</vt:lpwstr>
      </vt:variant>
      <vt:variant>
        <vt:lpwstr/>
      </vt:variant>
      <vt:variant>
        <vt:i4>4587633</vt:i4>
      </vt:variant>
      <vt:variant>
        <vt:i4>333</vt:i4>
      </vt:variant>
      <vt:variant>
        <vt:i4>0</vt:i4>
      </vt:variant>
      <vt:variant>
        <vt:i4>5</vt:i4>
      </vt:variant>
      <vt:variant>
        <vt:lpwstr>http://documenti.camera.it/apps/commonServices/getDocumento.ashx?sezione=bollettini&amp;tipoDoc=comunicato&amp;idlegislatura=17&amp;anno=2015&amp;mese=01&amp;giorno=15&amp;view=filtered_48&amp;idCommissione=48&amp;ancora=data.20150115.com48.bollettino.sede00010.tit00010</vt:lpwstr>
      </vt:variant>
      <vt:variant>
        <vt:lpwstr>data.20150115.com</vt:lpwstr>
      </vt:variant>
      <vt:variant>
        <vt:i4>7143494</vt:i4>
      </vt:variant>
      <vt:variant>
        <vt:i4>330</vt:i4>
      </vt:variant>
      <vt:variant>
        <vt:i4>0</vt:i4>
      </vt:variant>
      <vt:variant>
        <vt:i4>5</vt:i4>
      </vt:variant>
      <vt:variant>
        <vt:lpwstr>\\Ncs01_pool01_server\vol01\DATI\camera01\STUDI-COMITATO\XVII\RAPPORTO_FORMISANO\0027_TU_1138_modifiche_cod_antimafia.docx</vt:lpwstr>
      </vt:variant>
      <vt:variant>
        <vt:lpwstr/>
      </vt:variant>
      <vt:variant>
        <vt:i4>4522097</vt:i4>
      </vt:variant>
      <vt:variant>
        <vt:i4>327</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http://documenti.camera.it/apps/commonServices/getDocumento.ashx?sezione=bollettini&amp;tipoDoc=comunicato&amp;idlegislatura=17&amp;anno=2015&amp;mese=11&amp;giorno=04&amp;view=filtered_48&amp;idCommissione=48&amp;ancora=data.20151104.com48.bollettino.sede00030.tit00010</vt:lpwstr>
      </vt:variant>
      <vt:variant>
        <vt:lpwstr>data.20151104.com</vt:lpwstr>
      </vt:variant>
      <vt:variant>
        <vt:i4>1638419</vt:i4>
      </vt:variant>
      <vt:variant>
        <vt:i4>324</vt:i4>
      </vt:variant>
      <vt:variant>
        <vt:i4>0</vt:i4>
      </vt:variant>
      <vt:variant>
        <vt:i4>5</vt:i4>
      </vt:variant>
      <vt:variant>
        <vt:lpwstr>\\Ncs01_pool01_server\vol01\DATI\camera01\STUDI-COMITATO\XVII\RAPPORTO_FORMISANO\0026_AC_3386_finanza_pubblica.docx</vt:lpwstr>
      </vt:variant>
      <vt:variant>
        <vt:lpwstr/>
      </vt:variant>
      <vt:variant>
        <vt:i4>4456561</vt:i4>
      </vt:variant>
      <vt:variant>
        <vt:i4>321</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http://documenti.camera.it/apps/commonServices/getDocumento.ashx?sezione=bollettini&amp;tipoDoc=comunicato&amp;idlegislatura=17&amp;anno=2015&amp;mese=11&amp;giorno=04&amp;view=filtered_48&amp;idCommissione=48&amp;ancora=data.20151104.com48.bollettino.sede00020.tit00010</vt:lpwstr>
      </vt:variant>
      <vt:variant>
        <vt:lpwstr>data.20151104.com</vt:lpwstr>
      </vt:variant>
      <vt:variant>
        <vt:i4>4456533</vt:i4>
      </vt:variant>
      <vt:variant>
        <vt:i4>318</vt:i4>
      </vt:variant>
      <vt:variant>
        <vt:i4>0</vt:i4>
      </vt:variant>
      <vt:variant>
        <vt:i4>5</vt:i4>
      </vt:variant>
      <vt:variant>
        <vt:lpwstr>\\Ncs01_pool01_server\vol01\DATI\camera01\STUDI-COMITATO\XVII\RAPPORTO_FORMISANO\0025_AC_2613B_riforme_costituzionali.docx</vt:lpwstr>
      </vt:variant>
      <vt:variant>
        <vt:lpwstr/>
      </vt:variant>
      <vt:variant>
        <vt:i4>4653169</vt:i4>
      </vt:variant>
      <vt:variant>
        <vt:i4>315</vt:i4>
      </vt:variant>
      <vt:variant>
        <vt:i4>0</vt:i4>
      </vt:variant>
      <vt:variant>
        <vt:i4>5</vt:i4>
      </vt:variant>
      <vt:variant>
        <vt:lpwstr>http://documenti.camera.it/apps/commonServices/getDocumento.ashx?sezione=bollettini&amp;tipoDoc=comunicato&amp;idlegislatura=17&amp;anno=2015&amp;mese=11&amp;giorno=04&amp;view=filtered_48&amp;idCommissione=48&amp;ancora=data.20151104.com48.bollettino.sede00010.tit00010</vt:lpwstr>
      </vt:variant>
      <vt:variant>
        <vt:lpwstr>data.20151104.com</vt:lpwstr>
      </vt:variant>
      <vt:variant>
        <vt:i4>131086</vt:i4>
      </vt:variant>
      <vt:variant>
        <vt:i4>312</vt:i4>
      </vt:variant>
      <vt:variant>
        <vt:i4>0</vt:i4>
      </vt:variant>
      <vt:variant>
        <vt:i4>5</vt:i4>
      </vt:variant>
      <vt:variant>
        <vt:lpwstr>\\Ncs01_pool01_server\vol01\DATI\camera01\STUDI-COMITATO\XVII\RAPPORTO_FORMISANO\0024_AC_3340_materia_economicosociale.docx</vt:lpwstr>
      </vt:variant>
      <vt:variant>
        <vt:lpwstr/>
      </vt:variant>
      <vt:variant>
        <vt:i4>4522097</vt:i4>
      </vt:variant>
      <vt:variant>
        <vt:i4>309</vt:i4>
      </vt:variant>
      <vt:variant>
        <vt:i4>0</vt:i4>
      </vt:variant>
      <vt:variant>
        <vt:i4>5</vt:i4>
      </vt:variant>
      <vt:variant>
        <vt:lpwstr>http://documenti.camera.it/apps/commonServices/getDocumento.ashx?sezione=bollettini&amp;tipoDoc=comunicato&amp;idlegislatura=17&amp;anno=2015&amp;mese=10&amp;giorno=07&amp;view=filtered_48&amp;idCommissione=48&amp;ancora=data.20151007.com48.bollettino.sede00010.tit00010</vt:lpwstr>
      </vt:variant>
      <vt:variant>
        <vt:lpwstr>data.20151007.com</vt:lpwstr>
      </vt:variant>
      <vt:variant>
        <vt:i4>5832812</vt:i4>
      </vt:variant>
      <vt:variant>
        <vt:i4>306</vt:i4>
      </vt:variant>
      <vt:variant>
        <vt:i4>0</vt:i4>
      </vt:variant>
      <vt:variant>
        <vt:i4>5</vt:i4>
      </vt:variant>
      <vt:variant>
        <vt:lpwstr>\\Ncs01_pool01_server\vol01\DATI\camera01\STUDI-COMITATO\XVII\RAPPORTO_FORMISANO\0023_AC_3272_delega_riforma_RAI.docx</vt:lpwstr>
      </vt:variant>
      <vt:variant>
        <vt:lpwstr/>
      </vt:variant>
      <vt:variant>
        <vt:i4>4718707</vt:i4>
      </vt:variant>
      <vt:variant>
        <vt:i4>303</vt:i4>
      </vt:variant>
      <vt:variant>
        <vt:i4>0</vt:i4>
      </vt:variant>
      <vt:variant>
        <vt:i4>5</vt:i4>
      </vt:variant>
      <vt:variant>
        <vt:lpwstr>http://documenti.camera.it/apps/commonServices/getDocumento.ashx?sezione=bollettini&amp;tipoDoc=comunicato&amp;idlegislatura=17&amp;anno=2015&amp;mese=09&amp;giorno=30&amp;view=filtered_48&amp;idCommissione=48&amp;ancora=data.20150930.com48.bollettino.sede00020.tit00010</vt:lpwstr>
      </vt:variant>
      <vt:variant>
        <vt:lpwstr>data.20150930.com</vt:lpwstr>
      </vt:variant>
      <vt:variant>
        <vt:i4>5570649</vt:i4>
      </vt:variant>
      <vt:variant>
        <vt:i4>300</vt:i4>
      </vt:variant>
      <vt:variant>
        <vt:i4>0</vt:i4>
      </vt:variant>
      <vt:variant>
        <vt:i4>5</vt:i4>
      </vt:variant>
      <vt:variant>
        <vt:lpwstr>\\Ncs01_pool01_server\vol01\DATI\camera01\STUDI-COMITATO\XVII\RAPPORTO_FORMISANO\0022_AC_3315_scioperi_musei.docx</vt:lpwstr>
      </vt:variant>
      <vt:variant>
        <vt:lpwstr/>
      </vt:variant>
      <vt:variant>
        <vt:i4>4915315</vt:i4>
      </vt:variant>
      <vt:variant>
        <vt:i4>297</vt:i4>
      </vt:variant>
      <vt:variant>
        <vt:i4>0</vt:i4>
      </vt:variant>
      <vt:variant>
        <vt:i4>5</vt:i4>
      </vt:variant>
      <vt:variant>
        <vt:lpwstr>http://documenti.camera.it/apps/commonServices/getDocumento.ashx?sezione=bollettini&amp;tipoDoc=comunicato&amp;idlegislatura=17&amp;anno=2015&amp;mese=09&amp;giorno=30&amp;view=filtered_48&amp;idCommissione=48&amp;ancora=data.20150930.com48.bollettino.sede00010.tit00010</vt:lpwstr>
      </vt:variant>
      <vt:variant>
        <vt:lpwstr>data.20150930.com</vt:lpwstr>
      </vt:variant>
      <vt:variant>
        <vt:i4>6226011</vt:i4>
      </vt:variant>
      <vt:variant>
        <vt:i4>294</vt:i4>
      </vt:variant>
      <vt:variant>
        <vt:i4>0</vt:i4>
      </vt:variant>
      <vt:variant>
        <vt:i4>5</vt:i4>
      </vt:variant>
      <vt:variant>
        <vt:lpwstr>\\Ncs01_pool01_server\vol01\DATI\camera01\STUDI-COMITATO\XVII\RAPPORTO_FORMISANO\0021_AC_3194_delega_appalti.docx</vt:lpwstr>
      </vt:variant>
      <vt:variant>
        <vt:lpwstr/>
      </vt:variant>
      <vt:variant>
        <vt:i4>4587635</vt:i4>
      </vt:variant>
      <vt:variant>
        <vt:i4>291</vt:i4>
      </vt:variant>
      <vt:variant>
        <vt:i4>0</vt:i4>
      </vt:variant>
      <vt:variant>
        <vt:i4>5</vt:i4>
      </vt:variant>
      <vt:variant>
        <vt:lpwstr>http://documenti.camera.it/apps/commonServices/getDocumento.ashx?sezione=bollettini&amp;tipoDoc=comunicato&amp;idlegislatura=17&amp;anno=2015&amp;mese=07&amp;giorno=30&amp;view=filtered_48&amp;idCommissione=48&amp;ancora=data.20150730.com48.bollettino.sede00020.tit00010</vt:lpwstr>
      </vt:variant>
      <vt:variant>
        <vt:lpwstr>data.20150730.com</vt:lpwstr>
      </vt:variant>
      <vt:variant>
        <vt:i4>1638427</vt:i4>
      </vt:variant>
      <vt:variant>
        <vt:i4>288</vt:i4>
      </vt:variant>
      <vt:variant>
        <vt:i4>0</vt:i4>
      </vt:variant>
      <vt:variant>
        <vt:i4>5</vt:i4>
      </vt:variant>
      <vt:variant>
        <vt:lpwstr>\\Ncs01_pool01_server\vol01\DATI\camera01\STUDI-COMITATO\XVII\RAPPORTO_FORMISANO\0020_AC_3262_enti_territoriali.docx</vt:lpwstr>
      </vt:variant>
      <vt:variant>
        <vt:lpwstr/>
      </vt:variant>
      <vt:variant>
        <vt:i4>4522099</vt:i4>
      </vt:variant>
      <vt:variant>
        <vt:i4>285</vt:i4>
      </vt:variant>
      <vt:variant>
        <vt:i4>0</vt:i4>
      </vt:variant>
      <vt:variant>
        <vt:i4>5</vt:i4>
      </vt:variant>
      <vt:variant>
        <vt:lpwstr>http://documenti.camera.it/apps/commonServices/getDocumento.ashx?sezione=bollettini&amp;tipoDoc=comunicato&amp;idlegislatura=17&amp;anno=2015&amp;mese=07&amp;giorno=30&amp;view=filtered_48&amp;idCommissione=48&amp;ancora=data.20150730.com48.bollettino.sede00010.tit00010</vt:lpwstr>
      </vt:variant>
      <vt:variant>
        <vt:lpwstr>data.20150730.com</vt:lpwstr>
      </vt:variant>
      <vt:variant>
        <vt:i4>2228225</vt:i4>
      </vt:variant>
      <vt:variant>
        <vt:i4>282</vt:i4>
      </vt:variant>
      <vt:variant>
        <vt:i4>0</vt:i4>
      </vt:variant>
      <vt:variant>
        <vt:i4>5</vt:i4>
      </vt:variant>
      <vt:variant>
        <vt:lpwstr>\\Ncs01_pool01_server\vol01\DATI\camera01\STUDI-COMITATO\XVII\RAPPORTO_FORMISANO\0019_AC_3249_missione_EUNAVFOR_MED.docx</vt:lpwstr>
      </vt:variant>
      <vt:variant>
        <vt:lpwstr/>
      </vt:variant>
      <vt:variant>
        <vt:i4>4980850</vt:i4>
      </vt:variant>
      <vt:variant>
        <vt:i4>279</vt:i4>
      </vt:variant>
      <vt:variant>
        <vt:i4>0</vt:i4>
      </vt:variant>
      <vt:variant>
        <vt:i4>5</vt:i4>
      </vt:variant>
      <vt:variant>
        <vt:lpwstr>http://documenti.camera.it/apps/commonServices/getDocumento.ashx?sezione=bollettini&amp;tipoDoc=comunicato&amp;idlegislatura=17&amp;anno=2015&amp;mese=07&amp;giorno=29&amp;view=filtered_48&amp;idCommissione=48&amp;ancora=data.20150729.com48.bollettino.sede00010.tit00010</vt:lpwstr>
      </vt:variant>
      <vt:variant>
        <vt:lpwstr>data.20150729.com</vt:lpwstr>
      </vt:variant>
      <vt:variant>
        <vt:i4>458812</vt:i4>
      </vt:variant>
      <vt:variant>
        <vt:i4>276</vt:i4>
      </vt:variant>
      <vt:variant>
        <vt:i4>0</vt:i4>
      </vt:variant>
      <vt:variant>
        <vt:i4>5</vt:i4>
      </vt:variant>
      <vt:variant>
        <vt:lpwstr>\\Ncs01_pool01_server\vol01\DATI\camera01\STUDI-COMITATO\XVII\RAPPORTO_FORMISANO\0018_AC_2607_delega_protezione_civile.docx</vt:lpwstr>
      </vt:variant>
      <vt:variant>
        <vt:lpwstr/>
      </vt:variant>
      <vt:variant>
        <vt:i4>4391025</vt:i4>
      </vt:variant>
      <vt:variant>
        <vt:i4>273</vt:i4>
      </vt:variant>
      <vt:variant>
        <vt:i4>0</vt:i4>
      </vt:variant>
      <vt:variant>
        <vt:i4>5</vt:i4>
      </vt:variant>
      <vt:variant>
        <vt:lpwstr>http://documenti.camera.it/apps/commonServices/getDocumento.ashx?sezione=bollettini&amp;tipoDoc=comunicato&amp;idlegislatura=17&amp;anno=2015&amp;mese=07&amp;giorno=15&amp;view=filtered_48&amp;idCommissione=48&amp;ancora=data.20150715.com48.bollettino.sede00020.tit00010</vt:lpwstr>
      </vt:variant>
      <vt:variant>
        <vt:lpwstr>data.20150715.com</vt:lpwstr>
      </vt:variant>
      <vt:variant>
        <vt:i4>458776</vt:i4>
      </vt:variant>
      <vt:variant>
        <vt:i4>270</vt:i4>
      </vt:variant>
      <vt:variant>
        <vt:i4>0</vt:i4>
      </vt:variant>
      <vt:variant>
        <vt:i4>5</vt:i4>
      </vt:variant>
      <vt:variant>
        <vt:lpwstr>\\Ncs01_pool01_server\vol01\DATI\camera01\STUDI-COMITATO\XVII\RAPPORTO_FORMISANO\0017_AC_3210_rifiuti_ILVA.docx</vt:lpwstr>
      </vt:variant>
      <vt:variant>
        <vt:lpwstr/>
      </vt:variant>
      <vt:variant>
        <vt:i4>4194417</vt:i4>
      </vt:variant>
      <vt:variant>
        <vt:i4>267</vt:i4>
      </vt:variant>
      <vt:variant>
        <vt:i4>0</vt:i4>
      </vt:variant>
      <vt:variant>
        <vt:i4>5</vt:i4>
      </vt:variant>
      <vt:variant>
        <vt:lpwstr>http://documenti.camera.it/apps/commonServices/getDocumento.ashx?sezione=bollettini&amp;tipoDoc=comunicato&amp;idlegislatura=17&amp;anno=2015&amp;mese=07&amp;giorno=15&amp;view=filtered_48&amp;idCommissione=48&amp;ancora=data.20150715.com48.bollettino.sede00010.tit00010</vt:lpwstr>
      </vt:variant>
      <vt:variant>
        <vt:lpwstr>data.20150715.com</vt:lpwstr>
      </vt:variant>
      <vt:variant>
        <vt:i4>3473415</vt:i4>
      </vt:variant>
      <vt:variant>
        <vt:i4>264</vt:i4>
      </vt:variant>
      <vt:variant>
        <vt:i4>0</vt:i4>
      </vt:variant>
      <vt:variant>
        <vt:i4>5</vt:i4>
      </vt:variant>
      <vt:variant>
        <vt:lpwstr>\\Ncs01_pool01_server\vol01\DATI\camera01\STUDI-COMITATO\XVII\RAPPORTO_FORMISANO\0016_AC_3201_fallimenti_CC_CPC.docx</vt:lpwstr>
      </vt:variant>
      <vt:variant>
        <vt:lpwstr/>
      </vt:variant>
      <vt:variant>
        <vt:i4>5046384</vt:i4>
      </vt:variant>
      <vt:variant>
        <vt:i4>261</vt:i4>
      </vt:variant>
      <vt:variant>
        <vt:i4>0</vt:i4>
      </vt:variant>
      <vt:variant>
        <vt:i4>5</vt:i4>
      </vt:variant>
      <vt:variant>
        <vt:lpwstr>http://documenti.camera.it/apps/commonServices/getDocumento.ashx?sezione=bollettini&amp;tipoDoc=comunicato&amp;idlegislatura=17&amp;anno=2015&amp;mese=07&amp;giorno=08&amp;view=filtered_48&amp;idCommissione=48&amp;ancora=data.20150708.com48.bollettino.sede00010.tit00010</vt:lpwstr>
      </vt:variant>
      <vt:variant>
        <vt:lpwstr>data.20150708.com</vt:lpwstr>
      </vt:variant>
      <vt:variant>
        <vt:i4>3932217</vt:i4>
      </vt:variant>
      <vt:variant>
        <vt:i4>258</vt:i4>
      </vt:variant>
      <vt:variant>
        <vt:i4>0</vt:i4>
      </vt:variant>
      <vt:variant>
        <vt:i4>5</vt:i4>
      </vt:variant>
      <vt:variant>
        <vt:lpwstr>\\Ncs01_pool01_server\vol01\DATI\camera01\STUDI-COMITATO\XVII\RAPPORTO_FORMISANO\0015_AC_2994_B_buona_scuola_B.docx</vt:lpwstr>
      </vt:variant>
      <vt:variant>
        <vt:lpwstr/>
      </vt:variant>
      <vt:variant>
        <vt:i4>4653171</vt:i4>
      </vt:variant>
      <vt:variant>
        <vt:i4>255</vt:i4>
      </vt:variant>
      <vt:variant>
        <vt:i4>0</vt:i4>
      </vt:variant>
      <vt:variant>
        <vt:i4>5</vt:i4>
      </vt:variant>
      <vt:variant>
        <vt:lpwstr>http://documenti.camera.it/apps/commonServices/getDocumento.ashx?sezione=bollettini&amp;tipoDoc=comunicato&amp;idlegislatura=17&amp;anno=2015&amp;mese=07&amp;giorno=02&amp;view=filtered_48&amp;idCommissione=48&amp;ancora=data.20150702.com48.bollettino.sede00010.tit00020</vt:lpwstr>
      </vt:variant>
      <vt:variant>
        <vt:lpwstr>data.20150702.com</vt:lpwstr>
      </vt:variant>
      <vt:variant>
        <vt:i4>1245220</vt:i4>
      </vt:variant>
      <vt:variant>
        <vt:i4>252</vt:i4>
      </vt:variant>
      <vt:variant>
        <vt:i4>0</vt:i4>
      </vt:variant>
      <vt:variant>
        <vt:i4>5</vt:i4>
      </vt:variant>
      <vt:variant>
        <vt:lpwstr>\\Ncs01_pool01_server\vol01\DATI\camera01\STUDI-COMITATO\XVII\RAPPORTO_FORMISANO\0014_AC_2798_Modifiche_CP_CPP.docx</vt:lpwstr>
      </vt:variant>
      <vt:variant>
        <vt:lpwstr/>
      </vt:variant>
      <vt:variant>
        <vt:i4>4653168</vt:i4>
      </vt:variant>
      <vt:variant>
        <vt:i4>249</vt:i4>
      </vt:variant>
      <vt:variant>
        <vt:i4>0</vt:i4>
      </vt:variant>
      <vt:variant>
        <vt:i4>5</vt:i4>
      </vt:variant>
      <vt:variant>
        <vt:lpwstr>http://documenti.camera.it/apps/commonServices/getDocumento.ashx?sezione=bollettini&amp;tipoDoc=comunicato&amp;idlegislatura=17&amp;anno=2015&amp;mese=07&amp;giorno=02&amp;view=filtered_48&amp;idCommissione=48&amp;ancora=data.20150702.com48.bollettino.sede00010.tit00010</vt:lpwstr>
      </vt:variant>
      <vt:variant>
        <vt:lpwstr>data.20150702.com</vt:lpwstr>
      </vt:variant>
      <vt:variant>
        <vt:i4>1769498</vt:i4>
      </vt:variant>
      <vt:variant>
        <vt:i4>246</vt:i4>
      </vt:variant>
      <vt:variant>
        <vt:i4>0</vt:i4>
      </vt:variant>
      <vt:variant>
        <vt:i4>5</vt:i4>
      </vt:variant>
      <vt:variant>
        <vt:lpwstr>\\Ncs01_pool01_server\vol01\DATI\camera01\STUDI-COMITATO\XVII\RAPPORTO_FORMISANO\0013_AC_3123_L_delegaz_UE_2014.docx</vt:lpwstr>
      </vt:variant>
      <vt:variant>
        <vt:lpwstr/>
      </vt:variant>
      <vt:variant>
        <vt:i4>4522098</vt:i4>
      </vt:variant>
      <vt:variant>
        <vt:i4>243</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http://documenti.camera.it/apps/commonServices/getDocumento.ashx?sezione=bollettini&amp;tipoDoc=comunicato&amp;idlegislatura=17&amp;anno=2015&amp;mese=06&amp;giorno=11&amp;view=filtered_48&amp;idCommissione=48&amp;ancora=data.20150611.com48.bollettino.sede00010.tit00020</vt:lpwstr>
      </vt:variant>
      <vt:variant>
        <vt:lpwstr>data.20150611.com</vt:lpwstr>
      </vt:variant>
      <vt:variant>
        <vt:i4>393239</vt:i4>
      </vt:variant>
      <vt:variant>
        <vt:i4>240</vt:i4>
      </vt:variant>
      <vt:variant>
        <vt:i4>0</vt:i4>
      </vt:variant>
      <vt:variant>
        <vt:i4>5</vt:i4>
      </vt:variant>
      <vt:variant>
        <vt:lpwstr>\\Ncs01_pool01_server\vol01\DATI\camera01\STUDI-COMITATO\XVII\RAPPORTO_FORMISANO\0012_AC_3098_delega_PA.docx</vt:lpwstr>
      </vt:variant>
      <vt:variant>
        <vt:lpwstr/>
      </vt:variant>
      <vt:variant>
        <vt:i4>4522097</vt:i4>
      </vt:variant>
      <vt:variant>
        <vt:i4>237</vt:i4>
      </vt:variant>
      <vt:variant>
        <vt:i4>0</vt:i4>
      </vt:variant>
      <vt:variant>
        <vt:i4>5</vt:i4>
      </vt:variant>
      <vt:variant>
        <vt:lpwstr>http://documenti.camera.it/apps/commonServices/getDocumento.ashx?sezione=bollettini&amp;tipoDoc=comunicato&amp;idlegislatura=17&amp;anno=2015&amp;mese=06&amp;giorno=11&amp;view=filtered_48&amp;idCommissione=48&amp;ancora=data.20150611.com48.bollettino.sede00010.tit00010</vt:lpwstr>
      </vt:variant>
      <vt:variant>
        <vt:lpwstr>data.20150611.com</vt:lpwstr>
      </vt:variant>
      <vt:variant>
        <vt:i4>3342359</vt:i4>
      </vt:variant>
      <vt:variant>
        <vt:i4>234</vt:i4>
      </vt:variant>
      <vt:variant>
        <vt:i4>0</vt:i4>
      </vt:variant>
      <vt:variant>
        <vt:i4>5</vt:i4>
      </vt:variant>
      <vt:variant>
        <vt:lpwstr>\\Ncs01_pool01_server\vol01\DATI\camera01\STUDI-COMITATO\XVII\RAPPORTO_FORMISANO\0011_AC_3134_pensioni.docx</vt:lpwstr>
      </vt:variant>
      <vt:variant>
        <vt:lpwstr/>
      </vt:variant>
      <vt:variant>
        <vt:i4>4194416</vt:i4>
      </vt:variant>
      <vt:variant>
        <vt:i4>231</vt:i4>
      </vt:variant>
      <vt:variant>
        <vt:i4>0</vt:i4>
      </vt:variant>
      <vt:variant>
        <vt:i4>5</vt:i4>
      </vt:variant>
      <vt:variant>
        <vt:lpwstr>http://documenti.camera.it/apps/commonServices/getDocumento.ashx?sezione=bollettini&amp;tipoDoc=comunicato&amp;idlegislatura=17&amp;anno=2015&amp;mese=06&amp;giorno=04&amp;view=filtered_48&amp;idCommissione=48&amp;ancora=data.20150604.com48.bollettino.sede00010.tit00010</vt:lpwstr>
      </vt:variant>
      <vt:variant>
        <vt:lpwstr>data.20150604.com</vt:lpwstr>
      </vt:variant>
      <vt:variant>
        <vt:i4>7929921</vt:i4>
      </vt:variant>
      <vt:variant>
        <vt:i4>228</vt:i4>
      </vt:variant>
      <vt:variant>
        <vt:i4>0</vt:i4>
      </vt:variant>
      <vt:variant>
        <vt:i4>5</vt:i4>
      </vt:variant>
      <vt:variant>
        <vt:lpwstr>\\Ncs01_pool01_server\vol01\DATI\camera01\STUDI-COMITATO\XVII\RAPPORTO_FORMISANO\0010_AC_3104_agricoltura.docx</vt:lpwstr>
      </vt:variant>
      <vt:variant>
        <vt:lpwstr/>
      </vt:variant>
      <vt:variant>
        <vt:i4>4456561</vt:i4>
      </vt:variant>
      <vt:variant>
        <vt:i4>225</vt:i4>
      </vt:variant>
      <vt:variant>
        <vt:i4>0</vt:i4>
      </vt:variant>
      <vt:variant>
        <vt:i4>5</vt:i4>
      </vt:variant>
      <vt:variant>
        <vt:lpwstr>http://documenti.camera.it/apps/commonServices/getDocumento.ashx?sezione=bollettini&amp;tipoDoc=comunicato&amp;idlegislatura=17&amp;anno=2015&amp;mese=05&amp;giorno=13&amp;view=filtered_48&amp;idCommissione=48&amp;ancora=data.20150513.com48.bollettino.sede00010.tit00010</vt:lpwstr>
      </vt:variant>
      <vt:variant>
        <vt:lpwstr>data.20150513.com</vt:lpwstr>
      </vt:variant>
      <vt:variant>
        <vt:i4>8</vt:i4>
      </vt:variant>
      <vt:variant>
        <vt:i4>222</vt:i4>
      </vt:variant>
      <vt:variant>
        <vt:i4>0</vt:i4>
      </vt:variant>
      <vt:variant>
        <vt:i4>5</vt:i4>
      </vt:variant>
      <vt:variant>
        <vt:lpwstr>\\Ncs01_pool01_server\vol01\DATI\camera01\STUDI-COMITATO\XVII\RAPPORTO_FORMISANO\0009_AC_2994_buona_scuola.docx</vt:lpwstr>
      </vt:variant>
      <vt:variant>
        <vt:lpwstr/>
      </vt:variant>
      <vt:variant>
        <vt:i4>4980849</vt:i4>
      </vt:variant>
      <vt:variant>
        <vt:i4>219</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http://documenti.camera.it/apps/commonServices/getDocumento.ashx?sezione=bollettini&amp;tipoDoc=comunicato&amp;idlegislatura=17&amp;anno=2015&amp;mese=04&amp;giorno=28&amp;view=filtered_48&amp;idCommissione=48&amp;ancora=data.20150428.com48.bollettino.sede00030.tit00020</vt:lpwstr>
      </vt:variant>
      <vt:variant>
        <vt:lpwstr>data.20150428.com</vt:lpwstr>
      </vt:variant>
      <vt:variant>
        <vt:i4>6619223</vt:i4>
      </vt:variant>
      <vt:variant>
        <vt:i4>216</vt:i4>
      </vt:variant>
      <vt:variant>
        <vt:i4>0</vt:i4>
      </vt:variant>
      <vt:variant>
        <vt:i4>5</vt:i4>
      </vt:variant>
      <vt:variant>
        <vt:lpwstr>\\Ncs01_pool01_server\vol01\DATI\camera01\STUDI-COMITATO\XVII\RAPPORTO_FORMISANO\0008_delega_nautica_diporto.docx</vt:lpwstr>
      </vt:variant>
      <vt:variant>
        <vt:lpwstr/>
      </vt:variant>
      <vt:variant>
        <vt:i4>4980850</vt:i4>
      </vt:variant>
      <vt:variant>
        <vt:i4>213</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http://documenti.camera.it/apps/commonServices/getDocumento.ashx?sezione=bollettini&amp;tipoDoc=comunicato&amp;idlegislatura=17&amp;anno=2015&amp;mese=04&amp;giorno=28&amp;view=filtered_48&amp;idCommissione=48&amp;ancora=data.20150428.com48.bollettino.sede00030.tit00010</vt:lpwstr>
      </vt:variant>
      <vt:variant>
        <vt:lpwstr>data.20150428.com</vt:lpwstr>
      </vt:variant>
      <vt:variant>
        <vt:i4>4522085</vt:i4>
      </vt:variant>
      <vt:variant>
        <vt:i4>210</vt:i4>
      </vt:variant>
      <vt:variant>
        <vt:i4>0</vt:i4>
      </vt:variant>
      <vt:variant>
        <vt:i4>5</vt:i4>
      </vt:variant>
      <vt:variant>
        <vt:lpwstr>\\Ncs01_pool01_server\vol01\DATI\camera01\STUDI-COMITATO\XVII\RAPPORTO_FORMISANO\0007_AC_3059_elez_reg_ammin.docx</vt:lpwstr>
      </vt:variant>
      <vt:variant>
        <vt:lpwstr/>
      </vt:variant>
      <vt:variant>
        <vt:i4>5046386</vt:i4>
      </vt:variant>
      <vt:variant>
        <vt:i4>207</vt:i4>
      </vt:variant>
      <vt:variant>
        <vt:i4>0</vt:i4>
      </vt:variant>
      <vt:variant>
        <vt:i4>5</vt:i4>
      </vt:variant>
      <vt:variant>
        <vt:lpwstr>http://documenti.camera.it/apps/commonServices/getDocumento.ashx?sezione=bollettini&amp;tipoDoc=comunicato&amp;idlegislatura=17&amp;anno=2015&amp;mese=04&amp;giorno=28&amp;view=filtered_48&amp;idCommissione=48&amp;ancora=data.20150428.com48.bollettino.sede00020.tit00010</vt:lpwstr>
      </vt:variant>
      <vt:variant>
        <vt:lpwstr>data.20150428.com</vt:lpwstr>
      </vt:variant>
      <vt:variant>
        <vt:i4>6619158</vt:i4>
      </vt:variant>
      <vt:variant>
        <vt:i4>204</vt:i4>
      </vt:variant>
      <vt:variant>
        <vt:i4>0</vt:i4>
      </vt:variant>
      <vt:variant>
        <vt:i4>5</vt:i4>
      </vt:variant>
      <vt:variant>
        <vt:lpwstr>\\Ncs01_pool01_server\vol01\DATI\camera01\STUDI-COMITATO\XVII\RAPPORTO_FORMISANO\0006_TU_3bis_B_elez_Camera.docx</vt:lpwstr>
      </vt:variant>
      <vt:variant>
        <vt:lpwstr/>
      </vt:variant>
      <vt:variant>
        <vt:i4>4456562</vt:i4>
      </vt:variant>
      <vt:variant>
        <vt:i4>201</vt:i4>
      </vt:variant>
      <vt:variant>
        <vt:i4>0</vt:i4>
      </vt:variant>
      <vt:variant>
        <vt:i4>5</vt:i4>
      </vt:variant>
      <vt:variant>
        <vt:lpwstr>http://documenti.camera.it/apps/commonServices/getDocumento.ashx?sezione=bollettini&amp;tipoDoc=comunicato&amp;idlegislatura=17&amp;anno=2015&amp;mese=04&amp;giorno=22&amp;view=filtered_48&amp;idCommissione=48&amp;ancora=data.20150422.com48.bollettino.sede00010.tit00010</vt:lpwstr>
      </vt:variant>
      <vt:variant>
        <vt:lpwstr>data.20150422.com</vt:lpwstr>
      </vt:variant>
      <vt:variant>
        <vt:i4>3604521</vt:i4>
      </vt:variant>
      <vt:variant>
        <vt:i4>198</vt:i4>
      </vt:variant>
      <vt:variant>
        <vt:i4>0</vt:i4>
      </vt:variant>
      <vt:variant>
        <vt:i4>5</vt:i4>
      </vt:variant>
      <vt:variant>
        <vt:lpwstr>\\Ncs01_pool01_server\vol01\DATI\camera01\STUDI-COMITATO\XVII\RAPPORTO_FORMISANO\0005_AC_2915_esenzione_IMU.docx</vt:lpwstr>
      </vt:variant>
      <vt:variant>
        <vt:lpwstr/>
      </vt:variant>
      <vt:variant>
        <vt:i4>4522096</vt:i4>
      </vt:variant>
      <vt:variant>
        <vt:i4>195</vt:i4>
      </vt:variant>
      <vt:variant>
        <vt:i4>0</vt:i4>
      </vt:variant>
      <vt:variant>
        <vt:i4>5</vt:i4>
      </vt:variant>
      <vt:variant>
        <vt:lpwstr>http://documenti.camera.it/apps/commonServices/getDocumento.ashx?sezione=bollettini&amp;tipoDoc=comunicato&amp;idlegislatura=17&amp;anno=2015&amp;mese=03&amp;giorno=04&amp;view=filtered_48&amp;idCommissione=48&amp;ancora=data.20150304.com48.bollettino.sede00010.tit00010</vt:lpwstr>
      </vt:variant>
      <vt:variant>
        <vt:lpwstr>data.20150304.com</vt:lpwstr>
      </vt:variant>
      <vt:variant>
        <vt:i4>7798893</vt:i4>
      </vt:variant>
      <vt:variant>
        <vt:i4>192</vt:i4>
      </vt:variant>
      <vt:variant>
        <vt:i4>0</vt:i4>
      </vt:variant>
      <vt:variant>
        <vt:i4>5</vt:i4>
      </vt:variant>
      <vt:variant>
        <vt:lpwstr>\\Ncs01_pool01_server\vol01\DATI\camera01\STUDI-COMITATO\XVII\RAPPORTO_FORMISANO\0004_AC_2893_terrorismo_missioni.docx</vt:lpwstr>
      </vt:variant>
      <vt:variant>
        <vt:lpwstr/>
      </vt:variant>
      <vt:variant>
        <vt:i4>4653170</vt:i4>
      </vt:variant>
      <vt:variant>
        <vt:i4>189</vt:i4>
      </vt:variant>
      <vt:variant>
        <vt:i4>0</vt:i4>
      </vt:variant>
      <vt:variant>
        <vt:i4>5</vt:i4>
      </vt:variant>
      <vt:variant>
        <vt:lpwstr>http://documenti.camera.it/apps/commonServices/getDocumento.ashx?sezione=bollettini&amp;tipoDoc=comunicato&amp;idlegislatura=17&amp;anno=2015&amp;mese=02&amp;giorno=27&amp;view=filtered_48&amp;idCommissione=48&amp;ancora=data.20150227.com48.bollettino.sede00010.tit00010</vt:lpwstr>
      </vt:variant>
      <vt:variant>
        <vt:lpwstr>data.20150227.com</vt:lpwstr>
      </vt:variant>
      <vt:variant>
        <vt:i4>2293809</vt:i4>
      </vt:variant>
      <vt:variant>
        <vt:i4>186</vt:i4>
      </vt:variant>
      <vt:variant>
        <vt:i4>0</vt:i4>
      </vt:variant>
      <vt:variant>
        <vt:i4>5</vt:i4>
      </vt:variant>
      <vt:variant>
        <vt:lpwstr>\\Ncs01_pool01_server\vol01\DATI\camera01\STUDI-COMITATO\XVII\RAPPORTO_FORMISANO\0003_AC_2894_ILVA_Taranto.docx</vt:lpwstr>
      </vt:variant>
      <vt:variant>
        <vt:lpwstr/>
      </vt:variant>
      <vt:variant>
        <vt:i4>4456562</vt:i4>
      </vt:variant>
      <vt:variant>
        <vt:i4>183</vt:i4>
      </vt:variant>
      <vt:variant>
        <vt:i4>0</vt:i4>
      </vt:variant>
      <vt:variant>
        <vt:i4>5</vt:i4>
      </vt:variant>
      <vt:variant>
        <vt:lpwstr>http://documenti.camera.it/apps/commonServices/getDocumento.ashx?sezione=bollettini&amp;tipoDoc=comunicato&amp;idlegislatura=17&amp;anno=2015&amp;mese=02&amp;giorno=24&amp;view=filtered_48&amp;idCommissione=48&amp;ancora=data.20150224.com48.bollettino.sede00010.tit00010</vt:lpwstr>
      </vt:variant>
      <vt:variant>
        <vt:lpwstr>data.20150224.com</vt:lpwstr>
      </vt:variant>
      <vt:variant>
        <vt:i4>1310724</vt:i4>
      </vt:variant>
      <vt:variant>
        <vt:i4>180</vt:i4>
      </vt:variant>
      <vt:variant>
        <vt:i4>0</vt:i4>
      </vt:variant>
      <vt:variant>
        <vt:i4>5</vt:i4>
      </vt:variant>
      <vt:variant>
        <vt:lpwstr>\\Ncs01_pool01_server\vol01\DATI\camera01\STUDI-COMITATO\XVII\RAPPORTO_FORMISANO\0002_AC_2844_sistema_bancario.docx</vt:lpwstr>
      </vt:variant>
      <vt:variant>
        <vt:lpwstr/>
      </vt:variant>
      <vt:variant>
        <vt:i4>4194417</vt:i4>
      </vt:variant>
      <vt:variant>
        <vt:i4>177</vt:i4>
      </vt:variant>
      <vt:variant>
        <vt:i4>0</vt:i4>
      </vt:variant>
      <vt:variant>
        <vt:i4>5</vt:i4>
      </vt:variant>
      <vt:variant>
        <vt:lpwstr>http://documenti.camera.it/apps/commonServices/getDocumento.ashx?sezione=bollettini&amp;tipoDoc=comunicato&amp;idlegislatura=17&amp;anno=2015&amp;mese=02&amp;giorno=10&amp;view=filtered_48&amp;idCommissione=48&amp;ancora=data.20150210.com48.bollettino.sede00010.tit00010</vt:lpwstr>
      </vt:variant>
      <vt:variant>
        <vt:lpwstr>data.20150210.com</vt:lpwstr>
      </vt:variant>
      <vt:variant>
        <vt:i4>7864444</vt:i4>
      </vt:variant>
      <vt:variant>
        <vt:i4>174</vt:i4>
      </vt:variant>
      <vt:variant>
        <vt:i4>0</vt:i4>
      </vt:variant>
      <vt:variant>
        <vt:i4>5</vt:i4>
      </vt:variant>
      <vt:variant>
        <vt:lpwstr>\\Ncs01_pool01_server\vol01\DATI\camera01\STUDI-COMITATO\XVII\RAPPORTO_FORMISANO\0001_AC_2803_mille_proroghe.docx</vt:lpwstr>
      </vt:variant>
      <vt:variant>
        <vt:lpwstr/>
      </vt:variant>
      <vt:variant>
        <vt:i4>4587633</vt:i4>
      </vt:variant>
      <vt:variant>
        <vt:i4>171</vt:i4>
      </vt:variant>
      <vt:variant>
        <vt:i4>0</vt:i4>
      </vt:variant>
      <vt:variant>
        <vt:i4>5</vt:i4>
      </vt:variant>
      <vt:variant>
        <vt:lpwstr>http://documenti.camera.it/apps/commonServices/getDocumento.ashx?sezione=bollettini&amp;tipoDoc=comunicato&amp;idlegislatura=17&amp;anno=2015&amp;mese=01&amp;giorno=15&amp;view=filtered_48&amp;idCommissione=48&amp;ancora=data.20150115.com48.bollettino.sede00010.tit00010</vt:lpwstr>
      </vt:variant>
      <vt:variant>
        <vt:lpwstr>data.20150115.com</vt:lpwstr>
      </vt:variant>
      <vt:variant>
        <vt:i4>4718718</vt:i4>
      </vt:variant>
      <vt:variant>
        <vt:i4>168</vt:i4>
      </vt:variant>
      <vt:variant>
        <vt:i4>0</vt:i4>
      </vt:variant>
      <vt:variant>
        <vt:i4>5</vt:i4>
      </vt:variant>
      <vt:variant>
        <vt:lpwstr>\\Ncs01_pool01_server\vol01\DATI\camera01\STUDI-COMITATO\XVII\RAPPORTO_PINI\0006_AC_3513_milleproroghe.docx</vt:lpwstr>
      </vt:variant>
      <vt:variant>
        <vt:lpwstr>S06a01</vt:lpwstr>
      </vt:variant>
      <vt:variant>
        <vt:i4>8261</vt:i4>
      </vt:variant>
      <vt:variant>
        <vt:i4>165</vt:i4>
      </vt:variant>
      <vt:variant>
        <vt:i4>0</vt:i4>
      </vt:variant>
      <vt:variant>
        <vt:i4>5</vt:i4>
      </vt:variant>
      <vt:variant>
        <vt:lpwstr/>
      </vt:variant>
      <vt:variant>
        <vt:lpwstr>_TAB._6_“DISPOSIZIONI</vt:lpwstr>
      </vt:variant>
      <vt:variant>
        <vt:i4>720939</vt:i4>
      </vt:variant>
      <vt:variant>
        <vt:i4>162</vt:i4>
      </vt:variant>
      <vt:variant>
        <vt:i4>0</vt:i4>
      </vt:variant>
      <vt:variant>
        <vt:i4>5</vt:i4>
      </vt:variant>
      <vt:variant>
        <vt:lpwstr>\\Ncs01_pool01_server\vol01\DATI\camera01\STUDI-COMITATO\XVII\RAPPORTO_PINI\0020_AC_3821_delega_legge_europea.docx</vt:lpwstr>
      </vt:variant>
      <vt:variant>
        <vt:lpwstr>S20a03</vt:lpwstr>
      </vt:variant>
      <vt:variant>
        <vt:i4>327860</vt:i4>
      </vt:variant>
      <vt:variant>
        <vt:i4>159</vt:i4>
      </vt:variant>
      <vt:variant>
        <vt:i4>0</vt:i4>
      </vt:variant>
      <vt:variant>
        <vt:i4>5</vt:i4>
      </vt:variant>
      <vt:variant>
        <vt:lpwstr>\\Ncs01_pool01_server\vol01\DATI\camera01\STUDI-COMITATO\XVII\RAPPORTO_PINI\0018_AC_3594_delega_contrasto_povertà.docx</vt:lpwstr>
      </vt:variant>
      <vt:variant>
        <vt:lpwstr>S18a03</vt:lpwstr>
      </vt:variant>
      <vt:variant>
        <vt:i4>7340135</vt:i4>
      </vt:variant>
      <vt:variant>
        <vt:i4>156</vt:i4>
      </vt:variant>
      <vt:variant>
        <vt:i4>0</vt:i4>
      </vt:variant>
      <vt:variant>
        <vt:i4>5</vt:i4>
      </vt:variant>
      <vt:variant>
        <vt:lpwstr>\\Ncs01_pool01_server\vol01\DATI\camera01\STUDI-COMITATO\XVII\RAPPORTO_PINI\0014_AC_3672_magistratura_onoraria.docx</vt:lpwstr>
      </vt:variant>
      <vt:variant>
        <vt:lpwstr>S14a03</vt:lpwstr>
      </vt:variant>
      <vt:variant>
        <vt:i4>3145735</vt:i4>
      </vt:variant>
      <vt:variant>
        <vt:i4>153</vt:i4>
      </vt:variant>
      <vt:variant>
        <vt:i4>0</vt:i4>
      </vt:variant>
      <vt:variant>
        <vt:i4>5</vt:i4>
      </vt:variant>
      <vt:variant>
        <vt:lpwstr>\\Ncs01_pool01_server\vol01\DATI\camera01\STUDI-COMITATO\XVII\RAPPORTO_PINI\0013_AC_3634_delega_unioni_civili.docx</vt:lpwstr>
      </vt:variant>
      <vt:variant>
        <vt:lpwstr>S13a10</vt:lpwstr>
      </vt:variant>
      <vt:variant>
        <vt:i4>6422602</vt:i4>
      </vt:variant>
      <vt:variant>
        <vt:i4>150</vt:i4>
      </vt:variant>
      <vt:variant>
        <vt:i4>0</vt:i4>
      </vt:variant>
      <vt:variant>
        <vt:i4>5</vt:i4>
      </vt:variant>
      <vt:variant>
        <vt:lpwstr>\\Ncs01_pool01_server\vol01\DATI\camera01\STUDI-COMITATO\XVII\RAPPORTO_PINI\0010_AC_2039NT_delega_consumo_suolo.docx</vt:lpwstr>
      </vt:variant>
      <vt:variant>
        <vt:lpwstr>S10a08</vt:lpwstr>
      </vt:variant>
      <vt:variant>
        <vt:i4>5111874</vt:i4>
      </vt:variant>
      <vt:variant>
        <vt:i4>147</vt:i4>
      </vt:variant>
      <vt:variant>
        <vt:i4>0</vt:i4>
      </vt:variant>
      <vt:variant>
        <vt:i4>5</vt:i4>
      </vt:variant>
      <vt:variant>
        <vt:lpwstr>\\Ncs01_pool01_server\vol01\DATI\camera01\STUDI-COMITATO\XVII\RAPPORTO_PINI\0008_AC_3119_delega_agricoltura.docx</vt:lpwstr>
      </vt:variant>
      <vt:variant>
        <vt:lpwstr>S08a08</vt:lpwstr>
      </vt:variant>
      <vt:variant>
        <vt:i4>5832817</vt:i4>
      </vt:variant>
      <vt:variant>
        <vt:i4>144</vt:i4>
      </vt:variant>
      <vt:variant>
        <vt:i4>0</vt:i4>
      </vt:variant>
      <vt:variant>
        <vt:i4>5</vt:i4>
      </vt:variant>
      <vt:variant>
        <vt:lpwstr>\\Ncs01_pool01_server\vol01\DATI\camera01\STUDI-COMITATO\XVII\RAPPORTO_PINI\0005_AC_2953_delega_processo_civile.docx</vt:lpwstr>
      </vt:variant>
      <vt:variant>
        <vt:lpwstr>S05a03</vt:lpwstr>
      </vt:variant>
      <vt:variant>
        <vt:i4>3014676</vt:i4>
      </vt:variant>
      <vt:variant>
        <vt:i4>141</vt:i4>
      </vt:variant>
      <vt:variant>
        <vt:i4>0</vt:i4>
      </vt:variant>
      <vt:variant>
        <vt:i4>5</vt:i4>
      </vt:variant>
      <vt:variant>
        <vt:lpwstr>\\Ncs01_pool01_server\vol01\DATI\camera01\STUDI-COMITATO\XVII\RAPPORTO_PINI\0004_AC_3495_territorio_deleghe_bilancio.docx</vt:lpwstr>
      </vt:variant>
      <vt:variant>
        <vt:lpwstr>S04a01</vt:lpwstr>
      </vt:variant>
      <vt:variant>
        <vt:i4>3407956</vt:i4>
      </vt:variant>
      <vt:variant>
        <vt:i4>138</vt:i4>
      </vt:variant>
      <vt:variant>
        <vt:i4>0</vt:i4>
      </vt:variant>
      <vt:variant>
        <vt:i4>5</vt:i4>
      </vt:variant>
      <vt:variant>
        <vt:lpwstr>\\Ncs01_pool01_server\vol01\DATI\camera01\STUDI-COMITATO\XVII\RAPPORTO_TAGLIALATELA\SCHEDE PARERI\0024_AC_2629_sblocca_Italia.docx</vt:lpwstr>
      </vt:variant>
      <vt:variant>
        <vt:lpwstr>S24o01</vt:lpwstr>
      </vt:variant>
      <vt:variant>
        <vt:i4>9830467</vt:i4>
      </vt:variant>
      <vt:variant>
        <vt:i4>135</vt:i4>
      </vt:variant>
      <vt:variant>
        <vt:i4>0</vt:i4>
      </vt:variant>
      <vt:variant>
        <vt:i4>5</vt:i4>
      </vt:variant>
      <vt:variant>
        <vt:lpwstr>\\Ncs01_pool01_server\vol01\DATI\camera01\STUDI-COMITATO\XVII\RAPPORTO_TAGLIALATELA\SCHEDE PARERI\0012_AC_2433_competitività.docx</vt:lpwstr>
      </vt:variant>
      <vt:variant>
        <vt:lpwstr>S12c02</vt:lpwstr>
      </vt:variant>
      <vt:variant>
        <vt:i4>7077918</vt:i4>
      </vt:variant>
      <vt:variant>
        <vt:i4>132</vt:i4>
      </vt:variant>
      <vt:variant>
        <vt:i4>0</vt:i4>
      </vt:variant>
      <vt:variant>
        <vt:i4>5</vt:i4>
      </vt:variant>
      <vt:variant>
        <vt:lpwstr>\\Ncs01_pool01_server\vol01\DATI\camera01\STUDI-COMITATO\XVII\RAPPORTO_TAGLIALATELA\SCHEDE PARERI\0003_AC_2208_occupazione_imprese.docx</vt:lpwstr>
      </vt:variant>
      <vt:variant>
        <vt:lpwstr>S03c02</vt:lpwstr>
      </vt:variant>
      <vt:variant>
        <vt:i4>9896003</vt:i4>
      </vt:variant>
      <vt:variant>
        <vt:i4>129</vt:i4>
      </vt:variant>
      <vt:variant>
        <vt:i4>0</vt:i4>
      </vt:variant>
      <vt:variant>
        <vt:i4>5</vt:i4>
      </vt:variant>
      <vt:variant>
        <vt:lpwstr>\\Ncs01_pool01_server\vol01\DATI\camera01\STUDI-COMITATO\XVII\RAPPORTO_TAGLIALATELA\SCHEDE PARERI\0012_AC_2433_competitività.docx</vt:lpwstr>
      </vt:variant>
      <vt:variant>
        <vt:lpwstr>S12a01</vt:lpwstr>
      </vt:variant>
      <vt:variant>
        <vt:i4>4390957</vt:i4>
      </vt:variant>
      <vt:variant>
        <vt:i4>126</vt:i4>
      </vt:variant>
      <vt:variant>
        <vt:i4>0</vt:i4>
      </vt:variant>
      <vt:variant>
        <vt:i4>5</vt:i4>
      </vt:variant>
      <vt:variant>
        <vt:lpwstr>\\Ncs01_pool01_server\vol01\DATI\camera01\STUDI-COMITATO\XVII\RAPPORTO_TAGLIALATELA\SCHEDE PARERI\0021_AC_2598_missioni_internazionali.docx</vt:lpwstr>
      </vt:variant>
      <vt:variant>
        <vt:lpwstr>S21a03</vt:lpwstr>
      </vt:variant>
      <vt:variant>
        <vt:i4>7872571</vt:i4>
      </vt:variant>
      <vt:variant>
        <vt:i4>123</vt:i4>
      </vt:variant>
      <vt:variant>
        <vt:i4>0</vt:i4>
      </vt:variant>
      <vt:variant>
        <vt:i4>5</vt:i4>
      </vt:variant>
      <vt:variant>
        <vt:lpwstr/>
      </vt:variant>
      <vt:variant>
        <vt:lpwstr>_TAB._5_“LEGGE</vt:lpwstr>
      </vt:variant>
      <vt:variant>
        <vt:i4>131199</vt:i4>
      </vt:variant>
      <vt:variant>
        <vt:i4>120</vt:i4>
      </vt:variant>
      <vt:variant>
        <vt:i4>0</vt:i4>
      </vt:variant>
      <vt:variant>
        <vt:i4>5</vt:i4>
      </vt:variant>
      <vt:variant>
        <vt:lpwstr>\\Ncs01_pool01_server\vol01\DATI\camera01\STUDI-COMITATO\XVII\RAPPORTO_TAGLIALATELA\SCHEDE PARERI\0023_AC_2093_green_economy.docx</vt:lpwstr>
      </vt:variant>
      <vt:variant>
        <vt:lpwstr>S23a10</vt:lpwstr>
      </vt:variant>
      <vt:variant>
        <vt:i4>1187912</vt:i4>
      </vt:variant>
      <vt:variant>
        <vt:i4>117</vt:i4>
      </vt:variant>
      <vt:variant>
        <vt:i4>0</vt:i4>
      </vt:variant>
      <vt:variant>
        <vt:i4>5</vt:i4>
      </vt:variant>
      <vt:variant>
        <vt:lpwstr/>
      </vt:variant>
      <vt:variant>
        <vt:lpwstr>_TAB._4_“SISTEMA</vt:lpwstr>
      </vt:variant>
      <vt:variant>
        <vt:i4>10420291</vt:i4>
      </vt:variant>
      <vt:variant>
        <vt:i4>114</vt:i4>
      </vt:variant>
      <vt:variant>
        <vt:i4>0</vt:i4>
      </vt:variant>
      <vt:variant>
        <vt:i4>5</vt:i4>
      </vt:variant>
      <vt:variant>
        <vt:lpwstr>\\Ncs01_pool01_server\vol01\DATI\camera01\STUDI-COMITATO\XVII\RAPPORTO_TAGLIALATELA\SCHEDE PARERI\0012_AC_2433_competitività.docx</vt:lpwstr>
      </vt:variant>
      <vt:variant>
        <vt:lpwstr>S12a09</vt:lpwstr>
      </vt:variant>
      <vt:variant>
        <vt:i4>6496301</vt:i4>
      </vt:variant>
      <vt:variant>
        <vt:i4>111</vt:i4>
      </vt:variant>
      <vt:variant>
        <vt:i4>0</vt:i4>
      </vt:variant>
      <vt:variant>
        <vt:i4>5</vt:i4>
      </vt:variant>
      <vt:variant>
        <vt:lpwstr/>
      </vt:variant>
      <vt:variant>
        <vt:lpwstr>_TAB._3_“ULTERIORI</vt:lpwstr>
      </vt:variant>
      <vt:variant>
        <vt:i4>204894</vt:i4>
      </vt:variant>
      <vt:variant>
        <vt:i4>108</vt:i4>
      </vt:variant>
      <vt:variant>
        <vt:i4>0</vt:i4>
      </vt:variant>
      <vt:variant>
        <vt:i4>5</vt:i4>
      </vt:variant>
      <vt:variant>
        <vt:lpwstr/>
      </vt:variant>
      <vt:variant>
        <vt:lpwstr>_TAB._2_“RICHIAMI</vt:lpwstr>
      </vt:variant>
      <vt:variant>
        <vt:i4>6881311</vt:i4>
      </vt:variant>
      <vt:variant>
        <vt:i4>105</vt:i4>
      </vt:variant>
      <vt:variant>
        <vt:i4>0</vt:i4>
      </vt:variant>
      <vt:variant>
        <vt:i4>5</vt:i4>
      </vt:variant>
      <vt:variant>
        <vt:lpwstr/>
      </vt:variant>
      <vt:variant>
        <vt:lpwstr>_4.11._La_giurisprudenza</vt:lpwstr>
      </vt:variant>
      <vt:variant>
        <vt:i4>5242937</vt:i4>
      </vt:variant>
      <vt:variant>
        <vt:i4>102</vt:i4>
      </vt:variant>
      <vt:variant>
        <vt:i4>0</vt:i4>
      </vt:variant>
      <vt:variant>
        <vt:i4>5</vt:i4>
      </vt:variant>
      <vt:variant>
        <vt:lpwstr/>
      </vt:variant>
      <vt:variant>
        <vt:lpwstr>_4.10._Profili_di</vt:lpwstr>
      </vt:variant>
      <vt:variant>
        <vt:i4>270411</vt:i4>
      </vt:variant>
      <vt:variant>
        <vt:i4>99</vt:i4>
      </vt:variant>
      <vt:variant>
        <vt:i4>0</vt:i4>
      </vt:variant>
      <vt:variant>
        <vt:i4>5</vt:i4>
      </vt:variant>
      <vt:variant>
        <vt:lpwstr/>
      </vt:variant>
      <vt:variant>
        <vt:lpwstr>_TAB._1_“RILIEVI</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NormalSegreteria</dc:title>
  <dc:subject>Modello utilizzato dalle Segreterie del Servizio Studi della Camera dei Deputati</dc:subject>
  <dc:creator>Cacciagrano Lucia</dc:creator>
  <cp:lastModifiedBy>utente_locale</cp:lastModifiedBy>
  <cp:revision>26</cp:revision>
  <cp:lastPrinted>2016-02-10T14:06:00Z</cp:lastPrinted>
  <dcterms:created xsi:type="dcterms:W3CDTF">2016-08-10T09:11:00Z</dcterms:created>
  <dcterms:modified xsi:type="dcterms:W3CDTF">2016-09-12T10:42:00Z</dcterms:modified>
</cp:coreProperties>
</file>