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2437"/>
        <w:gridCol w:w="978"/>
        <w:gridCol w:w="971"/>
        <w:gridCol w:w="975"/>
        <w:gridCol w:w="1047"/>
        <w:gridCol w:w="975"/>
        <w:gridCol w:w="975"/>
        <w:gridCol w:w="1352"/>
      </w:tblGrid>
      <w:tr w:rsidR="000970E6" w:rsidRPr="000970E6" w:rsidTr="000970E6">
        <w:trPr>
          <w:trHeight w:val="994"/>
          <w:tblHeader/>
          <w:jc w:val="center"/>
        </w:trPr>
        <w:tc>
          <w:tcPr>
            <w:tcW w:w="5000" w:type="pct"/>
            <w:gridSpan w:val="9"/>
            <w:shd w:val="clear" w:color="000000" w:fill="538DD5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970E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XVIII  - Incrementi di commi e parole nelle </w:t>
            </w:r>
            <w:r w:rsidRPr="000970E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u w:val="single"/>
              </w:rPr>
              <w:t>leggi di conversione dei decreti-legge e nei relativi testi coordinati</w:t>
            </w:r>
          </w:p>
        </w:tc>
      </w:tr>
      <w:tr w:rsidR="000970E6" w:rsidRPr="000970E6" w:rsidTr="000970E6">
        <w:trPr>
          <w:trHeight w:val="660"/>
          <w:tblHeader/>
          <w:jc w:val="center"/>
        </w:trPr>
        <w:tc>
          <w:tcPr>
            <w:tcW w:w="461" w:type="pct"/>
            <w:shd w:val="clear" w:color="000000" w:fill="538DD5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970E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DL</w:t>
            </w:r>
          </w:p>
        </w:tc>
        <w:tc>
          <w:tcPr>
            <w:tcW w:w="1143" w:type="pct"/>
            <w:shd w:val="clear" w:color="000000" w:fill="538DD5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color w:val="FFFFFF"/>
                <w:sz w:val="24"/>
                <w:szCs w:val="24"/>
              </w:rPr>
              <w:t>Materia</w:t>
            </w:r>
          </w:p>
        </w:tc>
        <w:tc>
          <w:tcPr>
            <w:tcW w:w="461" w:type="pct"/>
            <w:shd w:val="clear" w:color="000000" w:fill="538DD5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970E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Commi originari</w:t>
            </w:r>
          </w:p>
        </w:tc>
        <w:tc>
          <w:tcPr>
            <w:tcW w:w="461" w:type="pct"/>
            <w:shd w:val="clear" w:color="000000" w:fill="538DD5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970E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Increm. commi</w:t>
            </w:r>
          </w:p>
        </w:tc>
        <w:tc>
          <w:tcPr>
            <w:tcW w:w="461" w:type="pct"/>
            <w:shd w:val="clear" w:color="000000" w:fill="538DD5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970E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Incr. % commi</w:t>
            </w:r>
          </w:p>
        </w:tc>
        <w:tc>
          <w:tcPr>
            <w:tcW w:w="461" w:type="pct"/>
            <w:shd w:val="clear" w:color="000000" w:fill="538DD5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970E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Parole T. Originale</w:t>
            </w:r>
          </w:p>
        </w:tc>
        <w:tc>
          <w:tcPr>
            <w:tcW w:w="461" w:type="pct"/>
            <w:shd w:val="clear" w:color="000000" w:fill="538DD5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970E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Differ. parole</w:t>
            </w:r>
          </w:p>
        </w:tc>
        <w:tc>
          <w:tcPr>
            <w:tcW w:w="461" w:type="pct"/>
            <w:shd w:val="clear" w:color="000000" w:fill="538DD5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970E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Incr. % parole</w:t>
            </w:r>
          </w:p>
        </w:tc>
        <w:tc>
          <w:tcPr>
            <w:tcW w:w="631" w:type="pct"/>
            <w:shd w:val="clear" w:color="000000" w:fill="538DD5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970E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Leggi di conversione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30/2018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Autorità energia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50,00%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158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123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43,77%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64/2018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38/2018</w:t>
            </w:r>
          </w:p>
        </w:tc>
        <w:tc>
          <w:tcPr>
            <w:tcW w:w="1143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Alitalia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100,00%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193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294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60,37%</w:t>
            </w:r>
          </w:p>
        </w:tc>
        <w:tc>
          <w:tcPr>
            <w:tcW w:w="63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77/2018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44/2018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Ammortizzatori sociali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280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14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4,76%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83/2018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55/2018</w:t>
            </w:r>
          </w:p>
        </w:tc>
        <w:tc>
          <w:tcPr>
            <w:tcW w:w="1143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Terremoti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10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36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360,00%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1.313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5.206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79,86%</w:t>
            </w:r>
          </w:p>
        </w:tc>
        <w:tc>
          <w:tcPr>
            <w:tcW w:w="63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89/2018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73/2018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Tribunale Bari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359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21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5,53%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93/2018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84/2018</w:t>
            </w:r>
          </w:p>
        </w:tc>
        <w:tc>
          <w:tcPr>
            <w:tcW w:w="1143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Motovedette alla Libia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33,33%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564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154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21,45%</w:t>
            </w:r>
          </w:p>
        </w:tc>
        <w:tc>
          <w:tcPr>
            <w:tcW w:w="63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98/2018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86/2018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Riordino ministeri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35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9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25,71%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5.423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1.614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22,94%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97/2018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87/2018</w:t>
            </w:r>
          </w:p>
        </w:tc>
        <w:tc>
          <w:tcPr>
            <w:tcW w:w="1143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Dignità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48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49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102,08%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4.434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5.062 </w:t>
            </w:r>
          </w:p>
        </w:tc>
        <w:tc>
          <w:tcPr>
            <w:tcW w:w="46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53,31%</w:t>
            </w:r>
          </w:p>
        </w:tc>
        <w:tc>
          <w:tcPr>
            <w:tcW w:w="631" w:type="pct"/>
            <w:shd w:val="clear" w:color="000000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96/2018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91/2018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Milleproroghe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28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51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182,14%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2.551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4.720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64,92%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108/2018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109/2018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Ponte Genova</w:t>
            </w:r>
          </w:p>
        </w:tc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198 </w:t>
            </w:r>
          </w:p>
        </w:tc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74 </w:t>
            </w:r>
          </w:p>
        </w:tc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37,37%</w:t>
            </w:r>
          </w:p>
        </w:tc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20.082 </w:t>
            </w:r>
          </w:p>
        </w:tc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8.552 </w:t>
            </w:r>
          </w:p>
        </w:tc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29,87%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130/2018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113/2018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Immigrazione e sicurezza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96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87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90,63%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12.525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13.638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52,13%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132/2018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119/2018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Mat. fiscale e finanziaria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125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107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85,60%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13.323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10.856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44,90%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136/2018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135/2018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Semplificazione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39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104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266,67%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3.705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13.515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78,48%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12//2019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1/2019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Banca Carige</w:t>
            </w:r>
          </w:p>
        </w:tc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79 </w:t>
            </w:r>
          </w:p>
        </w:tc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 </w:t>
            </w:r>
          </w:p>
        </w:tc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2,53%</w:t>
            </w:r>
          </w:p>
        </w:tc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5.364 </w:t>
            </w:r>
          </w:p>
        </w:tc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-1 </w:t>
            </w:r>
          </w:p>
        </w:tc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-0,02%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16/2019</w:t>
            </w:r>
          </w:p>
        </w:tc>
      </w:tr>
      <w:tr w:rsidR="000970E6" w:rsidRPr="000970E6" w:rsidTr="000970E6">
        <w:trPr>
          <w:trHeight w:val="6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4/2019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Reddito di cittadinanza e pensioni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165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84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50,91%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19.076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12.727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40,02%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26/2019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22/2019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Disposizioni per la Brexit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24,10%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8.366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1.974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19,09%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41/2019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27/2019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Settore agricolo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38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36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94,74%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5.139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4.228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45,14%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44/2019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32/2019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Sbloccacantieri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115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119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103,48%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19.607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13.949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41,57%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55/2019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35/2019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Sanità Calabria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18,18%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4.934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2.044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29,29%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60/2019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34/2019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Crescita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200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233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116,50%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26.439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31.912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54,69%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58/2019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61/2019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Saldi finanza pubblica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434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85/2019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53/2019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Sicurezza (bis)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27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22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81,48%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3.850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3.158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45,06%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77/2019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59/2019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Beni culturali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17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58,82%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4.469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1.467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24,71%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81/2019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75/2019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Collegio Garante privacy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170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-10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-6,25%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107/2019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101/2019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Crisi aziendali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25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38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152,00%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4.151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4.956 </w:t>
            </w:r>
          </w:p>
        </w:tc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54,42%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128/2019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105/2019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Sicurezza cibernetica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18,18%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4.933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4.485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47,62%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133/2019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104/2019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Riordino ministeri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44,44%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5.761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2.197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27,61%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132/2019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111/2019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Qualità dell'aria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33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115,15%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3.703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2.795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43,01%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141/2019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123/2019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Terremoti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412,50%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2.016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8.186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80,24%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156/2019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124/2019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Materia fiscale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140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145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103,57%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18.693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15.962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46,06%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157/2019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lastRenderedPageBreak/>
              <w:t>126/2019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Personale scolastico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77,50%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3.861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4.647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54,62%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159/2019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137/2019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Alitalia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7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14,29%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707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184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26,03%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142/2019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Credito Mezzogiorno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12,50%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515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146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28,35%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161/2019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Intercettazioni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2.628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223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8,49%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162/2019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Milleproroghe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165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276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167,27%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44.538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27.429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61,59%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8/2020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1/2020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Ministeri Istruz. e Univ.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29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51,72%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3.555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2.423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68,16%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12/2020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6/2020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Coronavirus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12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1.139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58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5,09%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13/2020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3/2020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Cuneo fiscale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1.116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1,34%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21/2020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18/2020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Cura Italia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507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222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43,79%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44.531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23.086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51,84%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27/2020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16/2020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Olimpiadi 2026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52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25,00%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3.594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1.111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30,91%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31/2020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19/2020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Emergenza COVID-19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8,33%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2.755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726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26,35%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35/2020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22/2020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COVID-19 e scuola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144,44%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3.283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4.314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131,40%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41/2020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23/2020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Liquidità imprese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43,48%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18.855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7.609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40,36%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40/2020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26/2020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Consultazio</w:t>
            </w: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>n</w:t>
            </w:r>
            <w:bookmarkStart w:id="0" w:name="_GoBack"/>
            <w:bookmarkEnd w:id="0"/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i elettorali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150,00%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431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575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133,41%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59/2020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28/2020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Giustizia e detenuti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129,41%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3.486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3.321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95,27%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70/2020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30/2020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Studi COVID-19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16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12,50%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1.916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443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23,12%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72/2020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33/2020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Ult. misure COVID-19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8,70%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1.467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324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22,09%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74/2020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34/2020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Rilancio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1.049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319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30,41%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110.912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39.342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35,47%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77/2020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86/2020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Quote rosa regionali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393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98/2020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76/2020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Semplificazione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305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45,25%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55.628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20.982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37,72%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120/2020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83/2020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Proroga emerg. COVID-19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25,00%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616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144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23,38%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124/2020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104/2020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Sostegno e rilancio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443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266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60,05%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48.804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26.308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53,91%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126/2020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125/2020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Proroghe COVID-19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12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291,67%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1.798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3.371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187,49%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159/2020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137/2020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Ristori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166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298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179,52%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15.050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32.838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218,19%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176/2020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130/2020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Immigrazione e sicurezza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8,33%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6.881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1.240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18,02%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173/2020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150/2020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Sanità Calabria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14,71%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3.508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592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16,88%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181/2020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172/2020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Emergenza COVID-19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11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22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200,00%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815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2.202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270,18%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6/2021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183/2020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Milleproroghe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129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101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78,29%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9.872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10.516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106,52%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21/2021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2/2021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COVID-19 ed elezioni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17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23,53%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2.005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590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29,43%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29/2021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CONI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974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43/2021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31/2021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Esami avvocato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28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3,57%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2.064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87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4,22%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50/2021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22/2021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Riordino ministeri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62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9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14,52%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6.924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1.151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16,62%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55/2021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25/2021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Elezioni 2021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157,14%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829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1.015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122,44%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58/2021</w:t>
            </w:r>
          </w:p>
        </w:tc>
      </w:tr>
      <w:tr w:rsidR="000970E6" w:rsidRPr="000970E6" w:rsidTr="000970E6">
        <w:trPr>
          <w:trHeight w:val="402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30/2021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Lavoratori e COVID-19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24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9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37,50%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2.409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883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36,65%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61/2021</w:t>
            </w:r>
          </w:p>
        </w:tc>
      </w:tr>
      <w:tr w:rsidR="000970E6" w:rsidRPr="000970E6" w:rsidTr="000970E6">
        <w:trPr>
          <w:trHeight w:val="660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45/2021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Trasporti marittimi laguna Venezia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637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9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1,41%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75/2021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42/2021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Sicurezza alimentare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66,67%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268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320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119,40%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71/2021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41/2021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Sostegni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236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163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69,07%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23.089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15.129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65,52%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69/2021</w:t>
            </w:r>
          </w:p>
        </w:tc>
      </w:tr>
      <w:tr w:rsidR="000970E6" w:rsidRPr="000970E6" w:rsidTr="000970E6">
        <w:trPr>
          <w:trHeight w:val="630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44/2021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Vaccinazioni, giustizia, concorsi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32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60,38%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5.187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3.320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64,01%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76/2021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52/2021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Riaperture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143,48%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3.906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5.916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151,46%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87/2021</w:t>
            </w:r>
          </w:p>
        </w:tc>
      </w:tr>
      <w:tr w:rsidR="000970E6" w:rsidRPr="000970E6" w:rsidTr="000970E6">
        <w:trPr>
          <w:trHeight w:val="510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59/2021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Fondo complementare PNRR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100,00%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4.345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3.640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83,77%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101/2021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73/2021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Sostegni-</w:t>
            </w:r>
            <w:r w:rsidRPr="000970E6">
              <w:rPr>
                <w:rFonts w:ascii="Calibri" w:hAnsi="Calibri" w:cs="Calibri"/>
                <w:b/>
                <w:bCs/>
                <w:szCs w:val="22"/>
              </w:rPr>
              <w:t>bis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479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389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81,21%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48.252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39.961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82,82%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106/2021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77/2021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PNRR e semplificazioni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215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183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85,12%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40.256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26.838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66,67%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108/2021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79/2021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Assegno unico minori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19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5,26%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1.678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123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7,33%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112/2021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82/2021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Cybersicurezza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84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7,14%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9.219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1.269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13,77%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109/2021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80/2021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PA e PNRR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104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94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90,38%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13.442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12.539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93,28%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113/2021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103/2021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Venezia e lavoro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75,00%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2.679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2.173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81,11%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125/2021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105/2021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Green pass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19,23%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3.621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1.042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28,78%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126/2021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111/2021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Scuola e trasporti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37,93%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2.786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2.827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101,47%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133/2021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117/2021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Elezioni 2021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22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1.876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144/2021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118/2021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Crisi d'impresa e giustizia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125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16,00%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10.185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2.679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26,30%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147/2021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120/2021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Incendi boschivi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28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14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50,00%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4.165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2.123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50,97%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155/2021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121/2021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Infrastrutture e trasporti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77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107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138,96%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13.250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21.043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158,82%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156/2021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127/2021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Green pass lavoratori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64,29%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3.682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860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23,36%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165/2021</w:t>
            </w:r>
          </w:p>
        </w:tc>
      </w:tr>
      <w:tr w:rsidR="000970E6" w:rsidRPr="000970E6" w:rsidTr="000970E6">
        <w:trPr>
          <w:trHeight w:val="51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132/2021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Giustizia difesa referendum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25,00%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656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190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28,96%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178/2021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130/2021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Bollette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11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27,27%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1.169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389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33,28%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171/2021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139/2021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Riaperture spettacoli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56,25%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4.220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3.183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75,43%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205/2021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146/2021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Fisco e lavoro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102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99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97,06%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11.855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16.467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138,90%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215/2021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152/2021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Attuazione PNRR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180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74,44%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28.582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18.507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64,75%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233/2021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172/2021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Covid-19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26,67%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3.691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1.284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34,79%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221/2021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Emergenza COVID-19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28,00%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3.727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4.499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120,71%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11/2022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228/2021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Milleproroghe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113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168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148,67%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9.553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17.868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187,04%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15/2022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1/2022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Covid-19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220,00%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3.264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2.767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84,77%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18/2022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4/2022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Sostegni-ter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148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113,85%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15.718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17.476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111,18%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25/2022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14/2022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Ucraina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133,33%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1.110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3.105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279,73%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28/2022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9/2022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Peste suina africana (PSA)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23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7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30,43%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1.698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865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50,94%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29/2022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17/2022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Bollette energia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114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77,19%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13.517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11.395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84,30%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34/2022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24/2022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Covid-19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22,58%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8.089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2.840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35,11%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52/2022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21/2022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Effetti crisi Ucraina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142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105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73,94%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17.871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13.821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77,34%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51/2022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41/2022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Elezioni 2022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3.325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235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7,07%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84/2022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36/2022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Attuazione PNRR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168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121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72,02%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26.517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23.024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86,83%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79/2022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50/2022</w:t>
            </w:r>
          </w:p>
        </w:tc>
        <w:tc>
          <w:tcPr>
            <w:tcW w:w="1143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Aiuti Energia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251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123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49,00%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33.760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13.319 </w:t>
            </w:r>
          </w:p>
        </w:tc>
        <w:tc>
          <w:tcPr>
            <w:tcW w:w="461" w:type="pct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39,45%</w:t>
            </w:r>
          </w:p>
        </w:tc>
        <w:tc>
          <w:tcPr>
            <w:tcW w:w="631" w:type="pct"/>
            <w:shd w:val="clear" w:color="FDE9D9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91/2022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73/2022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Semplificazioni fiscali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110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42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38,18%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12.708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6.791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53,44%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122/2022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68/2022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Infrastrutture e mobilità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59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94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159,32%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10.675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13.480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126,28%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108/2022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115/2022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Aiuti bis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155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58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37,42%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18.382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 xml:space="preserve">8.011 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43,58%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142/2022</w:t>
            </w:r>
          </w:p>
        </w:tc>
      </w:tr>
      <w:tr w:rsidR="000970E6" w:rsidRPr="000970E6" w:rsidTr="000970E6">
        <w:trPr>
          <w:trHeight w:val="330"/>
          <w:jc w:val="center"/>
        </w:trPr>
        <w:tc>
          <w:tcPr>
            <w:tcW w:w="46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1143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 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 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461" w:type="pct"/>
            <w:shd w:val="clear" w:color="FDE9D9" w:fill="8DB4E2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 </w:t>
            </w:r>
          </w:p>
        </w:tc>
        <w:tc>
          <w:tcPr>
            <w:tcW w:w="631" w:type="pct"/>
            <w:shd w:val="clear" w:color="FDE9D9" w:fill="8DB4E2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</w:tr>
      <w:tr w:rsidR="000970E6" w:rsidRPr="000970E6" w:rsidTr="000970E6">
        <w:trPr>
          <w:trHeight w:val="750"/>
          <w:jc w:val="center"/>
        </w:trPr>
        <w:tc>
          <w:tcPr>
            <w:tcW w:w="461" w:type="pct"/>
            <w:shd w:val="clear" w:color="000000" w:fill="538DD5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color w:val="FFFFFF"/>
                <w:szCs w:val="22"/>
              </w:rPr>
              <w:t>Totali</w:t>
            </w:r>
          </w:p>
        </w:tc>
        <w:tc>
          <w:tcPr>
            <w:tcW w:w="1143" w:type="pct"/>
            <w:shd w:val="clear" w:color="000000" w:fill="538DD5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color w:val="FFFFFF"/>
                <w:szCs w:val="22"/>
              </w:rPr>
              <w:t>104</w:t>
            </w:r>
          </w:p>
        </w:tc>
        <w:tc>
          <w:tcPr>
            <w:tcW w:w="461" w:type="pct"/>
            <w:shd w:val="clear" w:color="000000" w:fill="538DD5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color w:val="FFFFFF"/>
                <w:szCs w:val="22"/>
              </w:rPr>
              <w:t xml:space="preserve">8.520 </w:t>
            </w:r>
          </w:p>
        </w:tc>
        <w:tc>
          <w:tcPr>
            <w:tcW w:w="461" w:type="pct"/>
            <w:shd w:val="clear" w:color="000000" w:fill="538DD5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color w:val="FFFFFF"/>
                <w:szCs w:val="22"/>
              </w:rPr>
              <w:t xml:space="preserve">5.711 </w:t>
            </w:r>
          </w:p>
        </w:tc>
        <w:tc>
          <w:tcPr>
            <w:tcW w:w="461" w:type="pct"/>
            <w:shd w:val="clear" w:color="000000" w:fill="538DD5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color w:val="FFFFFF"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color w:val="FFFFFF"/>
                <w:szCs w:val="22"/>
              </w:rPr>
              <w:t>67,03%</w:t>
            </w:r>
          </w:p>
        </w:tc>
        <w:tc>
          <w:tcPr>
            <w:tcW w:w="461" w:type="pct"/>
            <w:shd w:val="clear" w:color="000000" w:fill="538DD5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color w:val="FFFFFF"/>
                <w:szCs w:val="22"/>
              </w:rPr>
              <w:t xml:space="preserve">1.032.484 </w:t>
            </w:r>
          </w:p>
        </w:tc>
        <w:tc>
          <w:tcPr>
            <w:tcW w:w="461" w:type="pct"/>
            <w:shd w:val="clear" w:color="000000" w:fill="538DD5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color w:val="FFFFFF"/>
                <w:szCs w:val="22"/>
              </w:rPr>
              <w:t xml:space="preserve">713.020 </w:t>
            </w:r>
          </w:p>
        </w:tc>
        <w:tc>
          <w:tcPr>
            <w:tcW w:w="461" w:type="pct"/>
            <w:shd w:val="clear" w:color="000000" w:fill="538DD5"/>
            <w:noWrap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color w:val="FFFFFF"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color w:val="FFFFFF"/>
                <w:szCs w:val="22"/>
              </w:rPr>
              <w:t>69,06%</w:t>
            </w:r>
          </w:p>
        </w:tc>
        <w:tc>
          <w:tcPr>
            <w:tcW w:w="631" w:type="pct"/>
            <w:shd w:val="clear" w:color="000000" w:fill="538DD5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szCs w:val="22"/>
              </w:rPr>
            </w:pPr>
            <w:r w:rsidRPr="000970E6">
              <w:rPr>
                <w:rFonts w:ascii="Calibri" w:hAnsi="Calibri" w:cs="Calibri"/>
                <w:b/>
                <w:bCs/>
                <w:i/>
                <w:iCs/>
                <w:color w:val="FFFFFF"/>
                <w:szCs w:val="22"/>
              </w:rPr>
              <w:t> </w:t>
            </w:r>
          </w:p>
        </w:tc>
      </w:tr>
      <w:tr w:rsidR="000970E6" w:rsidRPr="000970E6" w:rsidTr="000970E6">
        <w:trPr>
          <w:trHeight w:val="1290"/>
          <w:jc w:val="center"/>
        </w:trPr>
        <w:tc>
          <w:tcPr>
            <w:tcW w:w="5000" w:type="pct"/>
            <w:gridSpan w:val="9"/>
            <w:shd w:val="clear" w:color="000000" w:fill="CCC0DA"/>
            <w:vAlign w:val="center"/>
            <w:hideMark/>
          </w:tcPr>
          <w:p w:rsidR="000970E6" w:rsidRPr="000970E6" w:rsidRDefault="000970E6" w:rsidP="000970E6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70E6">
              <w:rPr>
                <w:rFonts w:ascii="Calibri" w:hAnsi="Calibri" w:cs="Calibri"/>
                <w:color w:val="000000"/>
                <w:szCs w:val="22"/>
              </w:rPr>
              <w:t>Le caselle che presentano questo sfondo colorato indicano che per la legge di conversione la questione di fiducia è stata posta almeno una volta nell'</w:t>
            </w:r>
            <w:r w:rsidRPr="000970E6">
              <w:rPr>
                <w:rFonts w:ascii="Calibri" w:hAnsi="Calibri" w:cs="Calibri"/>
                <w:i/>
                <w:iCs/>
                <w:color w:val="000000"/>
                <w:szCs w:val="22"/>
              </w:rPr>
              <w:t>iter</w:t>
            </w:r>
            <w:r w:rsidRPr="000970E6">
              <w:rPr>
                <w:rFonts w:ascii="Calibri" w:hAnsi="Calibri" w:cs="Calibri"/>
                <w:color w:val="000000"/>
                <w:szCs w:val="22"/>
              </w:rPr>
              <w:t xml:space="preserve"> del provvedimento.</w:t>
            </w:r>
          </w:p>
        </w:tc>
      </w:tr>
    </w:tbl>
    <w:p w:rsidR="0088003B" w:rsidRPr="00544481" w:rsidRDefault="0088003B" w:rsidP="00544481"/>
    <w:sectPr w:rsidR="0088003B" w:rsidRPr="00544481" w:rsidSect="0088003B"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3B"/>
    <w:rsid w:val="0003747B"/>
    <w:rsid w:val="000970E6"/>
    <w:rsid w:val="00312E15"/>
    <w:rsid w:val="003C0945"/>
    <w:rsid w:val="00544481"/>
    <w:rsid w:val="008638B3"/>
    <w:rsid w:val="0088003B"/>
    <w:rsid w:val="008A3368"/>
    <w:rsid w:val="00A5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9071"/>
  <w15:chartTrackingRefBased/>
  <w15:docId w15:val="{C7634E71-1AC4-4377-8C99-371EBEB6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male Osservatorio"/>
    <w:qFormat/>
    <w:rsid w:val="0003747B"/>
    <w:pPr>
      <w:spacing w:before="60" w:after="60" w:line="300" w:lineRule="atLeast"/>
      <w:ind w:firstLine="284"/>
      <w:contextualSpacing/>
      <w:jc w:val="both"/>
    </w:pPr>
    <w:rPr>
      <w:rFonts w:cs="Times New Roman"/>
      <w:szCs w:val="20"/>
      <w:lang w:eastAsia="it-IT"/>
    </w:rPr>
  </w:style>
  <w:style w:type="paragraph" w:styleId="Titolo1">
    <w:name w:val="heading 1"/>
    <w:basedOn w:val="Titolo"/>
    <w:next w:val="Normale"/>
    <w:link w:val="Titolo1Carattere"/>
    <w:uiPriority w:val="9"/>
    <w:qFormat/>
    <w:rsid w:val="00312E15"/>
    <w:pPr>
      <w:keepNext/>
      <w:keepLines/>
      <w:spacing w:before="120" w:after="120" w:line="360" w:lineRule="auto"/>
      <w:ind w:firstLine="0"/>
      <w:jc w:val="center"/>
      <w:outlineLvl w:val="0"/>
    </w:pPr>
    <w:rPr>
      <w:color w:val="2E74B5" w:themeColor="accent1" w:themeShade="BF"/>
      <w:sz w:val="32"/>
      <w:szCs w:val="32"/>
    </w:rPr>
  </w:style>
  <w:style w:type="paragraph" w:styleId="Titolo2">
    <w:name w:val="heading 2"/>
    <w:basedOn w:val="Titolo"/>
    <w:next w:val="Normale"/>
    <w:link w:val="Titolo2Carattere"/>
    <w:uiPriority w:val="9"/>
    <w:unhideWhenUsed/>
    <w:qFormat/>
    <w:rsid w:val="00312E15"/>
    <w:pPr>
      <w:keepNext/>
      <w:keepLines/>
      <w:spacing w:before="60" w:after="60"/>
      <w:ind w:firstLine="0"/>
      <w:jc w:val="left"/>
      <w:outlineLvl w:val="1"/>
    </w:pPr>
    <w:rPr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312E15"/>
    <w:pPr>
      <w:spacing w:before="0"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2E15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2E15"/>
    <w:rPr>
      <w:rFonts w:asciiTheme="majorHAnsi" w:eastAsiaTheme="majorEastAsia" w:hAnsiTheme="majorHAnsi" w:cstheme="majorBidi"/>
      <w:color w:val="2E74B5" w:themeColor="accent1" w:themeShade="BF"/>
      <w:spacing w:val="-10"/>
      <w:kern w:val="28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2E15"/>
    <w:rPr>
      <w:rFonts w:asciiTheme="majorHAnsi" w:eastAsiaTheme="majorEastAsia" w:hAnsiTheme="majorHAnsi" w:cstheme="majorBidi"/>
      <w:color w:val="2E74B5" w:themeColor="accent1" w:themeShade="BF"/>
      <w:spacing w:val="-10"/>
      <w:kern w:val="28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970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70E6"/>
    <w:rPr>
      <w:color w:val="800080"/>
      <w:u w:val="single"/>
    </w:rPr>
  </w:style>
  <w:style w:type="paragraph" w:customStyle="1" w:styleId="msonormal0">
    <w:name w:val="msonormal"/>
    <w:basedOn w:val="Normale"/>
    <w:rsid w:val="000970E6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e"/>
    <w:rsid w:val="000970E6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hAnsi="Calibri" w:cs="Calibri"/>
      <w:color w:val="000000"/>
      <w:szCs w:val="22"/>
    </w:rPr>
  </w:style>
  <w:style w:type="paragraph" w:customStyle="1" w:styleId="font6">
    <w:name w:val="font6"/>
    <w:basedOn w:val="Normale"/>
    <w:rsid w:val="000970E6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hAnsi="Calibri" w:cs="Calibri"/>
      <w:b/>
      <w:bCs/>
      <w:szCs w:val="22"/>
    </w:rPr>
  </w:style>
  <w:style w:type="paragraph" w:customStyle="1" w:styleId="font7">
    <w:name w:val="font7"/>
    <w:basedOn w:val="Normale"/>
    <w:rsid w:val="000970E6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hAnsi="Calibri" w:cs="Calibri"/>
      <w:b/>
      <w:bCs/>
      <w:color w:val="FFFFFF"/>
      <w:sz w:val="24"/>
      <w:szCs w:val="24"/>
      <w:u w:val="single"/>
    </w:rPr>
  </w:style>
  <w:style w:type="paragraph" w:customStyle="1" w:styleId="font8">
    <w:name w:val="font8"/>
    <w:basedOn w:val="Normale"/>
    <w:rsid w:val="000970E6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hAnsi="Calibri" w:cs="Calibri"/>
      <w:i/>
      <w:iCs/>
      <w:color w:val="000000"/>
      <w:szCs w:val="22"/>
    </w:rPr>
  </w:style>
  <w:style w:type="paragraph" w:customStyle="1" w:styleId="xl95">
    <w:name w:val="xl95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8DB4E2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96">
    <w:name w:val="xl96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8DB4E2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97">
    <w:name w:val="xl97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8DB4E2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b/>
      <w:bCs/>
      <w:i/>
      <w:iCs/>
      <w:szCs w:val="22"/>
    </w:rPr>
  </w:style>
  <w:style w:type="paragraph" w:customStyle="1" w:styleId="xl98">
    <w:name w:val="xl98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8DB4E2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99">
    <w:name w:val="xl99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CCC0DA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100">
    <w:name w:val="xl100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CCC0DA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101">
    <w:name w:val="xl101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CCC0DA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b/>
      <w:bCs/>
      <w:i/>
      <w:iCs/>
      <w:szCs w:val="22"/>
    </w:rPr>
  </w:style>
  <w:style w:type="paragraph" w:customStyle="1" w:styleId="xl102">
    <w:name w:val="xl102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8DB4E2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103">
    <w:name w:val="xl103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8DB4E2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104">
    <w:name w:val="xl104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8DB4E2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b/>
      <w:bCs/>
      <w:i/>
      <w:iCs/>
      <w:szCs w:val="22"/>
    </w:rPr>
  </w:style>
  <w:style w:type="paragraph" w:customStyle="1" w:styleId="xl105">
    <w:name w:val="xl105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CCC0DA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106">
    <w:name w:val="xl106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8DB4E2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107">
    <w:name w:val="xl107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8DB4E2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b/>
      <w:bCs/>
      <w:i/>
      <w:iCs/>
      <w:szCs w:val="22"/>
    </w:rPr>
  </w:style>
  <w:style w:type="paragraph" w:customStyle="1" w:styleId="xl108">
    <w:name w:val="xl108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CCC0DA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109">
    <w:name w:val="xl109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CCC0DA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b/>
      <w:bCs/>
      <w:i/>
      <w:iCs/>
      <w:szCs w:val="22"/>
    </w:rPr>
  </w:style>
  <w:style w:type="paragraph" w:customStyle="1" w:styleId="xl110">
    <w:name w:val="xl110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8DB4E2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Times New Roman" w:hAnsi="Times New Roman"/>
      <w:b/>
      <w:bCs/>
      <w:i/>
      <w:iCs/>
      <w:szCs w:val="22"/>
    </w:rPr>
  </w:style>
  <w:style w:type="paragraph" w:customStyle="1" w:styleId="xl111">
    <w:name w:val="xl111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8DB4E2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Times New Roman" w:hAnsi="Times New Roman"/>
      <w:b/>
      <w:bCs/>
      <w:i/>
      <w:iCs/>
      <w:szCs w:val="22"/>
    </w:rPr>
  </w:style>
  <w:style w:type="paragraph" w:customStyle="1" w:styleId="xl112">
    <w:name w:val="xl112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CCC0DA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Times New Roman" w:hAnsi="Times New Roman"/>
      <w:b/>
      <w:bCs/>
      <w:i/>
      <w:iCs/>
      <w:szCs w:val="22"/>
    </w:rPr>
  </w:style>
  <w:style w:type="paragraph" w:customStyle="1" w:styleId="xl113">
    <w:name w:val="xl113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8DB4E2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Times New Roman" w:hAnsi="Times New Roman"/>
      <w:b/>
      <w:bCs/>
      <w:i/>
      <w:iCs/>
      <w:szCs w:val="22"/>
    </w:rPr>
  </w:style>
  <w:style w:type="paragraph" w:customStyle="1" w:styleId="xl114">
    <w:name w:val="xl114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CCC0DA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Times New Roman" w:hAnsi="Times New Roman"/>
      <w:b/>
      <w:bCs/>
      <w:i/>
      <w:iCs/>
      <w:szCs w:val="22"/>
    </w:rPr>
  </w:style>
  <w:style w:type="paragraph" w:customStyle="1" w:styleId="xl115">
    <w:name w:val="xl115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CCC0DA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116">
    <w:name w:val="xl116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CCC0DA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Times New Roman" w:hAnsi="Times New Roman"/>
      <w:b/>
      <w:bCs/>
      <w:i/>
      <w:iCs/>
      <w:szCs w:val="22"/>
    </w:rPr>
  </w:style>
  <w:style w:type="paragraph" w:customStyle="1" w:styleId="xl117">
    <w:name w:val="xl117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CCC0DA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118">
    <w:name w:val="xl118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CCC0DA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Times New Roman" w:hAnsi="Times New Roman"/>
      <w:b/>
      <w:bCs/>
      <w:i/>
      <w:iCs/>
      <w:szCs w:val="22"/>
    </w:rPr>
  </w:style>
  <w:style w:type="paragraph" w:customStyle="1" w:styleId="xl119">
    <w:name w:val="xl119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FDE9D9" w:fill="CCC0DA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120">
    <w:name w:val="xl120"/>
    <w:basedOn w:val="Normale"/>
    <w:rsid w:val="000970E6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hAnsi="Times New Roman"/>
      <w:szCs w:val="22"/>
    </w:rPr>
  </w:style>
  <w:style w:type="paragraph" w:customStyle="1" w:styleId="xl121">
    <w:name w:val="xl121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538DD5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122">
    <w:name w:val="xl122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538DD5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i/>
      <w:iCs/>
      <w:color w:val="FFFFFF"/>
      <w:sz w:val="24"/>
      <w:szCs w:val="24"/>
    </w:rPr>
  </w:style>
  <w:style w:type="paragraph" w:customStyle="1" w:styleId="xl123">
    <w:name w:val="xl123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538DD5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i/>
      <w:iCs/>
      <w:color w:val="FFFFFF"/>
      <w:szCs w:val="22"/>
    </w:rPr>
  </w:style>
  <w:style w:type="paragraph" w:customStyle="1" w:styleId="xl124">
    <w:name w:val="xl124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538DD5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i/>
      <w:iCs/>
      <w:color w:val="FFFFFF"/>
      <w:szCs w:val="22"/>
    </w:rPr>
  </w:style>
  <w:style w:type="paragraph" w:customStyle="1" w:styleId="xl125">
    <w:name w:val="xl125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538DD5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color w:val="FFFFFF"/>
      <w:szCs w:val="22"/>
    </w:rPr>
  </w:style>
  <w:style w:type="paragraph" w:customStyle="1" w:styleId="xl126">
    <w:name w:val="xl126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538DD5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b/>
      <w:bCs/>
      <w:i/>
      <w:iCs/>
      <w:color w:val="FFFFFF"/>
      <w:szCs w:val="22"/>
    </w:rPr>
  </w:style>
  <w:style w:type="paragraph" w:customStyle="1" w:styleId="xl127">
    <w:name w:val="xl127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538DD5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e"/>
    <w:rsid w:val="000970E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CCC0DA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8A6F82E</Template>
  <TotalTime>2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dei Deputati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Orciuolo</dc:creator>
  <cp:keywords/>
  <dc:description/>
  <cp:lastModifiedBy>Alessandro Orciuolo</cp:lastModifiedBy>
  <cp:revision>2</cp:revision>
  <dcterms:created xsi:type="dcterms:W3CDTF">2022-09-22T14:15:00Z</dcterms:created>
  <dcterms:modified xsi:type="dcterms:W3CDTF">2022-09-22T14:15:00Z</dcterms:modified>
</cp:coreProperties>
</file>