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5" w:type="pct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173"/>
        <w:gridCol w:w="1974"/>
        <w:gridCol w:w="2349"/>
        <w:gridCol w:w="2868"/>
        <w:gridCol w:w="3940"/>
        <w:gridCol w:w="2325"/>
      </w:tblGrid>
      <w:tr w:rsidR="004D58CA" w:rsidTr="00E52B99">
        <w:trPr>
          <w:tblHeader/>
        </w:trPr>
        <w:tc>
          <w:tcPr>
            <w:tcW w:w="141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0504D"/>
          </w:tcPr>
          <w:p w:rsidR="004D58CA" w:rsidRDefault="004D58CA" w:rsidP="002C5B0F">
            <w:pPr>
              <w:pStyle w:val="TableParagraph"/>
              <w:kinsoku w:val="0"/>
              <w:overflowPunct w:val="0"/>
              <w:spacing w:before="120"/>
              <w:ind w:left="384"/>
            </w:pPr>
            <w:r>
              <w:rPr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b/>
                <w:bCs/>
                <w:color w:val="FFFFFF"/>
                <w:spacing w:val="-1"/>
                <w:sz w:val="16"/>
                <w:szCs w:val="16"/>
              </w:rPr>
              <w:t>IFORMA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0504D"/>
          </w:tcPr>
          <w:p w:rsidR="004D58CA" w:rsidRDefault="004D58CA" w:rsidP="002C5B0F">
            <w:pPr>
              <w:pStyle w:val="TableParagraph"/>
              <w:kinsoku w:val="0"/>
              <w:overflowPunct w:val="0"/>
              <w:spacing w:before="120"/>
              <w:ind w:left="429"/>
            </w:pPr>
            <w:r>
              <w:rPr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b/>
                <w:bCs/>
                <w:color w:val="FFFFFF"/>
                <w:spacing w:val="-1"/>
                <w:sz w:val="16"/>
                <w:szCs w:val="16"/>
              </w:rPr>
              <w:t>ISORSE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0504D"/>
          </w:tcPr>
          <w:p w:rsidR="004D58CA" w:rsidRDefault="004D58CA" w:rsidP="002C5B0F">
            <w:pPr>
              <w:pStyle w:val="TableParagraph"/>
              <w:kinsoku w:val="0"/>
              <w:overflowPunct w:val="0"/>
              <w:spacing w:before="120"/>
              <w:ind w:left="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b/>
                <w:bCs/>
                <w:color w:val="FFFFFF"/>
                <w:spacing w:val="-1"/>
                <w:sz w:val="16"/>
                <w:szCs w:val="16"/>
              </w:rPr>
              <w:t>MMINISTRAZIONE</w:t>
            </w:r>
          </w:p>
          <w:p w:rsidR="004D58CA" w:rsidRDefault="004D58CA" w:rsidP="002C5B0F">
            <w:pPr>
              <w:pStyle w:val="TableParagraph"/>
              <w:kinsoku w:val="0"/>
              <w:overflowPunct w:val="0"/>
              <w:spacing w:before="37"/>
              <w:ind w:left="62"/>
              <w:jc w:val="center"/>
            </w:pPr>
            <w:r>
              <w:rPr>
                <w:b/>
                <w:bCs/>
                <w:color w:val="FFFFFF"/>
                <w:spacing w:val="-1"/>
                <w:sz w:val="16"/>
                <w:szCs w:val="16"/>
              </w:rPr>
              <w:t>TITOLARE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0504D"/>
          </w:tcPr>
          <w:p w:rsidR="004D58CA" w:rsidRDefault="004D58CA" w:rsidP="002C5B0F">
            <w:pPr>
              <w:pStyle w:val="TableParagraph"/>
              <w:kinsoku w:val="0"/>
              <w:overflowPunct w:val="0"/>
              <w:spacing w:before="120"/>
              <w:ind w:left="64"/>
              <w:jc w:val="center"/>
            </w:pPr>
            <w:r>
              <w:rPr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b/>
                <w:bCs/>
                <w:color w:val="FFFFFF"/>
                <w:spacing w:val="-1"/>
                <w:sz w:val="16"/>
                <w:szCs w:val="16"/>
              </w:rPr>
              <w:t>BIETTIVO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0504D"/>
          </w:tcPr>
          <w:p w:rsidR="004D58CA" w:rsidRDefault="004D58CA" w:rsidP="002C5B0F">
            <w:pPr>
              <w:pStyle w:val="TableParagraph"/>
              <w:kinsoku w:val="0"/>
              <w:overflowPunct w:val="0"/>
              <w:spacing w:before="120"/>
              <w:ind w:left="325"/>
            </w:pPr>
            <w:r>
              <w:rPr>
                <w:b/>
                <w:bCs/>
                <w:color w:val="FFFFFF"/>
                <w:spacing w:val="-1"/>
                <w:sz w:val="20"/>
                <w:szCs w:val="20"/>
              </w:rPr>
              <w:t>TRAGUARDO/OBIETTIVO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0504D"/>
          </w:tcPr>
          <w:p w:rsidR="004D58CA" w:rsidRDefault="004D58CA" w:rsidP="002C5B0F">
            <w:pPr>
              <w:pStyle w:val="TableParagraph"/>
              <w:kinsoku w:val="0"/>
              <w:overflowPunct w:val="0"/>
              <w:spacing w:before="120"/>
              <w:ind w:left="568"/>
            </w:pPr>
            <w:r>
              <w:rPr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b/>
                <w:bCs/>
                <w:color w:val="FFFFFF"/>
                <w:spacing w:val="-1"/>
                <w:sz w:val="16"/>
                <w:szCs w:val="16"/>
              </w:rPr>
              <w:t>TTUAZIONE</w:t>
            </w:r>
          </w:p>
        </w:tc>
      </w:tr>
      <w:tr w:rsidR="004D58CA" w:rsidTr="00E52B99">
        <w:tc>
          <w:tcPr>
            <w:tcW w:w="1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504D"/>
          </w:tcPr>
          <w:p w:rsidR="004D58CA" w:rsidRDefault="004D58CA" w:rsidP="002C5B0F">
            <w:pPr>
              <w:pStyle w:val="TableParagraph"/>
              <w:kinsoku w:val="0"/>
              <w:overflowPunct w:val="0"/>
              <w:spacing w:before="4"/>
              <w:ind w:left="102" w:right="165"/>
            </w:pPr>
            <w:r w:rsidRPr="00EC6437">
              <w:rPr>
                <w:b/>
                <w:bCs/>
                <w:color w:val="FFFFFF" w:themeColor="background1"/>
                <w:spacing w:val="-1"/>
                <w:sz w:val="20"/>
                <w:szCs w:val="20"/>
              </w:rPr>
              <w:t>Revisione</w:t>
            </w:r>
            <w:r w:rsidRPr="00EC6437">
              <w:rPr>
                <w:b/>
                <w:bCs/>
                <w:color w:val="FFFFFF" w:themeColor="background1"/>
                <w:spacing w:val="6"/>
                <w:sz w:val="20"/>
                <w:szCs w:val="20"/>
              </w:rPr>
              <w:t xml:space="preserve"> </w:t>
            </w:r>
            <w:r w:rsidRPr="00EC6437">
              <w:rPr>
                <w:b/>
                <w:bCs/>
                <w:color w:val="FFFFFF" w:themeColor="background1"/>
                <w:sz w:val="20"/>
                <w:szCs w:val="20"/>
              </w:rPr>
              <w:t>e</w:t>
            </w:r>
            <w:r w:rsidRPr="00EC6437">
              <w:rPr>
                <w:b/>
                <w:bCs/>
                <w:color w:val="FFFFFF" w:themeColor="background1"/>
                <w:spacing w:val="5"/>
                <w:sz w:val="20"/>
                <w:szCs w:val="20"/>
              </w:rPr>
              <w:t xml:space="preserve"> </w:t>
            </w:r>
            <w:r w:rsidRPr="00EC6437">
              <w:rPr>
                <w:b/>
                <w:bCs/>
                <w:color w:val="FFFFFF" w:themeColor="background1"/>
                <w:spacing w:val="-1"/>
                <w:sz w:val="20"/>
                <w:szCs w:val="20"/>
              </w:rPr>
              <w:t>aggiornamento</w:t>
            </w:r>
            <w:r w:rsidRPr="00EC6437">
              <w:rPr>
                <w:b/>
                <w:bCs/>
                <w:color w:val="FFFFFF" w:themeColor="background1"/>
                <w:spacing w:val="6"/>
                <w:sz w:val="20"/>
                <w:szCs w:val="20"/>
              </w:rPr>
              <w:t xml:space="preserve"> </w:t>
            </w:r>
            <w:r w:rsidRPr="00EC6437">
              <w:rPr>
                <w:b/>
                <w:bCs/>
                <w:color w:val="FFFFFF" w:themeColor="background1"/>
                <w:spacing w:val="-1"/>
                <w:sz w:val="20"/>
                <w:szCs w:val="20"/>
              </w:rPr>
              <w:t>dell’assetto</w:t>
            </w:r>
            <w:r w:rsidRPr="00EC6437">
              <w:rPr>
                <w:b/>
                <w:bCs/>
                <w:color w:val="FFFFFF" w:themeColor="background1"/>
                <w:spacing w:val="29"/>
                <w:sz w:val="20"/>
                <w:szCs w:val="20"/>
              </w:rPr>
              <w:t xml:space="preserve"> </w:t>
            </w:r>
            <w:r w:rsidRPr="00EC6437">
              <w:rPr>
                <w:b/>
                <w:bCs/>
                <w:color w:val="FFFFFF" w:themeColor="background1"/>
                <w:spacing w:val="-1"/>
                <w:sz w:val="20"/>
                <w:szCs w:val="20"/>
              </w:rPr>
              <w:t>regolamentare</w:t>
            </w:r>
            <w:r w:rsidRPr="00EC6437">
              <w:rPr>
                <w:b/>
                <w:bCs/>
                <w:color w:val="FFFFFF" w:themeColor="background1"/>
                <w:spacing w:val="33"/>
                <w:sz w:val="20"/>
                <w:szCs w:val="20"/>
              </w:rPr>
              <w:t xml:space="preserve"> </w:t>
            </w:r>
            <w:r w:rsidRPr="00EC6437">
              <w:rPr>
                <w:b/>
                <w:bCs/>
                <w:color w:val="FFFFFF" w:themeColor="background1"/>
                <w:sz w:val="20"/>
                <w:szCs w:val="20"/>
              </w:rPr>
              <w:t>e</w:t>
            </w:r>
            <w:r w:rsidRPr="00EC6437">
              <w:rPr>
                <w:b/>
                <w:bCs/>
                <w:color w:val="FFFFFF" w:themeColor="background1"/>
                <w:spacing w:val="33"/>
                <w:sz w:val="20"/>
                <w:szCs w:val="20"/>
              </w:rPr>
              <w:t xml:space="preserve"> </w:t>
            </w:r>
            <w:r w:rsidRPr="00EC6437">
              <w:rPr>
                <w:b/>
                <w:bCs/>
                <w:color w:val="FFFFFF" w:themeColor="background1"/>
                <w:spacing w:val="-1"/>
                <w:sz w:val="20"/>
                <w:szCs w:val="20"/>
              </w:rPr>
              <w:t>del</w:t>
            </w:r>
            <w:r w:rsidRPr="00EC6437">
              <w:rPr>
                <w:b/>
                <w:bCs/>
                <w:color w:val="FFFFFF" w:themeColor="background1"/>
                <w:spacing w:val="32"/>
                <w:sz w:val="20"/>
                <w:szCs w:val="20"/>
              </w:rPr>
              <w:t xml:space="preserve"> </w:t>
            </w:r>
            <w:r w:rsidRPr="00EC6437">
              <w:rPr>
                <w:b/>
                <w:bCs/>
                <w:color w:val="FFFFFF" w:themeColor="background1"/>
                <w:spacing w:val="-1"/>
                <w:sz w:val="20"/>
                <w:szCs w:val="20"/>
              </w:rPr>
              <w:t>regime</w:t>
            </w:r>
            <w:r w:rsidRPr="00EC6437">
              <w:rPr>
                <w:b/>
                <w:bCs/>
                <w:color w:val="FFFFFF" w:themeColor="background1"/>
                <w:spacing w:val="33"/>
                <w:sz w:val="20"/>
                <w:szCs w:val="20"/>
              </w:rPr>
              <w:t xml:space="preserve"> </w:t>
            </w:r>
            <w:r w:rsidRPr="00EC6437">
              <w:rPr>
                <w:b/>
                <w:bCs/>
                <w:color w:val="FFFFFF" w:themeColor="background1"/>
                <w:spacing w:val="-1"/>
                <w:sz w:val="20"/>
                <w:szCs w:val="20"/>
              </w:rPr>
              <w:t>giuridico</w:t>
            </w:r>
            <w:r w:rsidRPr="00EC6437">
              <w:rPr>
                <w:b/>
                <w:bCs/>
                <w:color w:val="FFFFFF" w:themeColor="background1"/>
                <w:spacing w:val="29"/>
                <w:sz w:val="20"/>
                <w:szCs w:val="20"/>
              </w:rPr>
              <w:t xml:space="preserve"> </w:t>
            </w:r>
            <w:r w:rsidRPr="00EC6437">
              <w:rPr>
                <w:b/>
                <w:bCs/>
                <w:color w:val="FFFFFF" w:themeColor="background1"/>
                <w:spacing w:val="-1"/>
                <w:sz w:val="20"/>
                <w:szCs w:val="20"/>
              </w:rPr>
              <w:t>degli</w:t>
            </w:r>
            <w:r w:rsidRPr="00EC6437">
              <w:rPr>
                <w:b/>
                <w:bCs/>
                <w:color w:val="FFFFFF" w:themeColor="background1"/>
                <w:spacing w:val="3"/>
                <w:sz w:val="20"/>
                <w:szCs w:val="20"/>
              </w:rPr>
              <w:t xml:space="preserve"> </w:t>
            </w:r>
            <w:r w:rsidRPr="00EC6437">
              <w:rPr>
                <w:b/>
                <w:bCs/>
                <w:color w:val="FFFFFF" w:themeColor="background1"/>
                <w:spacing w:val="-1"/>
                <w:sz w:val="20"/>
                <w:szCs w:val="20"/>
              </w:rPr>
              <w:t>Istituti</w:t>
            </w:r>
            <w:r w:rsidRPr="00EC6437">
              <w:rPr>
                <w:b/>
                <w:bCs/>
                <w:color w:val="FFFFFF" w:themeColor="background1"/>
                <w:spacing w:val="3"/>
                <w:sz w:val="20"/>
                <w:szCs w:val="20"/>
              </w:rPr>
              <w:t xml:space="preserve"> </w:t>
            </w:r>
            <w:r w:rsidRPr="00EC6437">
              <w:rPr>
                <w:b/>
                <w:bCs/>
                <w:color w:val="FFFFFF" w:themeColor="background1"/>
                <w:sz w:val="20"/>
                <w:szCs w:val="20"/>
              </w:rPr>
              <w:t>di</w:t>
            </w:r>
            <w:r w:rsidRPr="00EC6437">
              <w:rPr>
                <w:b/>
                <w:bCs/>
                <w:color w:val="FFFFFF" w:themeColor="background1"/>
                <w:spacing w:val="3"/>
                <w:sz w:val="20"/>
                <w:szCs w:val="20"/>
              </w:rPr>
              <w:t xml:space="preserve"> </w:t>
            </w:r>
            <w:r w:rsidRPr="00EC6437">
              <w:rPr>
                <w:b/>
                <w:bCs/>
                <w:color w:val="FFFFFF" w:themeColor="background1"/>
                <w:spacing w:val="-1"/>
                <w:sz w:val="20"/>
                <w:szCs w:val="20"/>
              </w:rPr>
              <w:t>Ricovero</w:t>
            </w:r>
            <w:r w:rsidRPr="00EC6437">
              <w:rPr>
                <w:b/>
                <w:bCs/>
                <w:color w:val="FFFFFF" w:themeColor="background1"/>
                <w:spacing w:val="4"/>
                <w:sz w:val="20"/>
                <w:szCs w:val="20"/>
              </w:rPr>
              <w:t xml:space="preserve"> </w:t>
            </w:r>
            <w:r w:rsidRPr="00EC6437">
              <w:rPr>
                <w:b/>
                <w:bCs/>
                <w:color w:val="FFFFFF" w:themeColor="background1"/>
                <w:sz w:val="20"/>
                <w:szCs w:val="20"/>
              </w:rPr>
              <w:t>e</w:t>
            </w:r>
            <w:r w:rsidRPr="00EC6437">
              <w:rPr>
                <w:b/>
                <w:bCs/>
                <w:color w:val="FFFFFF" w:themeColor="background1"/>
                <w:spacing w:val="2"/>
                <w:sz w:val="20"/>
                <w:szCs w:val="20"/>
              </w:rPr>
              <w:t xml:space="preserve"> </w:t>
            </w:r>
            <w:r w:rsidRPr="00EC6437">
              <w:rPr>
                <w:b/>
                <w:bCs/>
                <w:color w:val="FFFFFF" w:themeColor="background1"/>
                <w:spacing w:val="-1"/>
                <w:sz w:val="20"/>
                <w:szCs w:val="20"/>
              </w:rPr>
              <w:t>Cura</w:t>
            </w:r>
            <w:r w:rsidRPr="00EC6437">
              <w:rPr>
                <w:b/>
                <w:bCs/>
                <w:color w:val="FFFFFF" w:themeColor="background1"/>
                <w:spacing w:val="3"/>
                <w:sz w:val="20"/>
                <w:szCs w:val="20"/>
              </w:rPr>
              <w:t xml:space="preserve"> </w:t>
            </w:r>
            <w:r w:rsidRPr="00EC6437">
              <w:rPr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Pr="00EC6437">
              <w:rPr>
                <w:b/>
                <w:bCs/>
                <w:color w:val="FFFFFF" w:themeColor="background1"/>
                <w:spacing w:val="30"/>
                <w:sz w:val="20"/>
                <w:szCs w:val="20"/>
              </w:rPr>
              <w:t xml:space="preserve"> </w:t>
            </w:r>
            <w:r w:rsidRPr="00EC6437">
              <w:rPr>
                <w:b/>
                <w:bCs/>
                <w:color w:val="FFFFFF" w:themeColor="background1"/>
                <w:spacing w:val="-1"/>
                <w:sz w:val="20"/>
                <w:szCs w:val="20"/>
              </w:rPr>
              <w:t>Carattere</w:t>
            </w:r>
            <w:r w:rsidRPr="00EC6437">
              <w:rPr>
                <w:b/>
                <w:bCs/>
                <w:color w:val="FFFFFF" w:themeColor="background1"/>
                <w:spacing w:val="25"/>
                <w:sz w:val="20"/>
                <w:szCs w:val="20"/>
              </w:rPr>
              <w:t xml:space="preserve"> </w:t>
            </w:r>
            <w:r w:rsidRPr="00EC6437">
              <w:rPr>
                <w:b/>
                <w:bCs/>
                <w:color w:val="FFFFFF" w:themeColor="background1"/>
                <w:spacing w:val="-1"/>
                <w:sz w:val="20"/>
                <w:szCs w:val="20"/>
              </w:rPr>
              <w:t>Scientifico</w:t>
            </w:r>
            <w:r w:rsidRPr="00EC6437">
              <w:rPr>
                <w:b/>
                <w:bCs/>
                <w:color w:val="FFFFFF" w:themeColor="background1"/>
                <w:spacing w:val="26"/>
                <w:sz w:val="20"/>
                <w:szCs w:val="20"/>
              </w:rPr>
              <w:t xml:space="preserve"> </w:t>
            </w:r>
            <w:r w:rsidRPr="00EC6437">
              <w:rPr>
                <w:b/>
                <w:bCs/>
                <w:color w:val="FFFFFF" w:themeColor="background1"/>
                <w:spacing w:val="-1"/>
                <w:sz w:val="20"/>
                <w:szCs w:val="20"/>
              </w:rPr>
              <w:t>(IRCCS)</w:t>
            </w:r>
            <w:r>
              <w:rPr>
                <w:b/>
                <w:bCs/>
                <w:color w:val="FFFFFF"/>
                <w:spacing w:val="-1"/>
                <w:sz w:val="20"/>
                <w:szCs w:val="20"/>
              </w:rPr>
              <w:br/>
            </w:r>
            <w:r>
              <w:rPr>
                <w:color w:val="FFFFFF"/>
                <w:spacing w:val="-1"/>
                <w:sz w:val="20"/>
                <w:szCs w:val="20"/>
              </w:rPr>
              <w:t>(</w:t>
            </w:r>
            <w:hyperlink r:id="rId5" w:anchor="page%3D243" w:history="1">
              <w:r>
                <w:rPr>
                  <w:color w:val="FFFFFF"/>
                  <w:spacing w:val="-1"/>
                  <w:sz w:val="20"/>
                  <w:szCs w:val="20"/>
                </w:rPr>
                <w:t>M6C2-</w:t>
              </w:r>
            </w:hyperlink>
            <w:r>
              <w:rPr>
                <w:color w:val="FFFFFF"/>
                <w:spacing w:val="26"/>
                <w:sz w:val="20"/>
                <w:szCs w:val="20"/>
              </w:rPr>
              <w:t xml:space="preserve"> </w:t>
            </w:r>
            <w:hyperlink r:id="rId6" w:anchor="page%3D243" w:history="1">
              <w:r>
                <w:rPr>
                  <w:color w:val="FFFFFF"/>
                  <w:spacing w:val="-1"/>
                  <w:sz w:val="20"/>
                  <w:szCs w:val="20"/>
                </w:rPr>
                <w:t>R.1</w:t>
              </w:r>
            </w:hyperlink>
            <w:r>
              <w:rPr>
                <w:color w:val="FFFFFF"/>
                <w:spacing w:val="-1"/>
                <w:sz w:val="20"/>
                <w:szCs w:val="20"/>
              </w:rPr>
              <w:t>)</w:t>
            </w:r>
          </w:p>
        </w:tc>
        <w:tc>
          <w:tcPr>
            <w:tcW w:w="1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B8B7"/>
          </w:tcPr>
          <w:p w:rsidR="004D58CA" w:rsidRDefault="004D58CA" w:rsidP="002C5B0F">
            <w:pPr>
              <w:pStyle w:val="TableParagraph"/>
              <w:kinsoku w:val="0"/>
              <w:overflowPunct w:val="0"/>
              <w:spacing w:before="2"/>
              <w:ind w:left="228"/>
            </w:pPr>
            <w:r>
              <w:rPr>
                <w:i/>
                <w:iCs/>
                <w:spacing w:val="-1"/>
                <w:sz w:val="20"/>
                <w:szCs w:val="20"/>
              </w:rPr>
              <w:t>Senza oneri</w:t>
            </w:r>
            <w:r>
              <w:rPr>
                <w:i/>
                <w:iCs/>
                <w:spacing w:val="-2"/>
                <w:sz w:val="20"/>
                <w:szCs w:val="20"/>
              </w:rPr>
              <w:t xml:space="preserve"> per </w:t>
            </w:r>
            <w:r>
              <w:rPr>
                <w:i/>
                <w:iCs/>
                <w:spacing w:val="-1"/>
                <w:sz w:val="20"/>
                <w:szCs w:val="20"/>
              </w:rPr>
              <w:t>la</w:t>
            </w:r>
            <w:r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1"/>
                <w:sz w:val="20"/>
                <w:szCs w:val="20"/>
              </w:rPr>
              <w:t>finanza</w:t>
            </w:r>
            <w:r>
              <w:rPr>
                <w:i/>
                <w:iCs/>
                <w:spacing w:val="24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1"/>
                <w:sz w:val="20"/>
                <w:szCs w:val="20"/>
              </w:rPr>
              <w:t>pubblica</w:t>
            </w:r>
          </w:p>
        </w:tc>
        <w:tc>
          <w:tcPr>
            <w:tcW w:w="1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B8B7"/>
          </w:tcPr>
          <w:p w:rsidR="004D58CA" w:rsidRDefault="004D58CA" w:rsidP="002C5B0F">
            <w:pPr>
              <w:pStyle w:val="TableParagraph"/>
              <w:kinsoku w:val="0"/>
              <w:overflowPunct w:val="0"/>
              <w:spacing w:before="2"/>
              <w:ind w:left="107"/>
            </w:pPr>
            <w:r>
              <w:rPr>
                <w:spacing w:val="-1"/>
                <w:sz w:val="20"/>
                <w:szCs w:val="20"/>
              </w:rPr>
              <w:t>Ministero della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salute</w:t>
            </w:r>
          </w:p>
        </w:tc>
        <w:tc>
          <w:tcPr>
            <w:tcW w:w="1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B8B7"/>
          </w:tcPr>
          <w:p w:rsidR="004D58CA" w:rsidRDefault="004D58CA" w:rsidP="002C5B0F">
            <w:pPr>
              <w:pStyle w:val="TableParagraph"/>
              <w:kinsoku w:val="0"/>
              <w:overflowPunct w:val="0"/>
              <w:spacing w:before="5" w:line="239" w:lineRule="auto"/>
              <w:ind w:left="173" w:right="105"/>
              <w:jc w:val="both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Riforma 1</w:t>
            </w:r>
          </w:p>
          <w:p w:rsidR="004D58CA" w:rsidRDefault="004D58CA" w:rsidP="002C5B0F">
            <w:pPr>
              <w:pStyle w:val="TableParagraph"/>
              <w:kinsoku w:val="0"/>
              <w:overflowPunct w:val="0"/>
              <w:spacing w:before="5" w:line="239" w:lineRule="auto"/>
              <w:ind w:left="173" w:right="105"/>
              <w:jc w:val="both"/>
              <w:rPr>
                <w:bCs/>
                <w:spacing w:val="-1"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 xml:space="preserve">La Riforma 1 </w:t>
            </w:r>
            <w:r w:rsidRPr="00EC6437">
              <w:rPr>
                <w:bCs/>
                <w:spacing w:val="-1"/>
                <w:sz w:val="20"/>
                <w:szCs w:val="20"/>
              </w:rPr>
              <w:t xml:space="preserve">mira a riorganizzare la rete degli Istituti di ricovero e cura a carattere scientifico (IRCCS) per: </w:t>
            </w:r>
          </w:p>
          <w:p w:rsidR="004D58CA" w:rsidRDefault="004D58CA" w:rsidP="002C5B0F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5" w:line="239" w:lineRule="auto"/>
              <w:ind w:right="105"/>
              <w:jc w:val="both"/>
              <w:rPr>
                <w:bCs/>
                <w:spacing w:val="-1"/>
                <w:sz w:val="20"/>
                <w:szCs w:val="20"/>
              </w:rPr>
            </w:pPr>
            <w:r w:rsidRPr="00EC6437">
              <w:rPr>
                <w:bCs/>
                <w:spacing w:val="-1"/>
                <w:sz w:val="20"/>
                <w:szCs w:val="20"/>
              </w:rPr>
              <w:t>migliorare la qualità del Ser</w:t>
            </w:r>
            <w:r>
              <w:rPr>
                <w:bCs/>
                <w:spacing w:val="-1"/>
                <w:sz w:val="20"/>
                <w:szCs w:val="20"/>
              </w:rPr>
              <w:t>vizio sanitario nazionale (SSN);</w:t>
            </w:r>
            <w:r w:rsidRPr="00EC6437">
              <w:rPr>
                <w:bCs/>
                <w:spacing w:val="-1"/>
                <w:sz w:val="20"/>
                <w:szCs w:val="20"/>
              </w:rPr>
              <w:t xml:space="preserve"> </w:t>
            </w:r>
          </w:p>
          <w:p w:rsidR="004D58CA" w:rsidRDefault="004D58CA" w:rsidP="002C5B0F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5" w:line="239" w:lineRule="auto"/>
              <w:ind w:right="105"/>
              <w:jc w:val="both"/>
              <w:rPr>
                <w:bCs/>
                <w:spacing w:val="-1"/>
                <w:sz w:val="20"/>
                <w:szCs w:val="20"/>
              </w:rPr>
            </w:pPr>
            <w:r w:rsidRPr="00EC6437">
              <w:rPr>
                <w:bCs/>
                <w:spacing w:val="-1"/>
                <w:sz w:val="20"/>
                <w:szCs w:val="20"/>
              </w:rPr>
              <w:t xml:space="preserve">ii) potenziare il </w:t>
            </w:r>
            <w:r>
              <w:rPr>
                <w:bCs/>
                <w:spacing w:val="-1"/>
                <w:sz w:val="20"/>
                <w:szCs w:val="20"/>
              </w:rPr>
              <w:t>rapporto tra salute e ricerca;</w:t>
            </w:r>
          </w:p>
          <w:p w:rsidR="004D58CA" w:rsidRDefault="004D58CA" w:rsidP="002C5B0F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5" w:line="239" w:lineRule="auto"/>
              <w:ind w:right="105"/>
              <w:jc w:val="both"/>
              <w:rPr>
                <w:bCs/>
                <w:spacing w:val="-1"/>
                <w:sz w:val="20"/>
                <w:szCs w:val="20"/>
              </w:rPr>
            </w:pPr>
            <w:r w:rsidRPr="00EC6437">
              <w:rPr>
                <w:bCs/>
                <w:spacing w:val="-1"/>
                <w:sz w:val="20"/>
                <w:szCs w:val="20"/>
              </w:rPr>
              <w:t xml:space="preserve">iii) operare un riordino del regime giuridico degli IRCCS e delle politiche di ricerca di competenza del Ministero della Salute italiano. </w:t>
            </w:r>
          </w:p>
          <w:p w:rsidR="004D58CA" w:rsidRDefault="004D58CA" w:rsidP="002C5B0F">
            <w:pPr>
              <w:pStyle w:val="TableParagraph"/>
              <w:kinsoku w:val="0"/>
              <w:overflowPunct w:val="0"/>
              <w:spacing w:before="5" w:line="239" w:lineRule="auto"/>
              <w:ind w:left="173" w:right="105"/>
              <w:jc w:val="both"/>
              <w:rPr>
                <w:bCs/>
                <w:spacing w:val="-1"/>
                <w:sz w:val="20"/>
                <w:szCs w:val="20"/>
              </w:rPr>
            </w:pPr>
            <w:r w:rsidRPr="00EC6437">
              <w:rPr>
                <w:bCs/>
                <w:spacing w:val="-1"/>
                <w:sz w:val="20"/>
                <w:szCs w:val="20"/>
              </w:rPr>
              <w:t>La riforma migliora la governance degli IRCCS pubblici attraverso</w:t>
            </w:r>
            <w:r>
              <w:rPr>
                <w:bCs/>
                <w:spacing w:val="-1"/>
                <w:sz w:val="20"/>
                <w:szCs w:val="20"/>
              </w:rPr>
              <w:t>:</w:t>
            </w:r>
            <w:r w:rsidRPr="00EC6437">
              <w:rPr>
                <w:bCs/>
                <w:spacing w:val="-1"/>
                <w:sz w:val="20"/>
                <w:szCs w:val="20"/>
              </w:rPr>
              <w:t xml:space="preserve"> </w:t>
            </w:r>
          </w:p>
          <w:p w:rsidR="004D58CA" w:rsidRDefault="004D58CA" w:rsidP="002C5B0F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5" w:line="239" w:lineRule="auto"/>
              <w:ind w:left="487" w:right="105" w:hanging="314"/>
              <w:jc w:val="both"/>
              <w:rPr>
                <w:bCs/>
                <w:spacing w:val="-1"/>
                <w:sz w:val="20"/>
                <w:szCs w:val="20"/>
              </w:rPr>
            </w:pPr>
            <w:r w:rsidRPr="00EC6437">
              <w:rPr>
                <w:bCs/>
                <w:spacing w:val="-1"/>
                <w:sz w:val="20"/>
                <w:szCs w:val="20"/>
              </w:rPr>
              <w:t xml:space="preserve">un miglioramento </w:t>
            </w:r>
            <w:r>
              <w:rPr>
                <w:bCs/>
                <w:spacing w:val="-1"/>
                <w:sz w:val="20"/>
                <w:szCs w:val="20"/>
              </w:rPr>
              <w:t>della gestione strategica;</w:t>
            </w:r>
          </w:p>
          <w:p w:rsidR="004D58CA" w:rsidRDefault="004D58CA" w:rsidP="002C5B0F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5" w:line="239" w:lineRule="auto"/>
              <w:ind w:left="487" w:right="105" w:hanging="314"/>
              <w:jc w:val="both"/>
              <w:rPr>
                <w:bCs/>
                <w:spacing w:val="-1"/>
                <w:sz w:val="20"/>
                <w:szCs w:val="20"/>
              </w:rPr>
            </w:pPr>
            <w:r w:rsidRPr="00EC6437">
              <w:rPr>
                <w:bCs/>
                <w:spacing w:val="-1"/>
                <w:sz w:val="20"/>
                <w:szCs w:val="20"/>
              </w:rPr>
              <w:t xml:space="preserve">) una più efficace definizione dei loro poteri e </w:t>
            </w:r>
            <w:r>
              <w:rPr>
                <w:bCs/>
                <w:spacing w:val="-1"/>
                <w:sz w:val="20"/>
                <w:szCs w:val="20"/>
              </w:rPr>
              <w:t>delle loro aree di competenza;</w:t>
            </w:r>
          </w:p>
          <w:p w:rsidR="004D58CA" w:rsidRDefault="004D58CA" w:rsidP="002C5B0F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5" w:line="239" w:lineRule="auto"/>
              <w:ind w:left="487" w:right="105" w:hanging="314"/>
              <w:jc w:val="both"/>
              <w:rPr>
                <w:bCs/>
                <w:spacing w:val="-1"/>
                <w:sz w:val="20"/>
                <w:szCs w:val="20"/>
              </w:rPr>
            </w:pPr>
            <w:r w:rsidRPr="00EC6437">
              <w:rPr>
                <w:bCs/>
                <w:spacing w:val="-1"/>
                <w:sz w:val="20"/>
                <w:szCs w:val="20"/>
              </w:rPr>
              <w:t xml:space="preserve">una definizione più esaustiva delle norme sullo status del direttore scientifico degli IRCCS pubblici e del personale di ricerca. </w:t>
            </w:r>
          </w:p>
          <w:p w:rsidR="004D58CA" w:rsidRPr="00C556C4" w:rsidRDefault="004D58CA" w:rsidP="00A33513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5" w:line="239" w:lineRule="auto"/>
              <w:ind w:left="487" w:right="105" w:hanging="314"/>
              <w:jc w:val="both"/>
              <w:rPr>
                <w:strike/>
              </w:rPr>
            </w:pPr>
            <w:r>
              <w:rPr>
                <w:bCs/>
                <w:spacing w:val="-1"/>
                <w:sz w:val="20"/>
                <w:szCs w:val="20"/>
              </w:rPr>
              <w:t>u</w:t>
            </w:r>
            <w:r w:rsidRPr="00EC6437">
              <w:rPr>
                <w:bCs/>
                <w:spacing w:val="-1"/>
                <w:sz w:val="20"/>
                <w:szCs w:val="20"/>
              </w:rPr>
              <w:t xml:space="preserve">na specifica sottomisura </w:t>
            </w:r>
            <w:r>
              <w:rPr>
                <w:bCs/>
                <w:spacing w:val="-1"/>
                <w:sz w:val="20"/>
                <w:szCs w:val="20"/>
              </w:rPr>
              <w:t xml:space="preserve">deve differenziare </w:t>
            </w:r>
            <w:r w:rsidRPr="00EC6437">
              <w:rPr>
                <w:bCs/>
                <w:spacing w:val="-1"/>
                <w:sz w:val="20"/>
                <w:szCs w:val="20"/>
              </w:rPr>
              <w:t>gli IRCCS a seconda della loro attività (</w:t>
            </w:r>
            <w:proofErr w:type="spellStart"/>
            <w:r w:rsidRPr="00EC6437">
              <w:rPr>
                <w:bCs/>
                <w:spacing w:val="-1"/>
                <w:sz w:val="20"/>
                <w:szCs w:val="20"/>
              </w:rPr>
              <w:t>monospecialistici</w:t>
            </w:r>
            <w:proofErr w:type="spellEnd"/>
            <w:r w:rsidRPr="00EC6437">
              <w:rPr>
                <w:bCs/>
                <w:spacing w:val="-1"/>
                <w:sz w:val="20"/>
                <w:szCs w:val="20"/>
              </w:rPr>
              <w:t xml:space="preserve"> o generalisti), </w:t>
            </w:r>
            <w:r>
              <w:rPr>
                <w:bCs/>
                <w:spacing w:val="-1"/>
                <w:sz w:val="20"/>
                <w:szCs w:val="20"/>
              </w:rPr>
              <w:t xml:space="preserve">creare </w:t>
            </w:r>
            <w:r w:rsidRPr="00EC6437">
              <w:rPr>
                <w:bCs/>
                <w:spacing w:val="-1"/>
                <w:sz w:val="20"/>
                <w:szCs w:val="20"/>
              </w:rPr>
              <w:t>una rete in</w:t>
            </w:r>
            <w:r>
              <w:rPr>
                <w:bCs/>
                <w:spacing w:val="-1"/>
                <w:sz w:val="20"/>
                <w:szCs w:val="20"/>
              </w:rPr>
              <w:t>tegrata degli IRCCS e facilitare</w:t>
            </w:r>
            <w:r w:rsidRPr="00EC6437">
              <w:rPr>
                <w:bCs/>
                <w:spacing w:val="-1"/>
                <w:sz w:val="20"/>
                <w:szCs w:val="20"/>
              </w:rPr>
              <w:t xml:space="preserve"> lo scambio di know-how tra gli IRCCS e tra questi e le altre strutture del SSN italiano.</w:t>
            </w:r>
          </w:p>
        </w:tc>
        <w:tc>
          <w:tcPr>
            <w:tcW w:w="1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B8B7"/>
          </w:tcPr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Pr="00A33513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915609" w:rsidRPr="00A33513" w:rsidRDefault="00915609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915609" w:rsidRPr="00A33513" w:rsidRDefault="00915609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915609" w:rsidRPr="00A33513" w:rsidRDefault="00915609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915609" w:rsidRPr="00A33513" w:rsidRDefault="00915609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915609" w:rsidRPr="00A33513" w:rsidRDefault="00915609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915609" w:rsidRPr="00A33513" w:rsidRDefault="00915609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915609" w:rsidRPr="00A33513" w:rsidRDefault="00915609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915609" w:rsidRPr="00A33513" w:rsidRDefault="00915609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915609" w:rsidRPr="00A33513" w:rsidRDefault="00915609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4D58CA" w:rsidRDefault="004D58CA" w:rsidP="002C5B0F">
            <w:pPr>
              <w:pStyle w:val="TableParagraph"/>
              <w:kinsoku w:val="0"/>
              <w:overflowPunct w:val="0"/>
              <w:spacing w:before="4" w:line="229" w:lineRule="exact"/>
              <w:ind w:left="106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Obiettivo: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T4 2022</w:t>
            </w:r>
          </w:p>
          <w:p w:rsidR="004D58CA" w:rsidRDefault="004D58CA" w:rsidP="002C5B0F">
            <w:pPr>
              <w:pStyle w:val="TableParagraph"/>
              <w:kinsoku w:val="0"/>
              <w:overflowPunct w:val="0"/>
              <w:ind w:left="106" w:right="566"/>
              <w:jc w:val="both"/>
              <w:rPr>
                <w:spacing w:val="-1"/>
                <w:sz w:val="20"/>
                <w:szCs w:val="20"/>
              </w:rPr>
            </w:pPr>
            <w:r w:rsidRPr="00C556C4">
              <w:rPr>
                <w:spacing w:val="-1"/>
                <w:sz w:val="20"/>
                <w:szCs w:val="20"/>
              </w:rPr>
              <w:lastRenderedPageBreak/>
              <w:t>La riforma deve ri</w:t>
            </w:r>
            <w:r>
              <w:rPr>
                <w:spacing w:val="-1"/>
                <w:sz w:val="20"/>
                <w:szCs w:val="20"/>
              </w:rPr>
              <w:t xml:space="preserve">organizzare la rete degli IRCCS. </w:t>
            </w:r>
            <w:r w:rsidRPr="00C556C4">
              <w:rPr>
                <w:spacing w:val="-1"/>
                <w:sz w:val="20"/>
                <w:szCs w:val="20"/>
              </w:rPr>
              <w:t xml:space="preserve">La riforma comprende misure volte a: </w:t>
            </w:r>
          </w:p>
          <w:p w:rsidR="004D58CA" w:rsidRDefault="004D58CA" w:rsidP="002C5B0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right="566"/>
              <w:jc w:val="both"/>
              <w:rPr>
                <w:spacing w:val="-1"/>
                <w:sz w:val="20"/>
                <w:szCs w:val="20"/>
              </w:rPr>
            </w:pPr>
            <w:r w:rsidRPr="00C556C4">
              <w:rPr>
                <w:spacing w:val="-1"/>
                <w:sz w:val="20"/>
                <w:szCs w:val="20"/>
              </w:rPr>
              <w:t xml:space="preserve">rafforzare il rapporto fra ricerca, innovazione e cure sanitarie; </w:t>
            </w:r>
          </w:p>
          <w:p w:rsidR="004D58CA" w:rsidRDefault="004D58CA" w:rsidP="002C5B0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right="566"/>
              <w:jc w:val="both"/>
              <w:rPr>
                <w:spacing w:val="-1"/>
                <w:sz w:val="20"/>
                <w:szCs w:val="20"/>
              </w:rPr>
            </w:pPr>
            <w:r w:rsidRPr="00C556C4">
              <w:rPr>
                <w:spacing w:val="-1"/>
                <w:sz w:val="20"/>
                <w:szCs w:val="20"/>
              </w:rPr>
              <w:t>migliorare la governance degli IRCCS pubblici attraverso un miglioramento della gestione strategica degli Istituti e una più efficace definizione dei loro poteri e delle loro aree di competenza.</w:t>
            </w:r>
          </w:p>
          <w:p w:rsidR="004D58CA" w:rsidRDefault="004D58CA" w:rsidP="009714B1">
            <w:pPr>
              <w:pStyle w:val="TableParagraph"/>
              <w:kinsoku w:val="0"/>
              <w:overflowPunct w:val="0"/>
              <w:ind w:left="826" w:right="566"/>
              <w:jc w:val="both"/>
            </w:pPr>
          </w:p>
        </w:tc>
        <w:tc>
          <w:tcPr>
            <w:tcW w:w="1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B8B7"/>
          </w:tcPr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Default="004D58CA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D53ACC" w:rsidRDefault="00D53ACC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D53ACC" w:rsidRDefault="00D53ACC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915609" w:rsidRDefault="00915609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915609" w:rsidRDefault="00915609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915609" w:rsidRDefault="00915609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915609" w:rsidRDefault="00915609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915609" w:rsidRDefault="00915609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915609" w:rsidRDefault="00915609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915609" w:rsidRDefault="00915609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915609" w:rsidRDefault="00915609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915609" w:rsidRDefault="00915609" w:rsidP="002C5B0F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D58CA" w:rsidRPr="004B5980" w:rsidRDefault="004D58CA" w:rsidP="00A33513">
            <w:pPr>
              <w:ind w:right="108"/>
              <w:jc w:val="both"/>
              <w:rPr>
                <w:spacing w:val="-1"/>
                <w:sz w:val="20"/>
                <w:szCs w:val="20"/>
              </w:rPr>
            </w:pPr>
            <w:bookmarkStart w:id="0" w:name="_GoBack"/>
            <w:bookmarkEnd w:id="0"/>
            <w:r w:rsidRPr="004B5980">
              <w:rPr>
                <w:spacing w:val="-1"/>
                <w:sz w:val="20"/>
                <w:szCs w:val="20"/>
              </w:rPr>
              <w:t xml:space="preserve">Tale </w:t>
            </w:r>
            <w:proofErr w:type="spellStart"/>
            <w:r w:rsidRPr="004B5980">
              <w:rPr>
                <w:spacing w:val="-1"/>
                <w:sz w:val="20"/>
                <w:szCs w:val="20"/>
              </w:rPr>
              <w:t>Milestone</w:t>
            </w:r>
            <w:proofErr w:type="spellEnd"/>
            <w:r w:rsidRPr="004B5980">
              <w:rPr>
                <w:spacing w:val="-1"/>
                <w:sz w:val="20"/>
                <w:szCs w:val="20"/>
              </w:rPr>
              <w:t xml:space="preserve"> si considera conseguita poiché:</w:t>
            </w:r>
          </w:p>
          <w:p w:rsidR="004D58CA" w:rsidRPr="004B5980" w:rsidRDefault="004D58CA" w:rsidP="009714B1">
            <w:pPr>
              <w:numPr>
                <w:ilvl w:val="0"/>
                <w:numId w:val="1"/>
              </w:numPr>
              <w:ind w:left="340" w:right="108" w:hanging="227"/>
              <w:jc w:val="both"/>
              <w:rPr>
                <w:spacing w:val="-1"/>
                <w:sz w:val="20"/>
                <w:szCs w:val="20"/>
              </w:rPr>
            </w:pPr>
            <w:r w:rsidRPr="004B5980">
              <w:rPr>
                <w:spacing w:val="-1"/>
                <w:sz w:val="20"/>
                <w:szCs w:val="20"/>
              </w:rPr>
              <w:lastRenderedPageBreak/>
              <w:t>è stata approvata la legge n. 129/2022 recante delega al Governo per il riordino della disciplina degli IRCCS per l'acquisizione dell’assenso tecnico preventivo.</w:t>
            </w:r>
          </w:p>
          <w:p w:rsidR="004D58CA" w:rsidRPr="00C556C4" w:rsidRDefault="004D58CA" w:rsidP="009714B1">
            <w:pPr>
              <w:numPr>
                <w:ilvl w:val="0"/>
                <w:numId w:val="1"/>
              </w:numPr>
              <w:ind w:left="340" w:right="108" w:hanging="227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è stato adottato il relativo </w:t>
            </w:r>
            <w:hyperlink r:id="rId7" w:history="1">
              <w:r w:rsidRPr="002E15CA">
                <w:rPr>
                  <w:rStyle w:val="Collegamentoipertestuale"/>
                  <w:bCs/>
                  <w:color w:val="0F4761" w:themeColor="accent1" w:themeShade="BF"/>
                  <w:spacing w:val="-1"/>
                  <w:sz w:val="20"/>
                  <w:szCs w:val="20"/>
                </w:rPr>
                <w:t xml:space="preserve">D. </w:t>
              </w:r>
              <w:proofErr w:type="spellStart"/>
              <w:r w:rsidRPr="002E15CA">
                <w:rPr>
                  <w:rStyle w:val="Collegamentoipertestuale"/>
                  <w:bCs/>
                  <w:color w:val="0F4761" w:themeColor="accent1" w:themeShade="BF"/>
                  <w:spacing w:val="-1"/>
                  <w:sz w:val="20"/>
                  <w:szCs w:val="20"/>
                </w:rPr>
                <w:t>Lgs</w:t>
              </w:r>
              <w:proofErr w:type="spellEnd"/>
              <w:r w:rsidRPr="002E15CA">
                <w:rPr>
                  <w:rStyle w:val="Collegamentoipertestuale"/>
                  <w:bCs/>
                  <w:color w:val="0F4761" w:themeColor="accent1" w:themeShade="BF"/>
                  <w:spacing w:val="-1"/>
                  <w:sz w:val="20"/>
                  <w:szCs w:val="20"/>
                </w:rPr>
                <w:t>.</w:t>
              </w:r>
              <w:r w:rsidRPr="002E15CA">
                <w:rPr>
                  <w:rStyle w:val="Collegamentoipertestuale"/>
                  <w:bCs/>
                  <w:color w:val="0F4761" w:themeColor="accent1" w:themeShade="BF"/>
                  <w:spacing w:val="17"/>
                  <w:sz w:val="20"/>
                  <w:szCs w:val="20"/>
                </w:rPr>
                <w:t xml:space="preserve"> n. 200</w:t>
              </w:r>
              <w:r w:rsidRPr="002E15CA">
                <w:rPr>
                  <w:rStyle w:val="Collegamentoipertestuale"/>
                  <w:bCs/>
                  <w:color w:val="0F4761" w:themeColor="accent1" w:themeShade="BF"/>
                  <w:spacing w:val="-1"/>
                  <w:sz w:val="20"/>
                  <w:szCs w:val="20"/>
                </w:rPr>
                <w:t>/2022</w:t>
              </w:r>
            </w:hyperlink>
            <w:r w:rsidRPr="002E15CA">
              <w:rPr>
                <w:b/>
                <w:bCs/>
                <w:spacing w:val="17"/>
                <w:sz w:val="20"/>
                <w:szCs w:val="20"/>
              </w:rPr>
              <w:t>,</w:t>
            </w:r>
            <w:r>
              <w:rPr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riordino</w:t>
            </w:r>
            <w:r>
              <w:rPr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della</w:t>
            </w:r>
            <w:r>
              <w:rPr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disciplina</w:t>
            </w:r>
            <w:r>
              <w:rPr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degli</w:t>
            </w:r>
            <w:r>
              <w:rPr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IRCCS</w:t>
            </w:r>
            <w:r>
              <w:rPr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per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il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riassetto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del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regime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giuridico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tali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enti 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delle relative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politiche.</w:t>
            </w:r>
          </w:p>
          <w:p w:rsidR="004D58CA" w:rsidRPr="000A5178" w:rsidRDefault="004D58CA" w:rsidP="002C5B0F">
            <w:pPr>
              <w:jc w:val="both"/>
            </w:pPr>
          </w:p>
          <w:p w:rsidR="004D58CA" w:rsidRDefault="004D58CA" w:rsidP="002C5B0F">
            <w:pPr>
              <w:jc w:val="both"/>
            </w:pPr>
          </w:p>
        </w:tc>
      </w:tr>
    </w:tbl>
    <w:p w:rsidR="004D58CA" w:rsidRDefault="004D58CA" w:rsidP="004D58CA">
      <w:pPr>
        <w:pStyle w:val="Corpotesto"/>
        <w:kinsoku w:val="0"/>
        <w:overflowPunct w:val="0"/>
        <w:spacing w:before="11"/>
        <w:ind w:left="0"/>
        <w:rPr>
          <w:sz w:val="27"/>
          <w:szCs w:val="27"/>
        </w:rPr>
      </w:pPr>
    </w:p>
    <w:sectPr w:rsidR="004D58CA">
      <w:pgSz w:w="16840" w:h="11910" w:orient="landscape"/>
      <w:pgMar w:top="1100" w:right="560" w:bottom="280" w:left="7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173" w:hanging="176"/>
      </w:pPr>
      <w:rPr>
        <w:rFonts w:ascii="Times New Roman" w:hAnsi="Times New Roman"/>
        <w:b w:val="0"/>
        <w:sz w:val="20"/>
      </w:rPr>
    </w:lvl>
    <w:lvl w:ilvl="1">
      <w:numFmt w:val="bullet"/>
      <w:lvlText w:val="•"/>
      <w:lvlJc w:val="left"/>
      <w:pPr>
        <w:ind w:left="531" w:hanging="176"/>
      </w:pPr>
    </w:lvl>
    <w:lvl w:ilvl="2">
      <w:numFmt w:val="bullet"/>
      <w:lvlText w:val="•"/>
      <w:lvlJc w:val="left"/>
      <w:pPr>
        <w:ind w:left="890" w:hanging="176"/>
      </w:pPr>
    </w:lvl>
    <w:lvl w:ilvl="3">
      <w:numFmt w:val="bullet"/>
      <w:lvlText w:val="•"/>
      <w:lvlJc w:val="left"/>
      <w:pPr>
        <w:ind w:left="1248" w:hanging="176"/>
      </w:pPr>
    </w:lvl>
    <w:lvl w:ilvl="4">
      <w:numFmt w:val="bullet"/>
      <w:lvlText w:val="•"/>
      <w:lvlJc w:val="left"/>
      <w:pPr>
        <w:ind w:left="1606" w:hanging="176"/>
      </w:pPr>
    </w:lvl>
    <w:lvl w:ilvl="5">
      <w:numFmt w:val="bullet"/>
      <w:lvlText w:val="•"/>
      <w:lvlJc w:val="left"/>
      <w:pPr>
        <w:ind w:left="1965" w:hanging="176"/>
      </w:pPr>
    </w:lvl>
    <w:lvl w:ilvl="6">
      <w:numFmt w:val="bullet"/>
      <w:lvlText w:val="•"/>
      <w:lvlJc w:val="left"/>
      <w:pPr>
        <w:ind w:left="2323" w:hanging="176"/>
      </w:pPr>
    </w:lvl>
    <w:lvl w:ilvl="7">
      <w:numFmt w:val="bullet"/>
      <w:lvlText w:val="•"/>
      <w:lvlJc w:val="left"/>
      <w:pPr>
        <w:ind w:left="2681" w:hanging="176"/>
      </w:pPr>
    </w:lvl>
    <w:lvl w:ilvl="8">
      <w:numFmt w:val="bullet"/>
      <w:lvlText w:val="•"/>
      <w:lvlJc w:val="left"/>
      <w:pPr>
        <w:ind w:left="3040" w:hanging="176"/>
      </w:pPr>
    </w:lvl>
  </w:abstractNum>
  <w:abstractNum w:abstractNumId="1" w15:restartNumberingAfterBreak="0">
    <w:nsid w:val="17D155E1"/>
    <w:multiLevelType w:val="hybridMultilevel"/>
    <w:tmpl w:val="9B82518A"/>
    <w:lvl w:ilvl="0" w:tplc="5152075C">
      <w:start w:val="1"/>
      <w:numFmt w:val="lowerRoman"/>
      <w:lvlText w:val="%1)"/>
      <w:lvlJc w:val="left"/>
      <w:pPr>
        <w:ind w:left="89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3" w:hanging="360"/>
      </w:pPr>
    </w:lvl>
    <w:lvl w:ilvl="2" w:tplc="0410001B" w:tentative="1">
      <w:start w:val="1"/>
      <w:numFmt w:val="lowerRoman"/>
      <w:lvlText w:val="%3."/>
      <w:lvlJc w:val="right"/>
      <w:pPr>
        <w:ind w:left="1973" w:hanging="180"/>
      </w:pPr>
    </w:lvl>
    <w:lvl w:ilvl="3" w:tplc="0410000F" w:tentative="1">
      <w:start w:val="1"/>
      <w:numFmt w:val="decimal"/>
      <w:lvlText w:val="%4."/>
      <w:lvlJc w:val="left"/>
      <w:pPr>
        <w:ind w:left="2693" w:hanging="360"/>
      </w:pPr>
    </w:lvl>
    <w:lvl w:ilvl="4" w:tplc="04100019" w:tentative="1">
      <w:start w:val="1"/>
      <w:numFmt w:val="lowerLetter"/>
      <w:lvlText w:val="%5."/>
      <w:lvlJc w:val="left"/>
      <w:pPr>
        <w:ind w:left="3413" w:hanging="360"/>
      </w:pPr>
    </w:lvl>
    <w:lvl w:ilvl="5" w:tplc="0410001B" w:tentative="1">
      <w:start w:val="1"/>
      <w:numFmt w:val="lowerRoman"/>
      <w:lvlText w:val="%6."/>
      <w:lvlJc w:val="right"/>
      <w:pPr>
        <w:ind w:left="4133" w:hanging="180"/>
      </w:pPr>
    </w:lvl>
    <w:lvl w:ilvl="6" w:tplc="0410000F" w:tentative="1">
      <w:start w:val="1"/>
      <w:numFmt w:val="decimal"/>
      <w:lvlText w:val="%7."/>
      <w:lvlJc w:val="left"/>
      <w:pPr>
        <w:ind w:left="4853" w:hanging="360"/>
      </w:pPr>
    </w:lvl>
    <w:lvl w:ilvl="7" w:tplc="04100019" w:tentative="1">
      <w:start w:val="1"/>
      <w:numFmt w:val="lowerLetter"/>
      <w:lvlText w:val="%8."/>
      <w:lvlJc w:val="left"/>
      <w:pPr>
        <w:ind w:left="5573" w:hanging="360"/>
      </w:pPr>
    </w:lvl>
    <w:lvl w:ilvl="8" w:tplc="0410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 w15:restartNumberingAfterBreak="0">
    <w:nsid w:val="19046CE7"/>
    <w:multiLevelType w:val="hybridMultilevel"/>
    <w:tmpl w:val="E70C551C"/>
    <w:lvl w:ilvl="0" w:tplc="8E141862">
      <w:start w:val="1"/>
      <w:numFmt w:val="lowerRoman"/>
      <w:lvlText w:val="%1)"/>
      <w:lvlJc w:val="left"/>
      <w:pPr>
        <w:ind w:left="826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8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0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2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4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6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8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0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26" w:hanging="180"/>
      </w:pPr>
      <w:rPr>
        <w:rFonts w:cs="Times New Roman"/>
      </w:rPr>
    </w:lvl>
  </w:abstractNum>
  <w:abstractNum w:abstractNumId="3" w15:restartNumberingAfterBreak="0">
    <w:nsid w:val="245B7628"/>
    <w:multiLevelType w:val="hybridMultilevel"/>
    <w:tmpl w:val="781081E0"/>
    <w:lvl w:ilvl="0" w:tplc="A610645C">
      <w:start w:val="1"/>
      <w:numFmt w:val="lowerRoman"/>
      <w:lvlText w:val="%1)"/>
      <w:lvlJc w:val="left"/>
      <w:pPr>
        <w:ind w:left="89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3" w:hanging="360"/>
      </w:pPr>
    </w:lvl>
    <w:lvl w:ilvl="2" w:tplc="0410001B" w:tentative="1">
      <w:start w:val="1"/>
      <w:numFmt w:val="lowerRoman"/>
      <w:lvlText w:val="%3."/>
      <w:lvlJc w:val="right"/>
      <w:pPr>
        <w:ind w:left="1973" w:hanging="180"/>
      </w:pPr>
    </w:lvl>
    <w:lvl w:ilvl="3" w:tplc="0410000F" w:tentative="1">
      <w:start w:val="1"/>
      <w:numFmt w:val="decimal"/>
      <w:lvlText w:val="%4."/>
      <w:lvlJc w:val="left"/>
      <w:pPr>
        <w:ind w:left="2693" w:hanging="360"/>
      </w:pPr>
    </w:lvl>
    <w:lvl w:ilvl="4" w:tplc="04100019" w:tentative="1">
      <w:start w:val="1"/>
      <w:numFmt w:val="lowerLetter"/>
      <w:lvlText w:val="%5."/>
      <w:lvlJc w:val="left"/>
      <w:pPr>
        <w:ind w:left="3413" w:hanging="360"/>
      </w:pPr>
    </w:lvl>
    <w:lvl w:ilvl="5" w:tplc="0410001B" w:tentative="1">
      <w:start w:val="1"/>
      <w:numFmt w:val="lowerRoman"/>
      <w:lvlText w:val="%6."/>
      <w:lvlJc w:val="right"/>
      <w:pPr>
        <w:ind w:left="4133" w:hanging="180"/>
      </w:pPr>
    </w:lvl>
    <w:lvl w:ilvl="6" w:tplc="0410000F" w:tentative="1">
      <w:start w:val="1"/>
      <w:numFmt w:val="decimal"/>
      <w:lvlText w:val="%7."/>
      <w:lvlJc w:val="left"/>
      <w:pPr>
        <w:ind w:left="4853" w:hanging="360"/>
      </w:pPr>
    </w:lvl>
    <w:lvl w:ilvl="7" w:tplc="04100019" w:tentative="1">
      <w:start w:val="1"/>
      <w:numFmt w:val="lowerLetter"/>
      <w:lvlText w:val="%8."/>
      <w:lvlJc w:val="left"/>
      <w:pPr>
        <w:ind w:left="5573" w:hanging="360"/>
      </w:pPr>
    </w:lvl>
    <w:lvl w:ilvl="8" w:tplc="0410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4C"/>
    <w:rsid w:val="000A5178"/>
    <w:rsid w:val="000F366F"/>
    <w:rsid w:val="002C5B0F"/>
    <w:rsid w:val="002E15CA"/>
    <w:rsid w:val="00320297"/>
    <w:rsid w:val="004B5980"/>
    <w:rsid w:val="004D58CA"/>
    <w:rsid w:val="00715A49"/>
    <w:rsid w:val="00915609"/>
    <w:rsid w:val="009644F2"/>
    <w:rsid w:val="009714B1"/>
    <w:rsid w:val="00A175DF"/>
    <w:rsid w:val="00A33513"/>
    <w:rsid w:val="00B2414D"/>
    <w:rsid w:val="00BD6A07"/>
    <w:rsid w:val="00C0154C"/>
    <w:rsid w:val="00C21ADE"/>
    <w:rsid w:val="00C556C4"/>
    <w:rsid w:val="00D21F0B"/>
    <w:rsid w:val="00D53ACC"/>
    <w:rsid w:val="00E52B99"/>
    <w:rsid w:val="00E85266"/>
    <w:rsid w:val="00EC6437"/>
    <w:rsid w:val="00E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CC715"/>
  <w14:defaultImageDpi w14:val="0"/>
  <w15:docId w15:val="{DD79A084-4905-400C-AA4E-C6743B6F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73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kern w:val="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85266"/>
    <w:rPr>
      <w:rFonts w:cs="Times New Roman"/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266"/>
    <w:rPr>
      <w:rFonts w:cs="Times New Roman"/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15CA"/>
    <w:rPr>
      <w:rFonts w:cs="Times New Roman"/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ovanorme.salute.gov.it/norme/dettaglioAtto?id=91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mera.it/temiap/2021/05/20/OCD177-4961.pdf" TargetMode="External"/><Relationship Id="rId5" Type="http://schemas.openxmlformats.org/officeDocument/2006/relationships/hyperlink" Target="https://www.camera.it/temiap/2021/05/20/OCD177-496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BILA - Dossier - 10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 - Dossier - 10</dc:title>
  <dc:subject/>
  <dc:creator>Senato della Repubblica</dc:creator>
  <cp:keywords/>
  <dc:description/>
  <cp:lastModifiedBy>Claudia Tozzi</cp:lastModifiedBy>
  <cp:revision>14</cp:revision>
  <dcterms:created xsi:type="dcterms:W3CDTF">2024-06-26T10:19:00Z</dcterms:created>
  <dcterms:modified xsi:type="dcterms:W3CDTF">2024-07-01T14:40:00Z</dcterms:modified>
</cp:coreProperties>
</file>